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28766831"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67415A">
        <w:rPr>
          <w:b/>
          <w:sz w:val="24"/>
        </w:rPr>
      </w:r>
      <w:r w:rsidR="0067415A">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7E91FE5F" w:rsidR="00BD6BBE" w:rsidRPr="00F87A5B" w:rsidRDefault="00BD6BBE">
      <w:pPr>
        <w:tabs>
          <w:tab w:val="decimal" w:pos="9180"/>
        </w:tabs>
        <w:ind w:left="720" w:hanging="720"/>
        <w:rPr>
          <w:b/>
        </w:rPr>
      </w:pPr>
      <w:r w:rsidRPr="00F87A5B">
        <w:tab/>
        <w:t xml:space="preserve">For the quarterly period ended </w:t>
      </w:r>
      <w:r w:rsidR="0034086E">
        <w:t>June</w:t>
      </w:r>
      <w:r w:rsidR="00460775">
        <w:t xml:space="preserve"> 3</w:t>
      </w:r>
      <w:r w:rsidR="0034086E">
        <w:t>0</w:t>
      </w:r>
      <w:r w:rsidR="00482106">
        <w:t>,</w:t>
      </w:r>
      <w:r w:rsidR="00460775">
        <w:t xml:space="preserve"> 20</w:t>
      </w:r>
      <w:r w:rsidR="001F62EC">
        <w:t>2</w:t>
      </w:r>
      <w:r w:rsidR="008C326E">
        <w:t>2</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67415A">
        <w:rPr>
          <w:b/>
          <w:sz w:val="24"/>
        </w:rPr>
      </w:r>
      <w:r w:rsidR="0067415A">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(State or other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67415A">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67415A">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67415A">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67415A">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67415A">
        <w:rPr>
          <w:rFonts w:ascii="Wingdings" w:hAnsi="Wingdings" w:cs="Wingdings"/>
          <w:color w:val="000000"/>
          <w:sz w:val="18"/>
          <w:szCs w:val="18"/>
        </w:rPr>
      </w:r>
      <w:r w:rsidR="0067415A">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67415A">
        <w:rPr>
          <w:rFonts w:ascii="Wingdings" w:hAnsi="Wingdings" w:cs="Wingdings"/>
          <w:color w:val="000000"/>
          <w:sz w:val="18"/>
          <w:szCs w:val="18"/>
        </w:rPr>
      </w:r>
      <w:r w:rsidR="0067415A">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67415A">
        <w:rPr>
          <w:rFonts w:ascii="Wingdings" w:hAnsi="Wingdings" w:cs="Wingdings"/>
          <w:color w:val="000000"/>
          <w:sz w:val="18"/>
          <w:szCs w:val="18"/>
        </w:rPr>
      </w:r>
      <w:r w:rsidR="0067415A">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67415A">
        <w:rPr>
          <w:rFonts w:ascii="Wingdings" w:hAnsi="Wingdings" w:cs="Wingdings"/>
          <w:color w:val="000000"/>
          <w:sz w:val="18"/>
          <w:szCs w:val="18"/>
        </w:rPr>
      </w:r>
      <w:r w:rsidR="0067415A">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67415A">
        <w:rPr>
          <w:rFonts w:ascii="Wingdings" w:hAnsi="Wingdings" w:cs="Wingdings"/>
          <w:color w:val="000000"/>
          <w:sz w:val="18"/>
          <w:szCs w:val="18"/>
        </w:rPr>
      </w:r>
      <w:r w:rsidR="0067415A">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67415A">
        <w:rPr>
          <w:rFonts w:ascii="Wingdings" w:hAnsi="Wingdings" w:cs="Wingdings"/>
          <w:color w:val="000000"/>
          <w:sz w:val="18"/>
          <w:szCs w:val="18"/>
        </w:rPr>
      </w:r>
      <w:r w:rsidR="0067415A">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67415A">
        <w:rPr>
          <w:rFonts w:ascii="Wingdings" w:hAnsi="Wingdings" w:cs="Wingdings"/>
          <w:color w:val="000000"/>
          <w:sz w:val="18"/>
          <w:szCs w:val="18"/>
        </w:rPr>
      </w:r>
      <w:r w:rsidR="0067415A">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67415A">
        <w:rPr>
          <w:rFonts w:ascii="Wingdings" w:hAnsi="Wingdings" w:cs="Wingdings"/>
          <w:color w:val="000000"/>
          <w:sz w:val="18"/>
          <w:szCs w:val="18"/>
        </w:rPr>
      </w:r>
      <w:r w:rsidR="0067415A">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4901E6CF" w:rsidR="0094630A" w:rsidRDefault="0094630A">
      <w:pPr>
        <w:tabs>
          <w:tab w:val="decimal" w:pos="9180"/>
        </w:tabs>
        <w:jc w:val="both"/>
      </w:pPr>
      <w:r w:rsidRPr="003D6A75">
        <w:t>As o</w:t>
      </w:r>
      <w:r w:rsidR="009B114A" w:rsidRPr="003D6A75">
        <w:t xml:space="preserve">f </w:t>
      </w:r>
      <w:r w:rsidR="00833915">
        <w:t>August</w:t>
      </w:r>
      <w:r w:rsidR="001F0568" w:rsidRPr="004A5874">
        <w:t xml:space="preserve"> </w:t>
      </w:r>
      <w:r w:rsidR="00833915">
        <w:t>3</w:t>
      </w:r>
      <w:r w:rsidR="009B20E1" w:rsidRPr="004A5874">
        <w:t>,</w:t>
      </w:r>
      <w:r w:rsidR="00460775" w:rsidRPr="004A5874">
        <w:t xml:space="preserve"> 20</w:t>
      </w:r>
      <w:r w:rsidR="001F62EC" w:rsidRPr="004A5874">
        <w:t>2</w:t>
      </w:r>
      <w:r w:rsidR="008C326E">
        <w:t>2</w:t>
      </w:r>
      <w:r w:rsidR="00F75588" w:rsidRPr="006F2532">
        <w:t>,</w:t>
      </w:r>
      <w:r w:rsidR="00B9332C" w:rsidRPr="003D6A75">
        <w:t xml:space="preserve"> </w:t>
      </w:r>
      <w:r w:rsidR="00937753">
        <w:t>24,744,043</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61735D4C" w:rsidR="00482106" w:rsidRPr="000371CC" w:rsidRDefault="00482106" w:rsidP="004E3374">
      <w:pPr>
        <w:tabs>
          <w:tab w:val="right" w:pos="10080"/>
        </w:tabs>
        <w:ind w:left="900"/>
      </w:pPr>
      <w:r>
        <w:t xml:space="preserve">Condensed </w:t>
      </w:r>
      <w:r w:rsidRPr="000371CC">
        <w:t xml:space="preserve">Consolidated Balance Sheets as of </w:t>
      </w:r>
      <w:r w:rsidR="00833915">
        <w:t>June</w:t>
      </w:r>
      <w:r w:rsidR="00460775">
        <w:t xml:space="preserve"> 3</w:t>
      </w:r>
      <w:r w:rsidR="00833915">
        <w:t>0</w:t>
      </w:r>
      <w:r w:rsidR="00B35C97">
        <w:t xml:space="preserve">, </w:t>
      </w:r>
      <w:r w:rsidR="00460775">
        <w:t>20</w:t>
      </w:r>
      <w:r w:rsidR="001F62EC">
        <w:t>2</w:t>
      </w:r>
      <w:r w:rsidR="008C326E">
        <w:t>2</w:t>
      </w:r>
      <w:r w:rsidR="00ED6B2C">
        <w:t xml:space="preserve"> (unaudited)</w:t>
      </w:r>
      <w:r w:rsidR="00D74F1F">
        <w:t xml:space="preserve"> </w:t>
      </w:r>
      <w:r w:rsidR="00460775">
        <w:t xml:space="preserve">and December 31, </w:t>
      </w:r>
      <w:proofErr w:type="gramStart"/>
      <w:r w:rsidR="00460775">
        <w:t>20</w:t>
      </w:r>
      <w:r w:rsidR="00E63149">
        <w:t>2</w:t>
      </w:r>
      <w:r w:rsidR="008C326E">
        <w:t>1</w:t>
      </w:r>
      <w:proofErr w:type="gramEnd"/>
      <w:r w:rsidRPr="000371CC">
        <w:tab/>
        <w:t>1</w:t>
      </w:r>
    </w:p>
    <w:p w14:paraId="323AB257" w14:textId="6142F638"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w:t>
      </w:r>
      <w:r w:rsidR="00833915">
        <w:t xml:space="preserve">and six-month </w:t>
      </w:r>
      <w:r w:rsidR="00483E00">
        <w:t xml:space="preserve">periods </w:t>
      </w:r>
      <w:r w:rsidR="001F0568">
        <w:t>e</w:t>
      </w:r>
      <w:r w:rsidR="00A12E9E">
        <w:t>nded</w:t>
      </w:r>
    </w:p>
    <w:p w14:paraId="10D88DBF" w14:textId="7E836D2D" w:rsidR="00482106" w:rsidRDefault="004E3374" w:rsidP="004E3374">
      <w:pPr>
        <w:tabs>
          <w:tab w:val="right" w:pos="10080"/>
        </w:tabs>
        <w:ind w:left="900"/>
      </w:pPr>
      <w:r>
        <w:t xml:space="preserve">   </w:t>
      </w:r>
      <w:r w:rsidR="00833915">
        <w:t>June</w:t>
      </w:r>
      <w:r w:rsidR="0063349C">
        <w:t xml:space="preserve"> </w:t>
      </w:r>
      <w:r w:rsidR="00460775">
        <w:t>3</w:t>
      </w:r>
      <w:r w:rsidR="00833915">
        <w:t>0</w:t>
      </w:r>
      <w:r w:rsidR="00460775">
        <w:t xml:space="preserve">, </w:t>
      </w:r>
      <w:proofErr w:type="gramStart"/>
      <w:r w:rsidR="00460775">
        <w:t>20</w:t>
      </w:r>
      <w:r w:rsidR="001F62EC">
        <w:t>2</w:t>
      </w:r>
      <w:r w:rsidR="008C326E">
        <w:t>2</w:t>
      </w:r>
      <w:proofErr w:type="gramEnd"/>
      <w:r w:rsidR="00731C61">
        <w:t xml:space="preserve"> </w:t>
      </w:r>
      <w:r w:rsidR="00460775">
        <w:t>and 20</w:t>
      </w:r>
      <w:r w:rsidR="00E63149">
        <w:t>2</w:t>
      </w:r>
      <w:r w:rsidR="008C326E">
        <w:t>1</w:t>
      </w:r>
      <w:r w:rsidR="00CC10F7">
        <w:t xml:space="preserve"> (unaudited)</w:t>
      </w:r>
      <w:r w:rsidR="00482106" w:rsidRPr="000371CC">
        <w:tab/>
      </w:r>
      <w:r w:rsidR="009E5F38">
        <w:t>2</w:t>
      </w:r>
    </w:p>
    <w:p w14:paraId="60ACCB41" w14:textId="45F85E7B" w:rsidR="00487CAB" w:rsidRDefault="00487CAB" w:rsidP="004E3374">
      <w:pPr>
        <w:tabs>
          <w:tab w:val="right" w:pos="10080"/>
        </w:tabs>
        <w:ind w:left="900"/>
      </w:pPr>
      <w:r>
        <w:t>Condensed Consolidated Statements of Changes in Stockholders’ Equity</w:t>
      </w:r>
    </w:p>
    <w:p w14:paraId="14FC8BBF" w14:textId="78EC3694" w:rsidR="00487CAB" w:rsidRPr="000371CC" w:rsidRDefault="00487CAB" w:rsidP="004E3374">
      <w:pPr>
        <w:tabs>
          <w:tab w:val="right" w:pos="10080"/>
        </w:tabs>
        <w:ind w:left="900"/>
      </w:pPr>
      <w:r>
        <w:t xml:space="preserve">   for the three-month </w:t>
      </w:r>
      <w:r w:rsidR="00833915">
        <w:t xml:space="preserve">and six-month </w:t>
      </w:r>
      <w:r>
        <w:t xml:space="preserve">periods ended </w:t>
      </w:r>
      <w:r w:rsidR="00833915">
        <w:t>June</w:t>
      </w:r>
      <w:r>
        <w:t xml:space="preserve"> 3</w:t>
      </w:r>
      <w:r w:rsidR="00833915">
        <w:t>0</w:t>
      </w:r>
      <w:r>
        <w:t xml:space="preserve">, </w:t>
      </w:r>
      <w:proofErr w:type="gramStart"/>
      <w:r>
        <w:t>20</w:t>
      </w:r>
      <w:r w:rsidR="001F62EC">
        <w:t>2</w:t>
      </w:r>
      <w:r w:rsidR="008C326E">
        <w:t>2</w:t>
      </w:r>
      <w:proofErr w:type="gramEnd"/>
      <w:r>
        <w:t xml:space="preserve"> and 20</w:t>
      </w:r>
      <w:r w:rsidR="00E63149">
        <w:t>2</w:t>
      </w:r>
      <w:r w:rsidR="008C326E">
        <w:t>1</w:t>
      </w:r>
      <w:r>
        <w:t xml:space="preserve"> (unaudited)</w:t>
      </w:r>
      <w:r>
        <w:tab/>
        <w:t>3</w:t>
      </w:r>
    </w:p>
    <w:p w14:paraId="5EC29F91" w14:textId="70996481" w:rsidR="004E3374" w:rsidRDefault="00482106" w:rsidP="004E3374">
      <w:pPr>
        <w:tabs>
          <w:tab w:val="right" w:pos="10080"/>
        </w:tabs>
        <w:ind w:left="900"/>
      </w:pPr>
      <w:r>
        <w:t xml:space="preserve">Condensed </w:t>
      </w:r>
      <w:r w:rsidRPr="000371CC">
        <w:t xml:space="preserve">Consolidated Statements of Cash Flows for the </w:t>
      </w:r>
      <w:r w:rsidR="00833915">
        <w:t>six</w:t>
      </w:r>
      <w:r w:rsidR="00CC2136">
        <w:t>-</w:t>
      </w:r>
      <w:r w:rsidR="00F758D1">
        <w:t xml:space="preserve">month </w:t>
      </w:r>
      <w:r w:rsidR="00483E00">
        <w:t xml:space="preserve">periods </w:t>
      </w:r>
      <w:r w:rsidR="00731D11">
        <w:t>ended</w:t>
      </w:r>
    </w:p>
    <w:p w14:paraId="6B706CF1" w14:textId="571AEB88" w:rsidR="00482106" w:rsidRPr="000371CC" w:rsidRDefault="004E3374" w:rsidP="004E3374">
      <w:pPr>
        <w:tabs>
          <w:tab w:val="right" w:pos="10080"/>
        </w:tabs>
        <w:ind w:left="900"/>
      </w:pPr>
      <w:r>
        <w:t xml:space="preserve">   </w:t>
      </w:r>
      <w:r w:rsidR="00833915">
        <w:t>June</w:t>
      </w:r>
      <w:r w:rsidR="0063349C">
        <w:t xml:space="preserve"> </w:t>
      </w:r>
      <w:r w:rsidR="00460775">
        <w:t>3</w:t>
      </w:r>
      <w:r w:rsidR="00833915">
        <w:t>0</w:t>
      </w:r>
      <w:r w:rsidR="00823D2D">
        <w:t xml:space="preserve">, </w:t>
      </w:r>
      <w:proofErr w:type="gramStart"/>
      <w:r w:rsidR="00460775">
        <w:t>20</w:t>
      </w:r>
      <w:r w:rsidR="001F62EC">
        <w:t>2</w:t>
      </w:r>
      <w:r w:rsidR="008C326E">
        <w:t>2</w:t>
      </w:r>
      <w:proofErr w:type="gramEnd"/>
      <w:r>
        <w:t xml:space="preserve"> </w:t>
      </w:r>
      <w:r w:rsidR="00460775">
        <w:t>and 20</w:t>
      </w:r>
      <w:r w:rsidR="00E63149">
        <w:t>2</w:t>
      </w:r>
      <w:r w:rsidR="008C326E">
        <w:t>1</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26D63B2A"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ED4468">
        <w:t>9</w:t>
      </w:r>
    </w:p>
    <w:p w14:paraId="04727900" w14:textId="77777777" w:rsidR="00482106" w:rsidRDefault="00482106" w:rsidP="004E3374">
      <w:pPr>
        <w:tabs>
          <w:tab w:val="left" w:pos="900"/>
          <w:tab w:val="right" w:pos="10080"/>
        </w:tabs>
      </w:pPr>
    </w:p>
    <w:p w14:paraId="3698A973" w14:textId="746EBE73"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w:t>
      </w:r>
      <w:r w:rsidR="00ED4468">
        <w:t>4</w:t>
      </w:r>
    </w:p>
    <w:p w14:paraId="19A98050" w14:textId="77777777" w:rsidR="00482106" w:rsidRPr="000371CC" w:rsidRDefault="00482106" w:rsidP="002D1A5A">
      <w:pPr>
        <w:tabs>
          <w:tab w:val="left" w:pos="900"/>
          <w:tab w:val="right" w:pos="10080"/>
        </w:tabs>
      </w:pPr>
    </w:p>
    <w:p w14:paraId="16AC473F" w14:textId="616B2907"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ED4468">
        <w:t>4</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35C4A5F3"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ED4468">
        <w:t>5</w:t>
      </w:r>
    </w:p>
    <w:p w14:paraId="073F6D6B" w14:textId="77777777" w:rsidR="00482106" w:rsidRPr="000371CC" w:rsidRDefault="00482106" w:rsidP="004E3374">
      <w:pPr>
        <w:tabs>
          <w:tab w:val="left" w:pos="900"/>
          <w:tab w:val="right" w:pos="10200"/>
        </w:tabs>
      </w:pPr>
    </w:p>
    <w:p w14:paraId="27555486" w14:textId="49A20FF6"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ED4468">
        <w:t>5</w:t>
      </w:r>
    </w:p>
    <w:p w14:paraId="0F986A6E" w14:textId="77777777" w:rsidR="00482106" w:rsidRPr="000371CC" w:rsidRDefault="00482106" w:rsidP="004E3374">
      <w:pPr>
        <w:tabs>
          <w:tab w:val="left" w:pos="900"/>
          <w:tab w:val="right" w:pos="10080"/>
          <w:tab w:val="right" w:pos="10200"/>
        </w:tabs>
      </w:pPr>
    </w:p>
    <w:p w14:paraId="6537B7F4" w14:textId="04F5158A"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ED4468">
        <w:t>5</w:t>
      </w:r>
    </w:p>
    <w:p w14:paraId="2598FC1C" w14:textId="77777777" w:rsidR="00482106" w:rsidRPr="000371CC" w:rsidRDefault="00482106" w:rsidP="004E3374">
      <w:pPr>
        <w:tabs>
          <w:tab w:val="left" w:pos="900"/>
          <w:tab w:val="right" w:pos="10080"/>
          <w:tab w:val="right" w:pos="10200"/>
        </w:tabs>
      </w:pPr>
    </w:p>
    <w:p w14:paraId="790C8A4C" w14:textId="6BC6BEC3"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ED4468">
        <w:t>5</w:t>
      </w:r>
    </w:p>
    <w:p w14:paraId="7122746D" w14:textId="77777777" w:rsidR="00BF7DB7" w:rsidRDefault="00BF7DB7" w:rsidP="004E3374">
      <w:pPr>
        <w:tabs>
          <w:tab w:val="left" w:pos="900"/>
          <w:tab w:val="right" w:pos="10080"/>
          <w:tab w:val="right" w:pos="10200"/>
        </w:tabs>
      </w:pPr>
    </w:p>
    <w:p w14:paraId="51D96C50" w14:textId="57800E16"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ED4468">
        <w:t>5</w:t>
      </w:r>
    </w:p>
    <w:p w14:paraId="1D1D1680" w14:textId="77777777" w:rsidR="00482106" w:rsidRPr="000371CC" w:rsidRDefault="00482106" w:rsidP="004E3374">
      <w:pPr>
        <w:tabs>
          <w:tab w:val="left" w:pos="900"/>
          <w:tab w:val="right" w:pos="10080"/>
          <w:tab w:val="right" w:pos="10200"/>
        </w:tabs>
      </w:pPr>
    </w:p>
    <w:p w14:paraId="7FF4F361" w14:textId="07773463"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ED4468">
        <w:t>5</w:t>
      </w:r>
    </w:p>
    <w:p w14:paraId="7329C9FE" w14:textId="77777777" w:rsidR="00482106" w:rsidRPr="000371CC" w:rsidRDefault="00482106" w:rsidP="004E3374">
      <w:pPr>
        <w:tabs>
          <w:tab w:val="left" w:pos="900"/>
          <w:tab w:val="right" w:pos="10080"/>
          <w:tab w:val="right" w:pos="10200"/>
        </w:tabs>
      </w:pPr>
    </w:p>
    <w:p w14:paraId="25371BEC" w14:textId="365623DE"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ED4468">
        <w:t>6</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30D8B014"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ED4468">
        <w:t>7</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37A66864" w:rsidR="001F62EC" w:rsidRPr="00356734" w:rsidRDefault="00833915" w:rsidP="001F62EC">
            <w:pPr>
              <w:jc w:val="center"/>
              <w:rPr>
                <w:snapToGrid w:val="0"/>
                <w:color w:val="000000"/>
              </w:rPr>
            </w:pPr>
            <w:r>
              <w:rPr>
                <w:snapToGrid w:val="0"/>
                <w:color w:val="000000"/>
              </w:rPr>
              <w:t>June</w:t>
            </w:r>
            <w:r w:rsidR="001F62EC">
              <w:rPr>
                <w:snapToGrid w:val="0"/>
                <w:color w:val="000000"/>
              </w:rPr>
              <w:t xml:space="preserve"> 3</w:t>
            </w:r>
            <w:r>
              <w:rPr>
                <w:snapToGrid w:val="0"/>
                <w:color w:val="000000"/>
              </w:rPr>
              <w:t>0</w:t>
            </w:r>
            <w:r w:rsidR="00B62EFB">
              <w:rPr>
                <w:snapToGrid w:val="0"/>
                <w:color w:val="000000"/>
              </w:rPr>
              <w:t>,</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576D3B86" w:rsidR="001F62EC" w:rsidRPr="00356734" w:rsidRDefault="001F62EC" w:rsidP="001F62EC">
            <w:pPr>
              <w:jc w:val="center"/>
              <w:rPr>
                <w:snapToGrid w:val="0"/>
                <w:color w:val="000000"/>
              </w:rPr>
            </w:pPr>
            <w:r>
              <w:rPr>
                <w:snapToGrid w:val="0"/>
                <w:color w:val="000000"/>
              </w:rPr>
              <w:t>202</w:t>
            </w:r>
            <w:r w:rsidR="00662C05">
              <w:rPr>
                <w:snapToGrid w:val="0"/>
                <w:color w:val="000000"/>
              </w:rPr>
              <w:t>2</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60E65DE7" w:rsidR="001F62EC" w:rsidRPr="00356734" w:rsidRDefault="001F62EC" w:rsidP="001F62EC">
            <w:pPr>
              <w:jc w:val="center"/>
              <w:rPr>
                <w:snapToGrid w:val="0"/>
                <w:color w:val="000000"/>
              </w:rPr>
            </w:pPr>
            <w:r w:rsidRPr="00356734">
              <w:rPr>
                <w:snapToGrid w:val="0"/>
                <w:color w:val="000000"/>
              </w:rPr>
              <w:t>20</w:t>
            </w:r>
            <w:r w:rsidR="005E4E22">
              <w:rPr>
                <w:snapToGrid w:val="0"/>
                <w:color w:val="000000"/>
              </w:rPr>
              <w:t>2</w:t>
            </w:r>
            <w:r w:rsidR="00662C05">
              <w:rPr>
                <w:snapToGrid w:val="0"/>
                <w:color w:val="000000"/>
              </w:rPr>
              <w:t>1</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5309514F"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986D87">
              <w:rPr>
                <w:snapToGrid w:val="0"/>
                <w:color w:val="000000"/>
              </w:rPr>
              <w:t>30,902,454</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60B0E23D"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r>
            <w:r w:rsidR="00662C05">
              <w:rPr>
                <w:snapToGrid w:val="0"/>
                <w:color w:val="000000"/>
              </w:rPr>
              <w:t>11,423,870</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134C1615" w:rsidR="001F62EC" w:rsidRPr="00EB7BF0" w:rsidRDefault="001F62EC" w:rsidP="001F62EC">
            <w:pPr>
              <w:rPr>
                <w:snapToGrid w:val="0"/>
                <w:color w:val="000000"/>
              </w:rPr>
            </w:pPr>
            <w:r w:rsidRPr="00374FE3">
              <w:rPr>
                <w:snapToGrid w:val="0"/>
                <w:color w:val="000000"/>
              </w:rPr>
              <w:t>Grant funds receivable</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398CF50D" w:rsidR="001F62EC" w:rsidRPr="00EB7BF0" w:rsidRDefault="00986D87" w:rsidP="001F62EC">
            <w:pPr>
              <w:tabs>
                <w:tab w:val="decimal" w:pos="1320"/>
              </w:tabs>
              <w:rPr>
                <w:snapToGrid w:val="0"/>
                <w:color w:val="000000"/>
              </w:rPr>
            </w:pPr>
            <w:r>
              <w:rPr>
                <w:snapToGrid w:val="0"/>
                <w:color w:val="000000"/>
              </w:rPr>
              <w:t>-</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1B5D7803" w:rsidR="001F62EC" w:rsidRPr="00EB7BF0" w:rsidRDefault="00662C05" w:rsidP="001F62EC">
            <w:pPr>
              <w:tabs>
                <w:tab w:val="decimal" w:pos="1500"/>
              </w:tabs>
              <w:rPr>
                <w:snapToGrid w:val="0"/>
                <w:color w:val="000000"/>
              </w:rPr>
            </w:pPr>
            <w:r>
              <w:rPr>
                <w:snapToGrid w:val="0"/>
                <w:color w:val="000000"/>
              </w:rPr>
              <w:t>49,006</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10F0A670" w:rsidR="001F62EC" w:rsidRPr="00EB7BF0" w:rsidRDefault="00D518B5" w:rsidP="001F62EC">
            <w:pPr>
              <w:rPr>
                <w:b/>
                <w:snapToGrid w:val="0"/>
                <w:color w:val="000000"/>
              </w:rPr>
            </w:pPr>
            <w:r>
              <w:rPr>
                <w:snapToGrid w:val="0"/>
                <w:color w:val="000000"/>
              </w:rPr>
              <w:t>Prepaid expenses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22A03859" w:rsidR="001F62EC" w:rsidRPr="00EB7BF0" w:rsidRDefault="00986D87" w:rsidP="001F62EC">
            <w:pPr>
              <w:tabs>
                <w:tab w:val="decimal" w:pos="1320"/>
              </w:tabs>
              <w:rPr>
                <w:snapToGrid w:val="0"/>
                <w:color w:val="000000"/>
              </w:rPr>
            </w:pPr>
            <w:r>
              <w:rPr>
                <w:snapToGrid w:val="0"/>
                <w:color w:val="000000"/>
              </w:rPr>
              <w:t>1,135,780</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3773A26F" w:rsidR="001F62EC" w:rsidRPr="00EB7BF0" w:rsidRDefault="00662C05" w:rsidP="001F62EC">
            <w:pPr>
              <w:tabs>
                <w:tab w:val="decimal" w:pos="1500"/>
              </w:tabs>
              <w:rPr>
                <w:snapToGrid w:val="0"/>
                <w:color w:val="000000"/>
              </w:rPr>
            </w:pPr>
            <w:r>
              <w:rPr>
                <w:snapToGrid w:val="0"/>
                <w:color w:val="000000"/>
              </w:rPr>
              <w:t>156,240</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6E81684F" w:rsidR="001F62EC" w:rsidRPr="00E74795" w:rsidRDefault="00986D87" w:rsidP="001F62EC">
            <w:pPr>
              <w:tabs>
                <w:tab w:val="decimal" w:pos="1320"/>
              </w:tabs>
              <w:rPr>
                <w:snapToGrid w:val="0"/>
                <w:color w:val="000000"/>
              </w:rPr>
            </w:pPr>
            <w:r>
              <w:rPr>
                <w:snapToGrid w:val="0"/>
                <w:color w:val="000000"/>
              </w:rPr>
              <w:t>32,038,234</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7FE9D9A9" w:rsidR="001F62EC" w:rsidRPr="00E74795" w:rsidRDefault="00662C05" w:rsidP="001F62EC">
            <w:pPr>
              <w:tabs>
                <w:tab w:val="decimal" w:pos="1500"/>
              </w:tabs>
              <w:rPr>
                <w:snapToGrid w:val="0"/>
                <w:color w:val="000000"/>
              </w:rPr>
            </w:pPr>
            <w:r>
              <w:rPr>
                <w:snapToGrid w:val="0"/>
                <w:color w:val="000000"/>
              </w:rPr>
              <w:t>11,629,116</w:t>
            </w:r>
          </w:p>
        </w:tc>
      </w:tr>
      <w:tr w:rsidR="001F62EC" w:rsidRPr="00EB7BF0" w14:paraId="71A35CD8" w14:textId="77777777" w:rsidTr="001F62EC">
        <w:trPr>
          <w:trHeight w:hRule="exact" w:val="230"/>
        </w:trPr>
        <w:tc>
          <w:tcPr>
            <w:tcW w:w="6120" w:type="dxa"/>
            <w:gridSpan w:val="3"/>
          </w:tcPr>
          <w:p w14:paraId="6E3EC1EB" w14:textId="62496AD5" w:rsidR="001F62EC" w:rsidRPr="00E74795" w:rsidRDefault="001F62EC" w:rsidP="001F62EC">
            <w:pPr>
              <w:rPr>
                <w:b/>
                <w:snapToGrid w:val="0"/>
                <w:color w:val="000000"/>
              </w:rPr>
            </w:pPr>
            <w:r w:rsidRPr="00374FE3">
              <w:rPr>
                <w:snapToGrid w:val="0"/>
                <w:color w:val="000000"/>
              </w:rPr>
              <w:t>Property and equipment, net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788530FA" w:rsidR="001F62EC" w:rsidRPr="00E74795" w:rsidRDefault="00986D87" w:rsidP="001F62EC">
            <w:pPr>
              <w:tabs>
                <w:tab w:val="decimal" w:pos="1320"/>
              </w:tabs>
              <w:rPr>
                <w:snapToGrid w:val="0"/>
                <w:color w:val="000000"/>
              </w:rPr>
            </w:pPr>
            <w:r>
              <w:rPr>
                <w:snapToGrid w:val="0"/>
                <w:color w:val="000000"/>
              </w:rPr>
              <w:t>214,783</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65793DD6" w:rsidR="001F62EC" w:rsidRPr="00E74795" w:rsidRDefault="00662C05" w:rsidP="001F62EC">
            <w:pPr>
              <w:tabs>
                <w:tab w:val="decimal" w:pos="1500"/>
              </w:tabs>
              <w:rPr>
                <w:snapToGrid w:val="0"/>
                <w:color w:val="000000"/>
              </w:rPr>
            </w:pPr>
            <w:r>
              <w:rPr>
                <w:snapToGrid w:val="0"/>
                <w:color w:val="000000"/>
              </w:rPr>
              <w:t>156,938</w:t>
            </w:r>
          </w:p>
        </w:tc>
      </w:tr>
      <w:tr w:rsidR="001F62EC" w:rsidRPr="00EB7BF0" w14:paraId="53468FCE" w14:textId="77777777" w:rsidTr="001F62EC">
        <w:trPr>
          <w:trHeight w:hRule="exact" w:val="230"/>
        </w:trPr>
        <w:tc>
          <w:tcPr>
            <w:tcW w:w="6120" w:type="dxa"/>
            <w:gridSpan w:val="3"/>
          </w:tcPr>
          <w:p w14:paraId="232DB5B1" w14:textId="205F547B" w:rsidR="001F62EC" w:rsidRPr="00E74795" w:rsidRDefault="007520EB" w:rsidP="001F62EC">
            <w:pPr>
              <w:rPr>
                <w:snapToGrid w:val="0"/>
                <w:color w:val="000000"/>
              </w:rPr>
            </w:pPr>
            <w:r>
              <w:rPr>
                <w:snapToGrid w:val="0"/>
                <w:color w:val="000000"/>
              </w:rPr>
              <w:t>O</w:t>
            </w:r>
            <w:r w:rsidR="00986D87">
              <w:rPr>
                <w:snapToGrid w:val="0"/>
                <w:color w:val="000000"/>
              </w:rPr>
              <w:t>ther assets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688D3286" w:rsidR="001F62EC" w:rsidRPr="00E74795" w:rsidRDefault="00986D87" w:rsidP="001F62EC">
            <w:pPr>
              <w:tabs>
                <w:tab w:val="decimal" w:pos="1320"/>
              </w:tabs>
              <w:rPr>
                <w:snapToGrid w:val="0"/>
                <w:color w:val="000000"/>
              </w:rPr>
            </w:pPr>
            <w:r>
              <w:rPr>
                <w:snapToGrid w:val="0"/>
                <w:color w:val="000000"/>
              </w:rPr>
              <w:t>987,508</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49EA642C"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986D87">
              <w:rPr>
                <w:snapToGrid w:val="0"/>
                <w:color w:val="000000"/>
              </w:rPr>
              <w:t>33,240,525</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693547B"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62C05">
              <w:rPr>
                <w:snapToGrid w:val="0"/>
                <w:color w:val="000000"/>
              </w:rPr>
              <w:t>11,797,064</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65DFDBB4" w:rsidR="001F62EC" w:rsidRPr="00E74795" w:rsidRDefault="001F62EC" w:rsidP="001F62EC">
            <w:pPr>
              <w:rPr>
                <w:snapToGrid w:val="0"/>
                <w:color w:val="000000"/>
              </w:rPr>
            </w:pPr>
            <w:r w:rsidRPr="00374FE3">
              <w:rPr>
                <w:snapToGrid w:val="0"/>
                <w:color w:val="000000"/>
              </w:rPr>
              <w:t>LIABILITIES AND STOCKHOLDERS’ EQUIT</w:t>
            </w:r>
            <w:r w:rsidR="00B158D9">
              <w:rPr>
                <w:snapToGrid w:val="0"/>
                <w:color w:val="000000"/>
              </w:rPr>
              <w:t>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56647A53"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986D87">
              <w:rPr>
                <w:snapToGrid w:val="0"/>
                <w:color w:val="000000"/>
              </w:rPr>
              <w:t>2</w:t>
            </w:r>
            <w:r w:rsidR="007520EB">
              <w:rPr>
                <w:snapToGrid w:val="0"/>
                <w:color w:val="000000"/>
              </w:rPr>
              <w:t>3</w:t>
            </w:r>
            <w:r w:rsidR="0044760B">
              <w:rPr>
                <w:snapToGrid w:val="0"/>
                <w:color w:val="000000"/>
              </w:rPr>
              <w:t>7</w:t>
            </w:r>
            <w:r w:rsidR="007520EB">
              <w:rPr>
                <w:snapToGrid w:val="0"/>
                <w:color w:val="000000"/>
              </w:rPr>
              <w:t>,</w:t>
            </w:r>
            <w:r w:rsidR="0044760B">
              <w:rPr>
                <w:snapToGrid w:val="0"/>
                <w:color w:val="000000"/>
              </w:rPr>
              <w:t>3</w:t>
            </w:r>
            <w:r w:rsidR="007520EB">
              <w:rPr>
                <w:snapToGrid w:val="0"/>
                <w:color w:val="000000"/>
              </w:rPr>
              <w:t>15</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1AE5CB45"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662C05">
              <w:rPr>
                <w:snapToGrid w:val="0"/>
                <w:color w:val="000000"/>
              </w:rPr>
              <w:t>2,057,534</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28AF8C15" w:rsidR="001F62EC" w:rsidRPr="00A967B3" w:rsidRDefault="001F62EC" w:rsidP="001F62EC">
            <w:pPr>
              <w:rPr>
                <w:snapToGrid w:val="0"/>
                <w:color w:val="000000"/>
              </w:rPr>
            </w:pPr>
            <w:r w:rsidRPr="00A967B3">
              <w:rPr>
                <w:snapToGrid w:val="0"/>
                <w:color w:val="000000"/>
              </w:rPr>
              <w:t>Accrued expenses</w:t>
            </w:r>
          </w:p>
        </w:tc>
        <w:tc>
          <w:tcPr>
            <w:tcW w:w="90" w:type="dxa"/>
          </w:tcPr>
          <w:p w14:paraId="11C759E6" w14:textId="77777777" w:rsidR="001F62EC" w:rsidRPr="00A967B3" w:rsidRDefault="001F62EC" w:rsidP="001F62EC">
            <w:pPr>
              <w:jc w:val="right"/>
              <w:rPr>
                <w:snapToGrid w:val="0"/>
                <w:color w:val="000000"/>
              </w:rPr>
            </w:pPr>
          </w:p>
        </w:tc>
        <w:tc>
          <w:tcPr>
            <w:tcW w:w="1710" w:type="dxa"/>
          </w:tcPr>
          <w:p w14:paraId="27D090AB" w14:textId="609D6EE7" w:rsidR="001F62EC" w:rsidRPr="00A967B3" w:rsidRDefault="00986D87" w:rsidP="001F62EC">
            <w:pPr>
              <w:tabs>
                <w:tab w:val="decimal" w:pos="1320"/>
              </w:tabs>
              <w:rPr>
                <w:snapToGrid w:val="0"/>
                <w:color w:val="000000"/>
              </w:rPr>
            </w:pPr>
            <w:r>
              <w:rPr>
                <w:snapToGrid w:val="0"/>
                <w:color w:val="000000"/>
              </w:rPr>
              <w:t>3,</w:t>
            </w:r>
            <w:r w:rsidR="00E451B0">
              <w:rPr>
                <w:snapToGrid w:val="0"/>
                <w:color w:val="000000"/>
              </w:rPr>
              <w:t>130,553</w:t>
            </w:r>
          </w:p>
        </w:tc>
        <w:tc>
          <w:tcPr>
            <w:tcW w:w="270" w:type="dxa"/>
          </w:tcPr>
          <w:p w14:paraId="074AA7DF" w14:textId="77777777" w:rsidR="001F62EC" w:rsidRPr="00A967B3" w:rsidRDefault="001F62EC" w:rsidP="001F62EC">
            <w:pPr>
              <w:jc w:val="right"/>
              <w:rPr>
                <w:snapToGrid w:val="0"/>
                <w:color w:val="000000"/>
              </w:rPr>
            </w:pPr>
          </w:p>
        </w:tc>
        <w:tc>
          <w:tcPr>
            <w:tcW w:w="1890" w:type="dxa"/>
          </w:tcPr>
          <w:p w14:paraId="5616CEE2" w14:textId="14156E6C" w:rsidR="001F62EC" w:rsidRPr="00E74795" w:rsidRDefault="00662C05" w:rsidP="001F62EC">
            <w:pPr>
              <w:tabs>
                <w:tab w:val="decimal" w:pos="1500"/>
              </w:tabs>
              <w:rPr>
                <w:snapToGrid w:val="0"/>
                <w:color w:val="000000"/>
              </w:rPr>
            </w:pPr>
            <w:r w:rsidRPr="00A967B3">
              <w:rPr>
                <w:snapToGrid w:val="0"/>
                <w:color w:val="000000"/>
              </w:rPr>
              <w:t>3,377,826</w:t>
            </w:r>
          </w:p>
        </w:tc>
      </w:tr>
      <w:tr w:rsidR="001F62EC" w:rsidRPr="00EB7BF0" w14:paraId="6DA53DFF" w14:textId="77777777" w:rsidTr="00662C05">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33D33B1C" w:rsidR="001F62EC" w:rsidRPr="00E74795" w:rsidRDefault="00986D87" w:rsidP="001F62EC">
            <w:pPr>
              <w:tabs>
                <w:tab w:val="decimal" w:pos="1320"/>
              </w:tabs>
              <w:rPr>
                <w:snapToGrid w:val="0"/>
                <w:color w:val="000000"/>
              </w:rPr>
            </w:pPr>
            <w:r>
              <w:rPr>
                <w:snapToGrid w:val="0"/>
                <w:color w:val="000000"/>
              </w:rPr>
              <w:t>3,</w:t>
            </w:r>
            <w:r w:rsidR="00E451B0">
              <w:rPr>
                <w:snapToGrid w:val="0"/>
                <w:color w:val="000000"/>
              </w:rPr>
              <w:t>367,868</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33B9FFC5" w:rsidR="001F62EC" w:rsidRPr="00E74795" w:rsidRDefault="00662C05" w:rsidP="001F62EC">
            <w:pPr>
              <w:tabs>
                <w:tab w:val="decimal" w:pos="1500"/>
              </w:tabs>
              <w:rPr>
                <w:snapToGrid w:val="0"/>
                <w:color w:val="000000"/>
              </w:rPr>
            </w:pPr>
            <w:r>
              <w:rPr>
                <w:snapToGrid w:val="0"/>
                <w:color w:val="000000"/>
              </w:rPr>
              <w:t>5,435,360</w:t>
            </w:r>
          </w:p>
        </w:tc>
      </w:tr>
      <w:tr w:rsidR="001F62EC" w:rsidRPr="00EB7BF0" w14:paraId="779FCC2C" w14:textId="77777777" w:rsidTr="001F62EC">
        <w:trPr>
          <w:trHeight w:hRule="exact" w:val="230"/>
        </w:trPr>
        <w:tc>
          <w:tcPr>
            <w:tcW w:w="6120" w:type="dxa"/>
            <w:gridSpan w:val="3"/>
          </w:tcPr>
          <w:p w14:paraId="77485CFD" w14:textId="04EAD9D1" w:rsidR="001F62EC" w:rsidRPr="00E74795" w:rsidRDefault="007520EB" w:rsidP="001F62EC">
            <w:pPr>
              <w:rPr>
                <w:snapToGrid w:val="0"/>
                <w:color w:val="000000"/>
              </w:rPr>
            </w:pPr>
            <w:r>
              <w:rPr>
                <w:snapToGrid w:val="0"/>
                <w:color w:val="000000"/>
              </w:rPr>
              <w:t>Other liabilities</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15FD311E" w:rsidR="001F62EC" w:rsidRPr="00E74795" w:rsidRDefault="00986D87" w:rsidP="001F62EC">
            <w:pPr>
              <w:tabs>
                <w:tab w:val="decimal" w:pos="1320"/>
              </w:tabs>
              <w:rPr>
                <w:snapToGrid w:val="0"/>
                <w:color w:val="000000"/>
              </w:rPr>
            </w:pPr>
            <w:r>
              <w:rPr>
                <w:snapToGrid w:val="0"/>
                <w:color w:val="000000"/>
              </w:rPr>
              <w:t>2,000,000</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5CF006F2" w:rsidR="001F62EC" w:rsidRPr="00E74795" w:rsidRDefault="00662C05" w:rsidP="001F62EC">
            <w:pPr>
              <w:tabs>
                <w:tab w:val="decimal" w:pos="1500"/>
              </w:tabs>
              <w:rPr>
                <w:snapToGrid w:val="0"/>
                <w:color w:val="000000"/>
              </w:rPr>
            </w:pPr>
            <w:r>
              <w:rPr>
                <w:snapToGrid w:val="0"/>
                <w:color w:val="000000"/>
              </w:rPr>
              <w:t>2,000,000</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4FF20B8B" w:rsidR="001F62EC" w:rsidRPr="00E74795" w:rsidRDefault="00986D87" w:rsidP="001F62EC">
            <w:pPr>
              <w:tabs>
                <w:tab w:val="decimal" w:pos="1320"/>
              </w:tabs>
              <w:rPr>
                <w:snapToGrid w:val="0"/>
                <w:color w:val="000000"/>
              </w:rPr>
            </w:pPr>
            <w:r>
              <w:rPr>
                <w:snapToGrid w:val="0"/>
                <w:color w:val="000000"/>
              </w:rPr>
              <w:t>5,3</w:t>
            </w:r>
            <w:r w:rsidR="00E451B0">
              <w:rPr>
                <w:snapToGrid w:val="0"/>
                <w:color w:val="000000"/>
              </w:rPr>
              <w:t>67,868</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6D258C9A" w:rsidR="001F62EC" w:rsidRPr="00E74795" w:rsidRDefault="00662C05" w:rsidP="001F62EC">
            <w:pPr>
              <w:tabs>
                <w:tab w:val="decimal" w:pos="1500"/>
              </w:tabs>
              <w:rPr>
                <w:snapToGrid w:val="0"/>
                <w:color w:val="000000"/>
              </w:rPr>
            </w:pPr>
            <w:r>
              <w:rPr>
                <w:snapToGrid w:val="0"/>
                <w:color w:val="000000"/>
              </w:rPr>
              <w:t>7,435,360</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531664AE" w:rsidR="001F62EC" w:rsidRPr="00E74795" w:rsidRDefault="001F62EC" w:rsidP="001F62EC">
            <w:pPr>
              <w:rPr>
                <w:snapToGrid w:val="0"/>
                <w:color w:val="000000"/>
              </w:rPr>
            </w:pPr>
            <w:r w:rsidRPr="00B06A07">
              <w:rPr>
                <w:snapToGrid w:val="0"/>
                <w:color w:val="000000"/>
              </w:rPr>
              <w:t xml:space="preserve">Commitments (Note </w:t>
            </w:r>
            <w:r w:rsidR="0079083A" w:rsidRPr="00B06A07">
              <w:rPr>
                <w:snapToGrid w:val="0"/>
                <w:color w:val="000000"/>
              </w:rPr>
              <w:t>4</w:t>
            </w:r>
            <w:r w:rsidRPr="00B06A07">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00120E0" w:rsidR="001F62EC" w:rsidRPr="00E74795" w:rsidRDefault="001F62EC" w:rsidP="001F62EC">
            <w:pPr>
              <w:rPr>
                <w:snapToGrid w:val="0"/>
                <w:color w:val="000000"/>
              </w:rPr>
            </w:pPr>
            <w:r w:rsidRPr="00374FE3">
              <w:rPr>
                <w:snapToGrid w:val="0"/>
                <w:color w:val="000000"/>
              </w:rPr>
              <w:t>Stockholders’ equity: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50C4954E"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986D87">
              <w:rPr>
                <w:snapToGrid w:val="0"/>
                <w:color w:val="000000"/>
              </w:rPr>
              <w:t>16,238,739</w:t>
            </w:r>
            <w:r w:rsidRPr="00374FE3">
              <w:rPr>
                <w:snapToGrid w:val="0"/>
                <w:color w:val="000000"/>
              </w:rPr>
              <w:t xml:space="preserve"> and </w:t>
            </w:r>
            <w:r w:rsidR="00D174BC">
              <w:rPr>
                <w:snapToGrid w:val="0"/>
                <w:color w:val="000000"/>
              </w:rPr>
              <w:t>6,381,541</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2622941E" w:rsidR="001F62EC" w:rsidRPr="00E74795" w:rsidRDefault="001F62EC" w:rsidP="001F62EC">
            <w:pPr>
              <w:tabs>
                <w:tab w:val="left" w:pos="203"/>
              </w:tabs>
              <w:rPr>
                <w:snapToGrid w:val="0"/>
                <w:color w:val="000000"/>
              </w:rPr>
            </w:pPr>
            <w:r w:rsidRPr="00374FE3">
              <w:rPr>
                <w:snapToGrid w:val="0"/>
                <w:color w:val="000000"/>
              </w:rPr>
              <w:tab/>
            </w:r>
            <w:r w:rsidR="00833915">
              <w:rPr>
                <w:snapToGrid w:val="0"/>
                <w:color w:val="000000"/>
              </w:rPr>
              <w:t>June</w:t>
            </w:r>
            <w:r w:rsidRPr="00374FE3">
              <w:rPr>
                <w:snapToGrid w:val="0"/>
                <w:color w:val="000000"/>
              </w:rPr>
              <w:t xml:space="preserve"> 3</w:t>
            </w:r>
            <w:r w:rsidR="00833915">
              <w:rPr>
                <w:snapToGrid w:val="0"/>
                <w:color w:val="000000"/>
              </w:rPr>
              <w:t>0</w:t>
            </w:r>
            <w:r w:rsidRPr="00374FE3">
              <w:rPr>
                <w:snapToGrid w:val="0"/>
                <w:color w:val="000000"/>
              </w:rPr>
              <w:t xml:space="preserve">, </w:t>
            </w:r>
            <w:proofErr w:type="gramStart"/>
            <w:r w:rsidRPr="00374FE3">
              <w:rPr>
                <w:snapToGrid w:val="0"/>
                <w:color w:val="000000"/>
              </w:rPr>
              <w:t>20</w:t>
            </w:r>
            <w:r w:rsidR="004F479E">
              <w:rPr>
                <w:snapToGrid w:val="0"/>
                <w:color w:val="000000"/>
              </w:rPr>
              <w:t>2</w:t>
            </w:r>
            <w:r w:rsidR="00662C05">
              <w:rPr>
                <w:snapToGrid w:val="0"/>
                <w:color w:val="000000"/>
              </w:rPr>
              <w:t>2</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sidR="00B158D9">
              <w:rPr>
                <w:snapToGrid w:val="0"/>
                <w:color w:val="000000"/>
              </w:rPr>
              <w:t>2</w:t>
            </w:r>
            <w:r w:rsidR="00662C05">
              <w:rPr>
                <w:snapToGrid w:val="0"/>
                <w:color w:val="000000"/>
              </w:rPr>
              <w:t>1</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283413E2" w:rsidR="001F62EC" w:rsidRPr="00E74795" w:rsidRDefault="00986D87" w:rsidP="001F62EC">
            <w:pPr>
              <w:tabs>
                <w:tab w:val="decimal" w:pos="1320"/>
              </w:tabs>
              <w:rPr>
                <w:snapToGrid w:val="0"/>
                <w:color w:val="000000"/>
              </w:rPr>
            </w:pPr>
            <w:r>
              <w:rPr>
                <w:snapToGrid w:val="0"/>
                <w:color w:val="000000"/>
              </w:rPr>
              <w:t>16,239</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5D0AB71C" w:rsidR="001F62EC" w:rsidRPr="00E74795" w:rsidRDefault="00662C05" w:rsidP="001F62EC">
            <w:pPr>
              <w:tabs>
                <w:tab w:val="decimal" w:pos="1500"/>
              </w:tabs>
              <w:rPr>
                <w:snapToGrid w:val="0"/>
                <w:color w:val="000000"/>
              </w:rPr>
            </w:pPr>
            <w:r>
              <w:rPr>
                <w:snapToGrid w:val="0"/>
                <w:color w:val="000000"/>
              </w:rPr>
              <w:t>6,382</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634C5B06" w:rsidR="001F62EC" w:rsidRPr="00E74795" w:rsidRDefault="00986D87" w:rsidP="001F62EC">
            <w:pPr>
              <w:tabs>
                <w:tab w:val="decimal" w:pos="1320"/>
              </w:tabs>
              <w:rPr>
                <w:snapToGrid w:val="0"/>
                <w:color w:val="000000"/>
              </w:rPr>
            </w:pPr>
            <w:r>
              <w:rPr>
                <w:snapToGrid w:val="0"/>
                <w:color w:val="000000"/>
              </w:rPr>
              <w:t>96,901,530</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5C1C0BAD" w:rsidR="001F62EC" w:rsidRPr="00E74795" w:rsidRDefault="00662C05" w:rsidP="001F62EC">
            <w:pPr>
              <w:tabs>
                <w:tab w:val="decimal" w:pos="1500"/>
              </w:tabs>
              <w:rPr>
                <w:snapToGrid w:val="0"/>
                <w:color w:val="000000"/>
              </w:rPr>
            </w:pPr>
            <w:r>
              <w:rPr>
                <w:snapToGrid w:val="0"/>
                <w:color w:val="000000"/>
              </w:rPr>
              <w:t>68,731,220</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0CC525E0" w:rsidR="001F62EC" w:rsidRPr="00E74795" w:rsidRDefault="00986D87" w:rsidP="001F62EC">
            <w:pPr>
              <w:tabs>
                <w:tab w:val="decimal" w:pos="1320"/>
              </w:tabs>
              <w:rPr>
                <w:snapToGrid w:val="0"/>
                <w:color w:val="000000"/>
              </w:rPr>
            </w:pPr>
            <w:r>
              <w:rPr>
                <w:snapToGrid w:val="0"/>
                <w:color w:val="000000"/>
              </w:rPr>
              <w:t>(6</w:t>
            </w:r>
            <w:r w:rsidR="00E451B0">
              <w:rPr>
                <w:snapToGrid w:val="0"/>
                <w:color w:val="000000"/>
              </w:rPr>
              <w:t>9,045,112</w:t>
            </w:r>
            <w:r>
              <w:rPr>
                <w:snapToGrid w:val="0"/>
                <w:color w:val="000000"/>
              </w:rPr>
              <w:t>)</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50F30BFF" w:rsidR="001F62EC" w:rsidRPr="00E74795" w:rsidRDefault="001F62EC" w:rsidP="001F62EC">
            <w:pPr>
              <w:tabs>
                <w:tab w:val="decimal" w:pos="1500"/>
              </w:tabs>
              <w:rPr>
                <w:snapToGrid w:val="0"/>
                <w:color w:val="000000"/>
              </w:rPr>
            </w:pPr>
            <w:r w:rsidRPr="00E74795">
              <w:rPr>
                <w:snapToGrid w:val="0"/>
                <w:color w:val="000000"/>
              </w:rPr>
              <w:t>(</w:t>
            </w:r>
            <w:r w:rsidR="00662C05">
              <w:rPr>
                <w:snapToGrid w:val="0"/>
                <w:color w:val="000000"/>
              </w:rPr>
              <w:t>64,375,898</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633A93EE" w:rsidR="001F62EC" w:rsidRPr="00E74795" w:rsidRDefault="001F62EC" w:rsidP="001F62EC">
            <w:pPr>
              <w:rPr>
                <w:snapToGrid w:val="0"/>
                <w:color w:val="000000"/>
              </w:rPr>
            </w:pPr>
            <w:r w:rsidRPr="00374FE3">
              <w:rPr>
                <w:snapToGrid w:val="0"/>
                <w:color w:val="000000"/>
              </w:rPr>
              <w:t>Total stockholders’ equity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4FEECF50" w:rsidR="001F62EC" w:rsidRPr="00E74795" w:rsidRDefault="00986D87" w:rsidP="001F62EC">
            <w:pPr>
              <w:tabs>
                <w:tab w:val="decimal" w:pos="1320"/>
              </w:tabs>
              <w:rPr>
                <w:snapToGrid w:val="0"/>
                <w:color w:val="000000"/>
              </w:rPr>
            </w:pPr>
            <w:r>
              <w:rPr>
                <w:snapToGrid w:val="0"/>
                <w:color w:val="000000"/>
              </w:rPr>
              <w:t>2</w:t>
            </w:r>
            <w:r w:rsidR="00E451B0">
              <w:rPr>
                <w:snapToGrid w:val="0"/>
                <w:color w:val="000000"/>
              </w:rPr>
              <w:t>7,872,657</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7D9B64C3" w:rsidR="001F62EC" w:rsidRPr="00E74795" w:rsidRDefault="00662C05" w:rsidP="001F62EC">
            <w:pPr>
              <w:tabs>
                <w:tab w:val="decimal" w:pos="1500"/>
              </w:tabs>
              <w:rPr>
                <w:snapToGrid w:val="0"/>
                <w:color w:val="000000"/>
              </w:rPr>
            </w:pPr>
            <w:r>
              <w:rPr>
                <w:snapToGrid w:val="0"/>
                <w:color w:val="000000"/>
              </w:rPr>
              <w:t>4,361,704</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540281E0" w:rsidR="001F62EC" w:rsidRPr="00E74795" w:rsidRDefault="001F62EC" w:rsidP="001F62EC">
            <w:pPr>
              <w:rPr>
                <w:snapToGrid w:val="0"/>
                <w:color w:val="000000"/>
              </w:rPr>
            </w:pPr>
            <w:r w:rsidRPr="00374FE3">
              <w:rPr>
                <w:snapToGrid w:val="0"/>
                <w:color w:val="000000"/>
              </w:rPr>
              <w:t>Total liabilities and stockholders’ equity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765216B6"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986D87">
              <w:rPr>
                <w:snapToGrid w:val="0"/>
                <w:color w:val="000000"/>
              </w:rPr>
              <w:t>33,240,525</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1B948F85"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62C05">
              <w:rPr>
                <w:snapToGrid w:val="0"/>
                <w:color w:val="000000"/>
              </w:rPr>
              <w:t>11,797,064</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0E34125" w14:textId="77777777" w:rsidR="00F06223" w:rsidRDefault="00F06223" w:rsidP="00315051">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236226C7" w14:textId="77777777" w:rsidR="0034086E" w:rsidRPr="00212F30" w:rsidRDefault="0034086E" w:rsidP="0034086E">
      <w:pPr>
        <w:tabs>
          <w:tab w:val="left" w:pos="1080"/>
          <w:tab w:val="left" w:pos="1260"/>
          <w:tab w:val="left" w:pos="2340"/>
          <w:tab w:val="right" w:pos="9180"/>
        </w:tabs>
        <w:ind w:right="-360"/>
      </w:pPr>
    </w:p>
    <w:p w14:paraId="07765CD7" w14:textId="77777777" w:rsidR="0034086E" w:rsidRPr="00BA4187" w:rsidRDefault="0034086E" w:rsidP="0034086E">
      <w:pPr>
        <w:tabs>
          <w:tab w:val="left" w:pos="1080"/>
          <w:tab w:val="left" w:pos="1260"/>
          <w:tab w:val="left" w:pos="2340"/>
          <w:tab w:val="right" w:pos="9180"/>
        </w:tabs>
        <w:ind w:right="-360"/>
        <w:jc w:val="center"/>
        <w:rPr>
          <w:b/>
        </w:rPr>
      </w:pPr>
      <w:r w:rsidRPr="00BA4187">
        <w:rPr>
          <w:b/>
        </w:rPr>
        <w:t>GEOVAX LABS, INC.</w:t>
      </w:r>
    </w:p>
    <w:p w14:paraId="62D44E97" w14:textId="77777777" w:rsidR="0034086E" w:rsidRPr="00BA4187" w:rsidRDefault="0034086E" w:rsidP="0034086E">
      <w:pPr>
        <w:tabs>
          <w:tab w:val="left" w:pos="1080"/>
          <w:tab w:val="left" w:pos="1260"/>
          <w:tab w:val="left" w:pos="2340"/>
          <w:tab w:val="right" w:pos="9180"/>
        </w:tabs>
        <w:ind w:right="-360"/>
        <w:jc w:val="center"/>
        <w:rPr>
          <w:b/>
        </w:rPr>
      </w:pPr>
      <w:r w:rsidRPr="00BA4187">
        <w:rPr>
          <w:b/>
        </w:rPr>
        <w:t>CONDENSED CONSOLIDATED STATEMENTS OF OPERATIONS</w:t>
      </w:r>
    </w:p>
    <w:p w14:paraId="05D7D053" w14:textId="77777777" w:rsidR="0034086E" w:rsidRPr="00BA4187" w:rsidRDefault="0034086E" w:rsidP="0034086E">
      <w:pPr>
        <w:tabs>
          <w:tab w:val="left" w:pos="1080"/>
          <w:tab w:val="left" w:pos="1260"/>
          <w:tab w:val="left" w:pos="2340"/>
          <w:tab w:val="right" w:pos="9180"/>
        </w:tabs>
        <w:ind w:right="-360"/>
        <w:jc w:val="center"/>
        <w:rPr>
          <w:b/>
        </w:rPr>
      </w:pPr>
      <w:r w:rsidRPr="00BA4187">
        <w:rPr>
          <w:b/>
        </w:rPr>
        <w:t>(Unaudited)</w:t>
      </w:r>
    </w:p>
    <w:p w14:paraId="435FAEFC" w14:textId="77777777" w:rsidR="0034086E" w:rsidRPr="00BA4187" w:rsidRDefault="0034086E" w:rsidP="0034086E">
      <w:pPr>
        <w:tabs>
          <w:tab w:val="left" w:pos="1080"/>
          <w:tab w:val="left" w:pos="1260"/>
          <w:tab w:val="left" w:pos="2340"/>
          <w:tab w:val="right" w:pos="9180"/>
        </w:tabs>
        <w:ind w:right="-360"/>
        <w:jc w:val="center"/>
      </w:pPr>
    </w:p>
    <w:p w14:paraId="48C8C12E" w14:textId="77777777" w:rsidR="0034086E" w:rsidRDefault="0034086E" w:rsidP="0034086E">
      <w:pPr>
        <w:tabs>
          <w:tab w:val="left" w:pos="1080"/>
          <w:tab w:val="left" w:pos="1260"/>
          <w:tab w:val="left" w:pos="2340"/>
          <w:tab w:val="right" w:pos="9180"/>
        </w:tabs>
        <w:ind w:right="-360"/>
      </w:pPr>
    </w:p>
    <w:p w14:paraId="58A7CE10" w14:textId="77777777" w:rsidR="0034086E" w:rsidRDefault="0034086E" w:rsidP="0034086E">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34086E" w:rsidRPr="000D3DC5" w14:paraId="19DA8CB2" w14:textId="77777777" w:rsidTr="001B1FEA">
        <w:tc>
          <w:tcPr>
            <w:tcW w:w="378" w:type="dxa"/>
          </w:tcPr>
          <w:p w14:paraId="3899192D" w14:textId="77777777" w:rsidR="0034086E" w:rsidRPr="000D3DC5" w:rsidRDefault="0034086E" w:rsidP="001B1FEA">
            <w:pPr>
              <w:ind w:right="-360"/>
            </w:pPr>
          </w:p>
        </w:tc>
        <w:tc>
          <w:tcPr>
            <w:tcW w:w="450" w:type="dxa"/>
          </w:tcPr>
          <w:p w14:paraId="64679342" w14:textId="77777777" w:rsidR="0034086E" w:rsidRPr="000D3DC5" w:rsidRDefault="0034086E" w:rsidP="001B1FEA">
            <w:pPr>
              <w:ind w:right="-360"/>
            </w:pPr>
          </w:p>
        </w:tc>
        <w:tc>
          <w:tcPr>
            <w:tcW w:w="450" w:type="dxa"/>
          </w:tcPr>
          <w:p w14:paraId="748948DA" w14:textId="77777777" w:rsidR="0034086E" w:rsidRPr="000D3DC5" w:rsidRDefault="0034086E" w:rsidP="001B1FEA">
            <w:pPr>
              <w:ind w:right="-360"/>
            </w:pPr>
          </w:p>
        </w:tc>
        <w:tc>
          <w:tcPr>
            <w:tcW w:w="2160" w:type="dxa"/>
          </w:tcPr>
          <w:p w14:paraId="51BCD964" w14:textId="77777777" w:rsidR="0034086E" w:rsidRPr="000D3DC5" w:rsidRDefault="0034086E" w:rsidP="001B1FEA">
            <w:pPr>
              <w:tabs>
                <w:tab w:val="right" w:pos="9180"/>
              </w:tabs>
              <w:ind w:right="-360"/>
            </w:pPr>
          </w:p>
        </w:tc>
        <w:tc>
          <w:tcPr>
            <w:tcW w:w="3240" w:type="dxa"/>
            <w:gridSpan w:val="3"/>
            <w:tcBorders>
              <w:bottom w:val="single" w:sz="4" w:space="0" w:color="auto"/>
            </w:tcBorders>
          </w:tcPr>
          <w:p w14:paraId="54ECB774" w14:textId="77777777" w:rsidR="0034086E" w:rsidRDefault="0034086E" w:rsidP="001B1FEA">
            <w:pPr>
              <w:tabs>
                <w:tab w:val="right" w:pos="9180"/>
              </w:tabs>
              <w:ind w:right="-46"/>
              <w:jc w:val="center"/>
            </w:pPr>
            <w:r>
              <w:t>Three Months Ended June 30,</w:t>
            </w:r>
          </w:p>
        </w:tc>
        <w:tc>
          <w:tcPr>
            <w:tcW w:w="450" w:type="dxa"/>
          </w:tcPr>
          <w:p w14:paraId="1846CD16" w14:textId="77777777" w:rsidR="0034086E" w:rsidRPr="000D3DC5" w:rsidRDefault="0034086E" w:rsidP="001B1FEA">
            <w:pPr>
              <w:tabs>
                <w:tab w:val="right" w:pos="9180"/>
              </w:tabs>
              <w:ind w:right="-360"/>
              <w:jc w:val="center"/>
            </w:pPr>
          </w:p>
        </w:tc>
        <w:tc>
          <w:tcPr>
            <w:tcW w:w="3240" w:type="dxa"/>
            <w:gridSpan w:val="3"/>
            <w:tcBorders>
              <w:bottom w:val="single" w:sz="4" w:space="0" w:color="auto"/>
            </w:tcBorders>
          </w:tcPr>
          <w:p w14:paraId="6F3686B4" w14:textId="77777777" w:rsidR="0034086E" w:rsidRDefault="0034086E" w:rsidP="001B1FEA">
            <w:pPr>
              <w:tabs>
                <w:tab w:val="right" w:pos="9180"/>
              </w:tabs>
              <w:ind w:right="-18"/>
              <w:jc w:val="center"/>
            </w:pPr>
            <w:r>
              <w:t>Six Months Ended June 30,</w:t>
            </w:r>
          </w:p>
        </w:tc>
      </w:tr>
      <w:tr w:rsidR="0034086E" w:rsidRPr="000D3DC5" w14:paraId="21A87537" w14:textId="77777777" w:rsidTr="001B1FEA">
        <w:tc>
          <w:tcPr>
            <w:tcW w:w="378" w:type="dxa"/>
          </w:tcPr>
          <w:p w14:paraId="70545251" w14:textId="77777777" w:rsidR="0034086E" w:rsidRPr="000D3DC5" w:rsidRDefault="0034086E" w:rsidP="001B1FEA">
            <w:pPr>
              <w:ind w:right="-360"/>
            </w:pPr>
          </w:p>
        </w:tc>
        <w:tc>
          <w:tcPr>
            <w:tcW w:w="450" w:type="dxa"/>
          </w:tcPr>
          <w:p w14:paraId="6DE6DC78" w14:textId="77777777" w:rsidR="0034086E" w:rsidRPr="000D3DC5" w:rsidRDefault="0034086E" w:rsidP="001B1FEA">
            <w:pPr>
              <w:ind w:right="-360"/>
            </w:pPr>
          </w:p>
        </w:tc>
        <w:tc>
          <w:tcPr>
            <w:tcW w:w="450" w:type="dxa"/>
          </w:tcPr>
          <w:p w14:paraId="4CA4C8ED" w14:textId="77777777" w:rsidR="0034086E" w:rsidRPr="000D3DC5" w:rsidRDefault="0034086E" w:rsidP="001B1FEA">
            <w:pPr>
              <w:ind w:right="-360"/>
            </w:pPr>
          </w:p>
        </w:tc>
        <w:tc>
          <w:tcPr>
            <w:tcW w:w="2160" w:type="dxa"/>
          </w:tcPr>
          <w:p w14:paraId="68BD0423" w14:textId="77777777" w:rsidR="0034086E" w:rsidRPr="000D3DC5" w:rsidRDefault="0034086E" w:rsidP="001B1FEA">
            <w:pPr>
              <w:tabs>
                <w:tab w:val="right" w:pos="9180"/>
              </w:tabs>
              <w:ind w:right="-360"/>
            </w:pPr>
          </w:p>
        </w:tc>
        <w:tc>
          <w:tcPr>
            <w:tcW w:w="1530" w:type="dxa"/>
            <w:tcBorders>
              <w:top w:val="single" w:sz="4" w:space="0" w:color="auto"/>
              <w:bottom w:val="single" w:sz="4" w:space="0" w:color="auto"/>
            </w:tcBorders>
          </w:tcPr>
          <w:p w14:paraId="36549CF7" w14:textId="2E5F89D0" w:rsidR="0034086E" w:rsidRPr="000D3DC5" w:rsidRDefault="0034086E" w:rsidP="001B1FEA">
            <w:pPr>
              <w:tabs>
                <w:tab w:val="right" w:pos="9180"/>
              </w:tabs>
              <w:ind w:right="-18"/>
              <w:jc w:val="center"/>
            </w:pPr>
            <w:r>
              <w:t>202</w:t>
            </w:r>
            <w:r w:rsidR="001619B6">
              <w:t>2</w:t>
            </w:r>
          </w:p>
        </w:tc>
        <w:tc>
          <w:tcPr>
            <w:tcW w:w="270" w:type="dxa"/>
            <w:tcBorders>
              <w:top w:val="single" w:sz="4" w:space="0" w:color="auto"/>
            </w:tcBorders>
          </w:tcPr>
          <w:p w14:paraId="671678EF" w14:textId="77777777" w:rsidR="0034086E" w:rsidRPr="000D3DC5" w:rsidRDefault="0034086E" w:rsidP="001B1FEA">
            <w:pPr>
              <w:tabs>
                <w:tab w:val="right" w:pos="9180"/>
              </w:tabs>
              <w:ind w:right="-360"/>
              <w:jc w:val="center"/>
            </w:pPr>
          </w:p>
        </w:tc>
        <w:tc>
          <w:tcPr>
            <w:tcW w:w="1440" w:type="dxa"/>
            <w:tcBorders>
              <w:top w:val="single" w:sz="4" w:space="0" w:color="auto"/>
              <w:bottom w:val="single" w:sz="4" w:space="0" w:color="auto"/>
            </w:tcBorders>
          </w:tcPr>
          <w:p w14:paraId="642A546B" w14:textId="65A5EAB6" w:rsidR="0034086E" w:rsidRPr="000D3DC5" w:rsidRDefault="0034086E" w:rsidP="001B1FEA">
            <w:pPr>
              <w:tabs>
                <w:tab w:val="right" w:pos="9180"/>
              </w:tabs>
              <w:ind w:right="-46"/>
              <w:jc w:val="center"/>
            </w:pPr>
            <w:r>
              <w:t>202</w:t>
            </w:r>
            <w:r w:rsidR="00833915">
              <w:t>1</w:t>
            </w:r>
          </w:p>
        </w:tc>
        <w:tc>
          <w:tcPr>
            <w:tcW w:w="450" w:type="dxa"/>
          </w:tcPr>
          <w:p w14:paraId="46F586C8" w14:textId="77777777" w:rsidR="0034086E" w:rsidRPr="000D3DC5" w:rsidRDefault="0034086E" w:rsidP="001B1FEA">
            <w:pPr>
              <w:tabs>
                <w:tab w:val="right" w:pos="9180"/>
              </w:tabs>
              <w:ind w:right="-360"/>
              <w:jc w:val="center"/>
            </w:pPr>
          </w:p>
        </w:tc>
        <w:tc>
          <w:tcPr>
            <w:tcW w:w="1440" w:type="dxa"/>
            <w:tcBorders>
              <w:bottom w:val="single" w:sz="4" w:space="0" w:color="auto"/>
            </w:tcBorders>
          </w:tcPr>
          <w:p w14:paraId="54406E70" w14:textId="41A0D961" w:rsidR="0034086E" w:rsidRPr="000D3DC5" w:rsidRDefault="0034086E" w:rsidP="001B1FEA">
            <w:pPr>
              <w:tabs>
                <w:tab w:val="right" w:pos="9180"/>
              </w:tabs>
              <w:ind w:right="-18"/>
              <w:jc w:val="center"/>
            </w:pPr>
            <w:r>
              <w:t>202</w:t>
            </w:r>
            <w:r w:rsidR="001619B6">
              <w:t>2</w:t>
            </w:r>
          </w:p>
        </w:tc>
        <w:tc>
          <w:tcPr>
            <w:tcW w:w="270" w:type="dxa"/>
          </w:tcPr>
          <w:p w14:paraId="46D998FA" w14:textId="77777777" w:rsidR="0034086E" w:rsidRPr="000D3DC5" w:rsidRDefault="0034086E" w:rsidP="001B1FEA">
            <w:pPr>
              <w:tabs>
                <w:tab w:val="right" w:pos="9180"/>
              </w:tabs>
              <w:ind w:right="-360"/>
              <w:jc w:val="center"/>
            </w:pPr>
          </w:p>
        </w:tc>
        <w:tc>
          <w:tcPr>
            <w:tcW w:w="1530" w:type="dxa"/>
            <w:tcBorders>
              <w:bottom w:val="single" w:sz="4" w:space="0" w:color="auto"/>
            </w:tcBorders>
          </w:tcPr>
          <w:p w14:paraId="24CE83F1" w14:textId="559589ED" w:rsidR="0034086E" w:rsidRPr="000D3DC5" w:rsidRDefault="0034086E" w:rsidP="001B1FEA">
            <w:pPr>
              <w:tabs>
                <w:tab w:val="right" w:pos="9180"/>
              </w:tabs>
              <w:ind w:right="-18"/>
              <w:jc w:val="center"/>
            </w:pPr>
            <w:r>
              <w:t>202</w:t>
            </w:r>
            <w:r w:rsidR="00833915">
              <w:t>1</w:t>
            </w:r>
          </w:p>
        </w:tc>
      </w:tr>
      <w:tr w:rsidR="0034086E" w:rsidRPr="000D3DC5" w14:paraId="3D0D45A8" w14:textId="77777777" w:rsidTr="001B1FEA">
        <w:tc>
          <w:tcPr>
            <w:tcW w:w="3438" w:type="dxa"/>
            <w:gridSpan w:val="4"/>
          </w:tcPr>
          <w:p w14:paraId="56A58F74" w14:textId="0376B60E" w:rsidR="0034086E" w:rsidRPr="000D3DC5" w:rsidRDefault="0034086E" w:rsidP="001B1FEA">
            <w:pPr>
              <w:tabs>
                <w:tab w:val="right" w:pos="9180"/>
              </w:tabs>
              <w:ind w:right="-360"/>
            </w:pPr>
            <w:r w:rsidRPr="000D3DC5">
              <w:t>Grant</w:t>
            </w:r>
            <w:r>
              <w:t xml:space="preserve"> </w:t>
            </w:r>
            <w:r w:rsidRPr="000D3DC5">
              <w:t>revenue</w:t>
            </w:r>
          </w:p>
        </w:tc>
        <w:tc>
          <w:tcPr>
            <w:tcW w:w="1530" w:type="dxa"/>
          </w:tcPr>
          <w:p w14:paraId="287D3221" w14:textId="463E4C09" w:rsidR="0034086E" w:rsidRPr="000D3DC5" w:rsidRDefault="0034086E" w:rsidP="001B1FEA">
            <w:pPr>
              <w:tabs>
                <w:tab w:val="decimal" w:pos="1152"/>
                <w:tab w:val="right" w:pos="9180"/>
              </w:tabs>
              <w:ind w:right="-18"/>
            </w:pPr>
            <w:r>
              <w:t>$</w:t>
            </w:r>
            <w:r>
              <w:tab/>
            </w:r>
            <w:r w:rsidR="00986D87">
              <w:t>-</w:t>
            </w:r>
          </w:p>
        </w:tc>
        <w:tc>
          <w:tcPr>
            <w:tcW w:w="270" w:type="dxa"/>
          </w:tcPr>
          <w:p w14:paraId="65F8DF6C" w14:textId="77777777" w:rsidR="0034086E" w:rsidRPr="000D3DC5" w:rsidRDefault="0034086E" w:rsidP="001B1FEA">
            <w:pPr>
              <w:tabs>
                <w:tab w:val="right" w:pos="9180"/>
              </w:tabs>
              <w:ind w:right="-360"/>
            </w:pPr>
          </w:p>
        </w:tc>
        <w:tc>
          <w:tcPr>
            <w:tcW w:w="1440" w:type="dxa"/>
          </w:tcPr>
          <w:p w14:paraId="17A01E5C" w14:textId="3033B1AA" w:rsidR="0034086E" w:rsidRPr="000D3DC5" w:rsidRDefault="0034086E" w:rsidP="001B1FEA">
            <w:pPr>
              <w:tabs>
                <w:tab w:val="decimal" w:pos="1062"/>
                <w:tab w:val="right" w:pos="9180"/>
              </w:tabs>
              <w:ind w:right="-46"/>
            </w:pPr>
            <w:r>
              <w:t>$</w:t>
            </w:r>
            <w:r>
              <w:tab/>
            </w:r>
            <w:r w:rsidR="00833915">
              <w:t>79,708</w:t>
            </w:r>
          </w:p>
        </w:tc>
        <w:tc>
          <w:tcPr>
            <w:tcW w:w="450" w:type="dxa"/>
          </w:tcPr>
          <w:p w14:paraId="74B96704" w14:textId="77777777" w:rsidR="0034086E" w:rsidRPr="000D3DC5" w:rsidRDefault="0034086E" w:rsidP="001B1FEA">
            <w:pPr>
              <w:tabs>
                <w:tab w:val="right" w:pos="9180"/>
              </w:tabs>
              <w:ind w:right="-360"/>
            </w:pPr>
          </w:p>
        </w:tc>
        <w:tc>
          <w:tcPr>
            <w:tcW w:w="1440" w:type="dxa"/>
          </w:tcPr>
          <w:p w14:paraId="07B1FC1E" w14:textId="0025A578" w:rsidR="0034086E" w:rsidRPr="000D3DC5" w:rsidRDefault="0034086E" w:rsidP="001B1FEA">
            <w:pPr>
              <w:tabs>
                <w:tab w:val="decimal" w:pos="1062"/>
                <w:tab w:val="right" w:pos="9180"/>
              </w:tabs>
              <w:ind w:right="-18"/>
            </w:pPr>
            <w:r w:rsidRPr="000D3DC5">
              <w:t>$</w:t>
            </w:r>
            <w:r w:rsidRPr="000D3DC5">
              <w:tab/>
            </w:r>
            <w:r w:rsidR="00986D87">
              <w:t>81,526</w:t>
            </w:r>
          </w:p>
        </w:tc>
        <w:tc>
          <w:tcPr>
            <w:tcW w:w="270" w:type="dxa"/>
          </w:tcPr>
          <w:p w14:paraId="5221C185" w14:textId="77777777" w:rsidR="0034086E" w:rsidRPr="000D3DC5" w:rsidRDefault="0034086E" w:rsidP="001B1FEA">
            <w:pPr>
              <w:tabs>
                <w:tab w:val="right" w:pos="9180"/>
              </w:tabs>
              <w:ind w:right="-360"/>
            </w:pPr>
          </w:p>
        </w:tc>
        <w:tc>
          <w:tcPr>
            <w:tcW w:w="1530" w:type="dxa"/>
          </w:tcPr>
          <w:p w14:paraId="7409F51D" w14:textId="16FFD797" w:rsidR="0034086E" w:rsidRPr="000D3DC5" w:rsidRDefault="0034086E" w:rsidP="001B1FEA">
            <w:pPr>
              <w:tabs>
                <w:tab w:val="decimal" w:pos="1152"/>
                <w:tab w:val="right" w:pos="9180"/>
              </w:tabs>
              <w:ind w:right="-18"/>
            </w:pPr>
            <w:r w:rsidRPr="000D3DC5">
              <w:t>$</w:t>
            </w:r>
            <w:r w:rsidRPr="000D3DC5">
              <w:tab/>
            </w:r>
            <w:r w:rsidR="001619B6">
              <w:t>190,125</w:t>
            </w:r>
          </w:p>
        </w:tc>
      </w:tr>
      <w:tr w:rsidR="0034086E" w:rsidRPr="000D3DC5" w14:paraId="4060173D" w14:textId="77777777" w:rsidTr="001B1FEA">
        <w:tc>
          <w:tcPr>
            <w:tcW w:w="378" w:type="dxa"/>
          </w:tcPr>
          <w:p w14:paraId="41361C11" w14:textId="77777777" w:rsidR="0034086E" w:rsidRPr="000D3DC5" w:rsidRDefault="0034086E" w:rsidP="001B1FEA">
            <w:pPr>
              <w:ind w:right="-360"/>
            </w:pPr>
          </w:p>
        </w:tc>
        <w:tc>
          <w:tcPr>
            <w:tcW w:w="450" w:type="dxa"/>
          </w:tcPr>
          <w:p w14:paraId="53DF9071" w14:textId="77777777" w:rsidR="0034086E" w:rsidRPr="000D3DC5" w:rsidRDefault="0034086E" w:rsidP="001B1FEA">
            <w:pPr>
              <w:ind w:right="-360"/>
            </w:pPr>
          </w:p>
        </w:tc>
        <w:tc>
          <w:tcPr>
            <w:tcW w:w="450" w:type="dxa"/>
          </w:tcPr>
          <w:p w14:paraId="42B517D7" w14:textId="77777777" w:rsidR="0034086E" w:rsidRPr="000D3DC5" w:rsidRDefault="0034086E" w:rsidP="001B1FEA">
            <w:pPr>
              <w:ind w:right="-360"/>
            </w:pPr>
          </w:p>
        </w:tc>
        <w:tc>
          <w:tcPr>
            <w:tcW w:w="2160" w:type="dxa"/>
          </w:tcPr>
          <w:p w14:paraId="38607650" w14:textId="77777777" w:rsidR="0034086E" w:rsidRPr="000D3DC5" w:rsidRDefault="0034086E" w:rsidP="001B1FEA">
            <w:pPr>
              <w:tabs>
                <w:tab w:val="right" w:pos="9180"/>
              </w:tabs>
              <w:ind w:right="-360"/>
            </w:pPr>
          </w:p>
        </w:tc>
        <w:tc>
          <w:tcPr>
            <w:tcW w:w="1530" w:type="dxa"/>
          </w:tcPr>
          <w:p w14:paraId="67A7A16B" w14:textId="77777777" w:rsidR="0034086E" w:rsidRPr="000D3DC5" w:rsidRDefault="0034086E" w:rsidP="001B1FEA">
            <w:pPr>
              <w:tabs>
                <w:tab w:val="right" w:pos="9180"/>
              </w:tabs>
              <w:ind w:right="-18"/>
            </w:pPr>
          </w:p>
        </w:tc>
        <w:tc>
          <w:tcPr>
            <w:tcW w:w="270" w:type="dxa"/>
          </w:tcPr>
          <w:p w14:paraId="24E87537" w14:textId="77777777" w:rsidR="0034086E" w:rsidRPr="000D3DC5" w:rsidRDefault="0034086E" w:rsidP="001B1FEA">
            <w:pPr>
              <w:tabs>
                <w:tab w:val="right" w:pos="9180"/>
              </w:tabs>
              <w:ind w:right="-360"/>
            </w:pPr>
          </w:p>
        </w:tc>
        <w:tc>
          <w:tcPr>
            <w:tcW w:w="1440" w:type="dxa"/>
          </w:tcPr>
          <w:p w14:paraId="04E595AD" w14:textId="77777777" w:rsidR="0034086E" w:rsidRPr="000D3DC5" w:rsidRDefault="0034086E" w:rsidP="001B1FEA">
            <w:pPr>
              <w:tabs>
                <w:tab w:val="right" w:pos="9180"/>
              </w:tabs>
              <w:ind w:right="-46"/>
            </w:pPr>
          </w:p>
        </w:tc>
        <w:tc>
          <w:tcPr>
            <w:tcW w:w="450" w:type="dxa"/>
          </w:tcPr>
          <w:p w14:paraId="76ABC764" w14:textId="77777777" w:rsidR="0034086E" w:rsidRPr="000D3DC5" w:rsidRDefault="0034086E" w:rsidP="001B1FEA">
            <w:pPr>
              <w:tabs>
                <w:tab w:val="right" w:pos="9180"/>
              </w:tabs>
              <w:ind w:right="-360"/>
            </w:pPr>
          </w:p>
        </w:tc>
        <w:tc>
          <w:tcPr>
            <w:tcW w:w="1440" w:type="dxa"/>
          </w:tcPr>
          <w:p w14:paraId="370D345A" w14:textId="77777777" w:rsidR="0034086E" w:rsidRPr="000D3DC5" w:rsidRDefault="0034086E" w:rsidP="001B1FEA">
            <w:pPr>
              <w:tabs>
                <w:tab w:val="right" w:pos="9180"/>
              </w:tabs>
              <w:ind w:right="-18"/>
            </w:pPr>
          </w:p>
        </w:tc>
        <w:tc>
          <w:tcPr>
            <w:tcW w:w="270" w:type="dxa"/>
          </w:tcPr>
          <w:p w14:paraId="109E1F43" w14:textId="77777777" w:rsidR="0034086E" w:rsidRPr="000D3DC5" w:rsidRDefault="0034086E" w:rsidP="001B1FEA">
            <w:pPr>
              <w:tabs>
                <w:tab w:val="right" w:pos="9180"/>
              </w:tabs>
              <w:ind w:right="-360"/>
            </w:pPr>
          </w:p>
        </w:tc>
        <w:tc>
          <w:tcPr>
            <w:tcW w:w="1530" w:type="dxa"/>
          </w:tcPr>
          <w:p w14:paraId="1D221A85" w14:textId="77777777" w:rsidR="0034086E" w:rsidRPr="000D3DC5" w:rsidRDefault="0034086E" w:rsidP="001B1FEA">
            <w:pPr>
              <w:tabs>
                <w:tab w:val="right" w:pos="9180"/>
              </w:tabs>
              <w:ind w:right="-18"/>
            </w:pPr>
          </w:p>
        </w:tc>
      </w:tr>
      <w:tr w:rsidR="0034086E" w:rsidRPr="000D3DC5" w14:paraId="7F4044AA" w14:textId="77777777" w:rsidTr="001B1FEA">
        <w:tc>
          <w:tcPr>
            <w:tcW w:w="3438" w:type="dxa"/>
            <w:gridSpan w:val="4"/>
          </w:tcPr>
          <w:p w14:paraId="41685E78" w14:textId="77777777" w:rsidR="0034086E" w:rsidRPr="000D3DC5" w:rsidRDefault="0034086E" w:rsidP="001B1FEA">
            <w:pPr>
              <w:tabs>
                <w:tab w:val="right" w:pos="9180"/>
              </w:tabs>
              <w:ind w:right="-360"/>
            </w:pPr>
            <w:r w:rsidRPr="000D3DC5">
              <w:t>Operating expenses:</w:t>
            </w:r>
          </w:p>
        </w:tc>
        <w:tc>
          <w:tcPr>
            <w:tcW w:w="1530" w:type="dxa"/>
          </w:tcPr>
          <w:p w14:paraId="5BFCFD3B" w14:textId="77777777" w:rsidR="0034086E" w:rsidRPr="000D3DC5" w:rsidRDefault="0034086E" w:rsidP="001B1FEA">
            <w:pPr>
              <w:tabs>
                <w:tab w:val="right" w:pos="9180"/>
              </w:tabs>
              <w:ind w:right="-18"/>
            </w:pPr>
          </w:p>
        </w:tc>
        <w:tc>
          <w:tcPr>
            <w:tcW w:w="270" w:type="dxa"/>
          </w:tcPr>
          <w:p w14:paraId="138B9FE5" w14:textId="77777777" w:rsidR="0034086E" w:rsidRPr="000D3DC5" w:rsidRDefault="0034086E" w:rsidP="001B1FEA">
            <w:pPr>
              <w:tabs>
                <w:tab w:val="right" w:pos="9180"/>
              </w:tabs>
              <w:ind w:right="-360"/>
            </w:pPr>
          </w:p>
        </w:tc>
        <w:tc>
          <w:tcPr>
            <w:tcW w:w="1440" w:type="dxa"/>
          </w:tcPr>
          <w:p w14:paraId="6E81D766" w14:textId="77777777" w:rsidR="0034086E" w:rsidRPr="000D3DC5" w:rsidRDefault="0034086E" w:rsidP="001B1FEA">
            <w:pPr>
              <w:tabs>
                <w:tab w:val="right" w:pos="9180"/>
              </w:tabs>
              <w:ind w:right="-46"/>
            </w:pPr>
          </w:p>
        </w:tc>
        <w:tc>
          <w:tcPr>
            <w:tcW w:w="450" w:type="dxa"/>
          </w:tcPr>
          <w:p w14:paraId="063161A3" w14:textId="77777777" w:rsidR="0034086E" w:rsidRPr="000D3DC5" w:rsidRDefault="0034086E" w:rsidP="001B1FEA">
            <w:pPr>
              <w:tabs>
                <w:tab w:val="right" w:pos="9180"/>
              </w:tabs>
              <w:ind w:right="-360"/>
            </w:pPr>
          </w:p>
        </w:tc>
        <w:tc>
          <w:tcPr>
            <w:tcW w:w="1440" w:type="dxa"/>
          </w:tcPr>
          <w:p w14:paraId="2F7B6E2D" w14:textId="77777777" w:rsidR="0034086E" w:rsidRPr="000D3DC5" w:rsidRDefault="0034086E" w:rsidP="001B1FEA">
            <w:pPr>
              <w:tabs>
                <w:tab w:val="right" w:pos="9180"/>
              </w:tabs>
              <w:ind w:right="-18"/>
            </w:pPr>
          </w:p>
        </w:tc>
        <w:tc>
          <w:tcPr>
            <w:tcW w:w="270" w:type="dxa"/>
          </w:tcPr>
          <w:p w14:paraId="2D3E8486" w14:textId="77777777" w:rsidR="0034086E" w:rsidRPr="000D3DC5" w:rsidRDefault="0034086E" w:rsidP="001B1FEA">
            <w:pPr>
              <w:tabs>
                <w:tab w:val="right" w:pos="9180"/>
              </w:tabs>
              <w:ind w:right="-360"/>
            </w:pPr>
          </w:p>
        </w:tc>
        <w:tc>
          <w:tcPr>
            <w:tcW w:w="1530" w:type="dxa"/>
          </w:tcPr>
          <w:p w14:paraId="526EC9CB" w14:textId="77777777" w:rsidR="0034086E" w:rsidRPr="000D3DC5" w:rsidRDefault="0034086E" w:rsidP="001B1FEA">
            <w:pPr>
              <w:tabs>
                <w:tab w:val="right" w:pos="9180"/>
              </w:tabs>
              <w:ind w:right="-18"/>
            </w:pPr>
          </w:p>
        </w:tc>
      </w:tr>
      <w:tr w:rsidR="0034086E" w:rsidRPr="000D3DC5" w14:paraId="1762B2AD" w14:textId="77777777" w:rsidTr="001B1FEA">
        <w:tc>
          <w:tcPr>
            <w:tcW w:w="378" w:type="dxa"/>
          </w:tcPr>
          <w:p w14:paraId="5F971861" w14:textId="77777777" w:rsidR="0034086E" w:rsidRPr="000D3DC5" w:rsidRDefault="0034086E" w:rsidP="001B1FEA">
            <w:pPr>
              <w:ind w:right="-360"/>
            </w:pPr>
          </w:p>
        </w:tc>
        <w:tc>
          <w:tcPr>
            <w:tcW w:w="3060" w:type="dxa"/>
            <w:gridSpan w:val="3"/>
          </w:tcPr>
          <w:p w14:paraId="428F2D5C" w14:textId="77777777" w:rsidR="0034086E" w:rsidRPr="000D3DC5" w:rsidRDefault="0034086E" w:rsidP="001B1FEA">
            <w:pPr>
              <w:tabs>
                <w:tab w:val="right" w:pos="9180"/>
              </w:tabs>
              <w:ind w:right="-360"/>
            </w:pPr>
            <w:r w:rsidRPr="000D3DC5">
              <w:t>Research and development</w:t>
            </w:r>
          </w:p>
        </w:tc>
        <w:tc>
          <w:tcPr>
            <w:tcW w:w="1530" w:type="dxa"/>
          </w:tcPr>
          <w:p w14:paraId="09CC0063" w14:textId="5D96510A" w:rsidR="0034086E" w:rsidRPr="000D3DC5" w:rsidRDefault="0034086E" w:rsidP="001B1FEA">
            <w:pPr>
              <w:tabs>
                <w:tab w:val="decimal" w:pos="1152"/>
                <w:tab w:val="right" w:pos="9180"/>
              </w:tabs>
              <w:ind w:right="-18"/>
            </w:pPr>
            <w:r w:rsidRPr="000D3DC5">
              <w:tab/>
            </w:r>
            <w:r w:rsidR="00986D87">
              <w:t>1,</w:t>
            </w:r>
            <w:r w:rsidR="00E451B0">
              <w:t>307,177</w:t>
            </w:r>
          </w:p>
        </w:tc>
        <w:tc>
          <w:tcPr>
            <w:tcW w:w="270" w:type="dxa"/>
          </w:tcPr>
          <w:p w14:paraId="723780E5" w14:textId="77777777" w:rsidR="0034086E" w:rsidRPr="000D3DC5" w:rsidRDefault="0034086E" w:rsidP="001B1FEA">
            <w:pPr>
              <w:tabs>
                <w:tab w:val="right" w:pos="9180"/>
              </w:tabs>
              <w:ind w:right="-360"/>
            </w:pPr>
          </w:p>
        </w:tc>
        <w:tc>
          <w:tcPr>
            <w:tcW w:w="1440" w:type="dxa"/>
          </w:tcPr>
          <w:p w14:paraId="5658D477" w14:textId="18B53CB7" w:rsidR="0034086E" w:rsidRPr="000D3DC5" w:rsidRDefault="0034086E" w:rsidP="001B1FEA">
            <w:pPr>
              <w:tabs>
                <w:tab w:val="decimal" w:pos="1062"/>
                <w:tab w:val="right" w:pos="9180"/>
              </w:tabs>
              <w:ind w:right="-46"/>
            </w:pPr>
            <w:r>
              <w:tab/>
            </w:r>
            <w:r w:rsidR="00833915">
              <w:t>832,835</w:t>
            </w:r>
          </w:p>
        </w:tc>
        <w:tc>
          <w:tcPr>
            <w:tcW w:w="450" w:type="dxa"/>
          </w:tcPr>
          <w:p w14:paraId="28DBBC10" w14:textId="77777777" w:rsidR="0034086E" w:rsidRPr="000D3DC5" w:rsidRDefault="0034086E" w:rsidP="001B1FEA">
            <w:pPr>
              <w:tabs>
                <w:tab w:val="right" w:pos="9180"/>
              </w:tabs>
              <w:ind w:right="-360"/>
            </w:pPr>
          </w:p>
        </w:tc>
        <w:tc>
          <w:tcPr>
            <w:tcW w:w="1440" w:type="dxa"/>
          </w:tcPr>
          <w:p w14:paraId="10CA7BB2" w14:textId="6BA9BC56" w:rsidR="0034086E" w:rsidRPr="000D3DC5" w:rsidRDefault="0034086E" w:rsidP="001B1FEA">
            <w:pPr>
              <w:tabs>
                <w:tab w:val="decimal" w:pos="1062"/>
                <w:tab w:val="right" w:pos="9180"/>
              </w:tabs>
              <w:ind w:right="-18"/>
            </w:pPr>
            <w:r>
              <w:tab/>
            </w:r>
            <w:r w:rsidR="00986D87">
              <w:t>2,</w:t>
            </w:r>
            <w:r w:rsidR="00E451B0">
              <w:t>637,721</w:t>
            </w:r>
          </w:p>
        </w:tc>
        <w:tc>
          <w:tcPr>
            <w:tcW w:w="270" w:type="dxa"/>
          </w:tcPr>
          <w:p w14:paraId="42F812E3" w14:textId="77777777" w:rsidR="0034086E" w:rsidRPr="000D3DC5" w:rsidRDefault="0034086E" w:rsidP="001B1FEA">
            <w:pPr>
              <w:tabs>
                <w:tab w:val="right" w:pos="9180"/>
              </w:tabs>
              <w:ind w:right="-360"/>
            </w:pPr>
          </w:p>
        </w:tc>
        <w:tc>
          <w:tcPr>
            <w:tcW w:w="1530" w:type="dxa"/>
          </w:tcPr>
          <w:p w14:paraId="41F96349" w14:textId="71DA1338" w:rsidR="0034086E" w:rsidRPr="000D3DC5" w:rsidRDefault="0034086E" w:rsidP="001B1FEA">
            <w:pPr>
              <w:tabs>
                <w:tab w:val="decimal" w:pos="1152"/>
                <w:tab w:val="right" w:pos="9180"/>
              </w:tabs>
              <w:ind w:right="-18"/>
            </w:pPr>
            <w:r>
              <w:tab/>
              <w:t>1,</w:t>
            </w:r>
            <w:r w:rsidR="001619B6">
              <w:t>435,618</w:t>
            </w:r>
          </w:p>
        </w:tc>
      </w:tr>
      <w:tr w:rsidR="0034086E" w:rsidRPr="000D3DC5" w14:paraId="40FEC85E" w14:textId="77777777" w:rsidTr="001B1FEA">
        <w:tc>
          <w:tcPr>
            <w:tcW w:w="378" w:type="dxa"/>
          </w:tcPr>
          <w:p w14:paraId="406D5171" w14:textId="77777777" w:rsidR="0034086E" w:rsidRPr="000D3DC5" w:rsidRDefault="0034086E" w:rsidP="001B1FEA">
            <w:pPr>
              <w:ind w:right="-360"/>
            </w:pPr>
          </w:p>
        </w:tc>
        <w:tc>
          <w:tcPr>
            <w:tcW w:w="3060" w:type="dxa"/>
            <w:gridSpan w:val="3"/>
          </w:tcPr>
          <w:p w14:paraId="3CDA378A" w14:textId="77777777" w:rsidR="0034086E" w:rsidRPr="000D3DC5" w:rsidRDefault="0034086E" w:rsidP="001B1FEA">
            <w:pPr>
              <w:tabs>
                <w:tab w:val="right" w:pos="9180"/>
              </w:tabs>
              <w:ind w:right="-360"/>
            </w:pPr>
            <w:r w:rsidRPr="000D3DC5">
              <w:t>General and administrative</w:t>
            </w:r>
          </w:p>
        </w:tc>
        <w:tc>
          <w:tcPr>
            <w:tcW w:w="1530" w:type="dxa"/>
          </w:tcPr>
          <w:p w14:paraId="1A917AA8" w14:textId="47C21AC8" w:rsidR="0034086E" w:rsidRPr="000D3DC5" w:rsidRDefault="0034086E" w:rsidP="001B1FEA">
            <w:pPr>
              <w:tabs>
                <w:tab w:val="decimal" w:pos="1152"/>
                <w:tab w:val="right" w:pos="9180"/>
              </w:tabs>
              <w:ind w:right="-18"/>
            </w:pPr>
            <w:r w:rsidRPr="000D3DC5">
              <w:tab/>
            </w:r>
            <w:r w:rsidR="00986D87">
              <w:t>935,311</w:t>
            </w:r>
          </w:p>
        </w:tc>
        <w:tc>
          <w:tcPr>
            <w:tcW w:w="270" w:type="dxa"/>
          </w:tcPr>
          <w:p w14:paraId="5A1B4A7C" w14:textId="77777777" w:rsidR="0034086E" w:rsidRPr="000D3DC5" w:rsidRDefault="0034086E" w:rsidP="001B1FEA">
            <w:pPr>
              <w:tabs>
                <w:tab w:val="right" w:pos="9180"/>
              </w:tabs>
              <w:ind w:right="-360"/>
            </w:pPr>
          </w:p>
        </w:tc>
        <w:tc>
          <w:tcPr>
            <w:tcW w:w="1440" w:type="dxa"/>
          </w:tcPr>
          <w:p w14:paraId="64054D83" w14:textId="45CE1CFD" w:rsidR="0034086E" w:rsidRPr="000D3DC5" w:rsidRDefault="0034086E" w:rsidP="001B1FEA">
            <w:pPr>
              <w:tabs>
                <w:tab w:val="decimal" w:pos="1062"/>
                <w:tab w:val="right" w:pos="9180"/>
              </w:tabs>
              <w:ind w:right="-46"/>
            </w:pPr>
            <w:r>
              <w:tab/>
            </w:r>
            <w:r w:rsidR="00833915">
              <w:t>733,499</w:t>
            </w:r>
          </w:p>
        </w:tc>
        <w:tc>
          <w:tcPr>
            <w:tcW w:w="450" w:type="dxa"/>
          </w:tcPr>
          <w:p w14:paraId="3A7B8BF5" w14:textId="77777777" w:rsidR="0034086E" w:rsidRPr="000D3DC5" w:rsidRDefault="0034086E" w:rsidP="001B1FEA">
            <w:pPr>
              <w:tabs>
                <w:tab w:val="right" w:pos="9180"/>
              </w:tabs>
              <w:ind w:right="-360"/>
            </w:pPr>
          </w:p>
        </w:tc>
        <w:tc>
          <w:tcPr>
            <w:tcW w:w="1440" w:type="dxa"/>
          </w:tcPr>
          <w:p w14:paraId="30B50907" w14:textId="0F5CF546" w:rsidR="0034086E" w:rsidRPr="000D3DC5" w:rsidRDefault="0034086E" w:rsidP="001B1FEA">
            <w:pPr>
              <w:tabs>
                <w:tab w:val="decimal" w:pos="1062"/>
                <w:tab w:val="right" w:pos="9180"/>
              </w:tabs>
              <w:ind w:right="-18"/>
            </w:pPr>
            <w:r w:rsidRPr="000D3DC5">
              <w:tab/>
            </w:r>
            <w:r w:rsidR="00986D87">
              <w:t>2,114,335</w:t>
            </w:r>
          </w:p>
        </w:tc>
        <w:tc>
          <w:tcPr>
            <w:tcW w:w="270" w:type="dxa"/>
          </w:tcPr>
          <w:p w14:paraId="2C280EE9" w14:textId="77777777" w:rsidR="0034086E" w:rsidRPr="000D3DC5" w:rsidRDefault="0034086E" w:rsidP="001B1FEA">
            <w:pPr>
              <w:tabs>
                <w:tab w:val="right" w:pos="9180"/>
              </w:tabs>
              <w:ind w:right="-360"/>
            </w:pPr>
          </w:p>
        </w:tc>
        <w:tc>
          <w:tcPr>
            <w:tcW w:w="1530" w:type="dxa"/>
          </w:tcPr>
          <w:p w14:paraId="17D0D16C" w14:textId="3E0C1DE0" w:rsidR="0034086E" w:rsidRPr="000D3DC5" w:rsidRDefault="0034086E" w:rsidP="001B1FEA">
            <w:pPr>
              <w:tabs>
                <w:tab w:val="decimal" w:pos="1152"/>
                <w:tab w:val="right" w:pos="9180"/>
              </w:tabs>
              <w:ind w:right="-18"/>
            </w:pPr>
            <w:r>
              <w:tab/>
            </w:r>
            <w:r w:rsidR="001619B6">
              <w:t>1,805,209</w:t>
            </w:r>
          </w:p>
        </w:tc>
      </w:tr>
      <w:tr w:rsidR="0034086E" w:rsidRPr="000D3DC5" w14:paraId="370B89F4" w14:textId="77777777" w:rsidTr="001B1FEA">
        <w:tc>
          <w:tcPr>
            <w:tcW w:w="3438" w:type="dxa"/>
            <w:gridSpan w:val="4"/>
          </w:tcPr>
          <w:p w14:paraId="09599777" w14:textId="77777777" w:rsidR="0034086E" w:rsidRPr="000D3DC5" w:rsidRDefault="0034086E" w:rsidP="001B1FEA">
            <w:pPr>
              <w:tabs>
                <w:tab w:val="right" w:pos="9180"/>
              </w:tabs>
              <w:ind w:right="-360"/>
            </w:pPr>
            <w:r>
              <w:t>Total operating expenses</w:t>
            </w:r>
          </w:p>
        </w:tc>
        <w:tc>
          <w:tcPr>
            <w:tcW w:w="1530" w:type="dxa"/>
            <w:tcBorders>
              <w:top w:val="single" w:sz="4" w:space="0" w:color="auto"/>
              <w:bottom w:val="single" w:sz="4" w:space="0" w:color="auto"/>
            </w:tcBorders>
          </w:tcPr>
          <w:p w14:paraId="4D14777D" w14:textId="57921140" w:rsidR="0034086E" w:rsidRPr="000D3DC5" w:rsidRDefault="0034086E" w:rsidP="001B1FEA">
            <w:pPr>
              <w:tabs>
                <w:tab w:val="decimal" w:pos="1152"/>
                <w:tab w:val="right" w:pos="9180"/>
              </w:tabs>
              <w:ind w:right="-18"/>
            </w:pPr>
            <w:r w:rsidRPr="000D3DC5">
              <w:tab/>
            </w:r>
            <w:r w:rsidR="00986D87">
              <w:t>2,</w:t>
            </w:r>
            <w:r w:rsidR="00E451B0">
              <w:t>242,488</w:t>
            </w:r>
          </w:p>
        </w:tc>
        <w:tc>
          <w:tcPr>
            <w:tcW w:w="270" w:type="dxa"/>
          </w:tcPr>
          <w:p w14:paraId="2538C649" w14:textId="77777777" w:rsidR="0034086E" w:rsidRPr="000D3DC5" w:rsidRDefault="0034086E" w:rsidP="001B1FEA">
            <w:pPr>
              <w:tabs>
                <w:tab w:val="right" w:pos="9180"/>
              </w:tabs>
              <w:ind w:right="-360"/>
            </w:pPr>
          </w:p>
        </w:tc>
        <w:tc>
          <w:tcPr>
            <w:tcW w:w="1440" w:type="dxa"/>
            <w:tcBorders>
              <w:top w:val="single" w:sz="4" w:space="0" w:color="auto"/>
              <w:bottom w:val="single" w:sz="4" w:space="0" w:color="auto"/>
            </w:tcBorders>
          </w:tcPr>
          <w:p w14:paraId="0E1BAA20" w14:textId="63F31CEF" w:rsidR="0034086E" w:rsidRPr="000D3DC5" w:rsidRDefault="0034086E" w:rsidP="001B1FEA">
            <w:pPr>
              <w:tabs>
                <w:tab w:val="decimal" w:pos="1062"/>
                <w:tab w:val="right" w:pos="9180"/>
              </w:tabs>
              <w:ind w:right="-46"/>
            </w:pPr>
            <w:r>
              <w:tab/>
            </w:r>
            <w:r w:rsidR="00833915">
              <w:t>1,566,334</w:t>
            </w:r>
          </w:p>
        </w:tc>
        <w:tc>
          <w:tcPr>
            <w:tcW w:w="450" w:type="dxa"/>
          </w:tcPr>
          <w:p w14:paraId="565A4BAA" w14:textId="77777777" w:rsidR="0034086E" w:rsidRPr="000D3DC5" w:rsidRDefault="0034086E" w:rsidP="001B1FEA">
            <w:pPr>
              <w:tabs>
                <w:tab w:val="right" w:pos="9180"/>
              </w:tabs>
              <w:ind w:right="-360"/>
            </w:pPr>
          </w:p>
        </w:tc>
        <w:tc>
          <w:tcPr>
            <w:tcW w:w="1440" w:type="dxa"/>
            <w:tcBorders>
              <w:top w:val="single" w:sz="4" w:space="0" w:color="auto"/>
              <w:bottom w:val="single" w:sz="4" w:space="0" w:color="auto"/>
            </w:tcBorders>
          </w:tcPr>
          <w:p w14:paraId="6115A1E1" w14:textId="15270A23" w:rsidR="0034086E" w:rsidRPr="000D3DC5" w:rsidRDefault="0034086E" w:rsidP="001B1FEA">
            <w:pPr>
              <w:tabs>
                <w:tab w:val="decimal" w:pos="1062"/>
                <w:tab w:val="right" w:pos="9180"/>
              </w:tabs>
              <w:ind w:right="-18"/>
            </w:pPr>
            <w:r w:rsidRPr="000D3DC5">
              <w:tab/>
            </w:r>
            <w:r w:rsidR="00986D87">
              <w:t>4,</w:t>
            </w:r>
            <w:r w:rsidR="00E451B0">
              <w:t>752,056</w:t>
            </w:r>
          </w:p>
        </w:tc>
        <w:tc>
          <w:tcPr>
            <w:tcW w:w="270" w:type="dxa"/>
          </w:tcPr>
          <w:p w14:paraId="15F02EE0" w14:textId="77777777" w:rsidR="0034086E" w:rsidRPr="000D3DC5" w:rsidRDefault="0034086E" w:rsidP="001B1FEA">
            <w:pPr>
              <w:tabs>
                <w:tab w:val="right" w:pos="9180"/>
              </w:tabs>
              <w:ind w:right="-360"/>
            </w:pPr>
          </w:p>
        </w:tc>
        <w:tc>
          <w:tcPr>
            <w:tcW w:w="1530" w:type="dxa"/>
            <w:tcBorders>
              <w:top w:val="single" w:sz="4" w:space="0" w:color="auto"/>
              <w:bottom w:val="single" w:sz="4" w:space="0" w:color="auto"/>
            </w:tcBorders>
          </w:tcPr>
          <w:p w14:paraId="3A42FDB3" w14:textId="2F4D3532" w:rsidR="0034086E" w:rsidRPr="000D3DC5" w:rsidRDefault="0034086E" w:rsidP="001B1FEA">
            <w:pPr>
              <w:tabs>
                <w:tab w:val="decimal" w:pos="1152"/>
                <w:tab w:val="right" w:pos="9180"/>
              </w:tabs>
              <w:ind w:right="-18"/>
            </w:pPr>
            <w:r>
              <w:tab/>
            </w:r>
            <w:r w:rsidR="001619B6">
              <w:t>3,240,827</w:t>
            </w:r>
          </w:p>
        </w:tc>
      </w:tr>
      <w:tr w:rsidR="0034086E" w:rsidRPr="000D3DC5" w14:paraId="6EA8A1A3" w14:textId="77777777" w:rsidTr="001B1FEA">
        <w:tc>
          <w:tcPr>
            <w:tcW w:w="378" w:type="dxa"/>
          </w:tcPr>
          <w:p w14:paraId="50B82BE2" w14:textId="77777777" w:rsidR="0034086E" w:rsidRPr="000D3DC5" w:rsidRDefault="0034086E" w:rsidP="001B1FEA">
            <w:pPr>
              <w:ind w:right="-360"/>
            </w:pPr>
          </w:p>
        </w:tc>
        <w:tc>
          <w:tcPr>
            <w:tcW w:w="450" w:type="dxa"/>
          </w:tcPr>
          <w:p w14:paraId="44785990" w14:textId="77777777" w:rsidR="0034086E" w:rsidRPr="000D3DC5" w:rsidRDefault="0034086E" w:rsidP="001B1FEA">
            <w:pPr>
              <w:ind w:right="-360"/>
            </w:pPr>
          </w:p>
        </w:tc>
        <w:tc>
          <w:tcPr>
            <w:tcW w:w="450" w:type="dxa"/>
          </w:tcPr>
          <w:p w14:paraId="5810C8B2" w14:textId="77777777" w:rsidR="0034086E" w:rsidRPr="000D3DC5" w:rsidRDefault="0034086E" w:rsidP="001B1FEA">
            <w:pPr>
              <w:ind w:right="-360"/>
            </w:pPr>
          </w:p>
        </w:tc>
        <w:tc>
          <w:tcPr>
            <w:tcW w:w="2160" w:type="dxa"/>
          </w:tcPr>
          <w:p w14:paraId="16F03746" w14:textId="77777777" w:rsidR="0034086E" w:rsidRPr="000D3DC5" w:rsidRDefault="0034086E" w:rsidP="001B1FEA">
            <w:pPr>
              <w:tabs>
                <w:tab w:val="right" w:pos="9180"/>
              </w:tabs>
              <w:ind w:right="-360"/>
            </w:pPr>
          </w:p>
        </w:tc>
        <w:tc>
          <w:tcPr>
            <w:tcW w:w="1530" w:type="dxa"/>
            <w:tcBorders>
              <w:top w:val="single" w:sz="4" w:space="0" w:color="auto"/>
            </w:tcBorders>
          </w:tcPr>
          <w:p w14:paraId="18852D68" w14:textId="77777777" w:rsidR="0034086E" w:rsidRPr="000D3DC5" w:rsidRDefault="0034086E" w:rsidP="001B1FEA">
            <w:pPr>
              <w:tabs>
                <w:tab w:val="right" w:pos="9180"/>
              </w:tabs>
              <w:ind w:right="-18"/>
            </w:pPr>
          </w:p>
        </w:tc>
        <w:tc>
          <w:tcPr>
            <w:tcW w:w="270" w:type="dxa"/>
          </w:tcPr>
          <w:p w14:paraId="482BB25E" w14:textId="77777777" w:rsidR="0034086E" w:rsidRPr="000D3DC5" w:rsidRDefault="0034086E" w:rsidP="001B1FEA">
            <w:pPr>
              <w:tabs>
                <w:tab w:val="right" w:pos="9180"/>
              </w:tabs>
              <w:ind w:right="-360"/>
            </w:pPr>
          </w:p>
        </w:tc>
        <w:tc>
          <w:tcPr>
            <w:tcW w:w="1440" w:type="dxa"/>
            <w:tcBorders>
              <w:top w:val="single" w:sz="4" w:space="0" w:color="auto"/>
            </w:tcBorders>
          </w:tcPr>
          <w:p w14:paraId="4F6693D8" w14:textId="77777777" w:rsidR="0034086E" w:rsidRPr="000D3DC5" w:rsidRDefault="0034086E" w:rsidP="001B1FEA">
            <w:pPr>
              <w:tabs>
                <w:tab w:val="right" w:pos="9180"/>
              </w:tabs>
              <w:ind w:right="-46"/>
            </w:pPr>
          </w:p>
        </w:tc>
        <w:tc>
          <w:tcPr>
            <w:tcW w:w="450" w:type="dxa"/>
          </w:tcPr>
          <w:p w14:paraId="2D429B30" w14:textId="77777777" w:rsidR="0034086E" w:rsidRPr="000D3DC5" w:rsidRDefault="0034086E" w:rsidP="001B1FEA">
            <w:pPr>
              <w:tabs>
                <w:tab w:val="right" w:pos="9180"/>
              </w:tabs>
              <w:ind w:right="-360"/>
            </w:pPr>
          </w:p>
        </w:tc>
        <w:tc>
          <w:tcPr>
            <w:tcW w:w="1440" w:type="dxa"/>
            <w:tcBorders>
              <w:top w:val="single" w:sz="4" w:space="0" w:color="auto"/>
            </w:tcBorders>
          </w:tcPr>
          <w:p w14:paraId="6F48527B" w14:textId="77777777" w:rsidR="0034086E" w:rsidRPr="000D3DC5" w:rsidRDefault="0034086E" w:rsidP="001B1FEA">
            <w:pPr>
              <w:tabs>
                <w:tab w:val="right" w:pos="9180"/>
              </w:tabs>
              <w:ind w:right="-18"/>
            </w:pPr>
          </w:p>
        </w:tc>
        <w:tc>
          <w:tcPr>
            <w:tcW w:w="270" w:type="dxa"/>
          </w:tcPr>
          <w:p w14:paraId="449134EA" w14:textId="77777777" w:rsidR="0034086E" w:rsidRPr="000D3DC5" w:rsidRDefault="0034086E" w:rsidP="001B1FEA">
            <w:pPr>
              <w:tabs>
                <w:tab w:val="right" w:pos="9180"/>
              </w:tabs>
              <w:ind w:right="-360"/>
            </w:pPr>
          </w:p>
        </w:tc>
        <w:tc>
          <w:tcPr>
            <w:tcW w:w="1530" w:type="dxa"/>
            <w:tcBorders>
              <w:top w:val="single" w:sz="4" w:space="0" w:color="auto"/>
            </w:tcBorders>
          </w:tcPr>
          <w:p w14:paraId="11A7D525" w14:textId="77777777" w:rsidR="0034086E" w:rsidRPr="000D3DC5" w:rsidRDefault="0034086E" w:rsidP="001B1FEA">
            <w:pPr>
              <w:tabs>
                <w:tab w:val="right" w:pos="9180"/>
              </w:tabs>
              <w:ind w:right="-18"/>
            </w:pPr>
          </w:p>
        </w:tc>
      </w:tr>
      <w:tr w:rsidR="0034086E" w:rsidRPr="000D3DC5" w14:paraId="7B8FFE47" w14:textId="77777777" w:rsidTr="001B1FEA">
        <w:tc>
          <w:tcPr>
            <w:tcW w:w="3438" w:type="dxa"/>
            <w:gridSpan w:val="4"/>
          </w:tcPr>
          <w:p w14:paraId="564DE911" w14:textId="77777777" w:rsidR="0034086E" w:rsidRPr="000D3DC5" w:rsidRDefault="0034086E" w:rsidP="001B1FEA">
            <w:pPr>
              <w:tabs>
                <w:tab w:val="right" w:pos="9180"/>
              </w:tabs>
              <w:ind w:right="-360"/>
            </w:pPr>
            <w:r>
              <w:t>L</w:t>
            </w:r>
            <w:r w:rsidRPr="000D3DC5">
              <w:t>oss from operations</w:t>
            </w:r>
          </w:p>
        </w:tc>
        <w:tc>
          <w:tcPr>
            <w:tcW w:w="1530" w:type="dxa"/>
          </w:tcPr>
          <w:p w14:paraId="05F31EF3" w14:textId="08BA38D3" w:rsidR="0034086E" w:rsidRPr="000D3DC5" w:rsidRDefault="0034086E" w:rsidP="001B1FEA">
            <w:pPr>
              <w:tabs>
                <w:tab w:val="decimal" w:pos="1152"/>
                <w:tab w:val="right" w:pos="9180"/>
              </w:tabs>
              <w:ind w:right="-18"/>
            </w:pPr>
            <w:r>
              <w:tab/>
            </w:r>
            <w:r w:rsidR="00986D87">
              <w:t>(2,</w:t>
            </w:r>
            <w:r w:rsidR="00E451B0">
              <w:t>242,488</w:t>
            </w:r>
            <w:r w:rsidR="00986D87">
              <w:t>)</w:t>
            </w:r>
          </w:p>
        </w:tc>
        <w:tc>
          <w:tcPr>
            <w:tcW w:w="270" w:type="dxa"/>
          </w:tcPr>
          <w:p w14:paraId="5AF707B9" w14:textId="77777777" w:rsidR="0034086E" w:rsidRPr="000D3DC5" w:rsidRDefault="0034086E" w:rsidP="001B1FEA">
            <w:pPr>
              <w:tabs>
                <w:tab w:val="right" w:pos="9180"/>
              </w:tabs>
              <w:ind w:right="-360"/>
            </w:pPr>
          </w:p>
        </w:tc>
        <w:tc>
          <w:tcPr>
            <w:tcW w:w="1440" w:type="dxa"/>
          </w:tcPr>
          <w:p w14:paraId="51F02DEE" w14:textId="2062DF4C" w:rsidR="0034086E" w:rsidRPr="000D3DC5" w:rsidRDefault="0034086E" w:rsidP="001B1FEA">
            <w:pPr>
              <w:tabs>
                <w:tab w:val="decimal" w:pos="1062"/>
                <w:tab w:val="right" w:pos="9180"/>
              </w:tabs>
              <w:ind w:right="-46"/>
            </w:pPr>
            <w:r>
              <w:tab/>
              <w:t>(</w:t>
            </w:r>
            <w:r w:rsidR="00833915">
              <w:t>1,486,626</w:t>
            </w:r>
            <w:r>
              <w:t>)</w:t>
            </w:r>
          </w:p>
        </w:tc>
        <w:tc>
          <w:tcPr>
            <w:tcW w:w="450" w:type="dxa"/>
          </w:tcPr>
          <w:p w14:paraId="061EE89E" w14:textId="77777777" w:rsidR="0034086E" w:rsidRPr="000D3DC5" w:rsidRDefault="0034086E" w:rsidP="001B1FEA">
            <w:pPr>
              <w:tabs>
                <w:tab w:val="right" w:pos="9180"/>
              </w:tabs>
              <w:ind w:right="-360"/>
            </w:pPr>
          </w:p>
        </w:tc>
        <w:tc>
          <w:tcPr>
            <w:tcW w:w="1440" w:type="dxa"/>
          </w:tcPr>
          <w:p w14:paraId="6ACEB11D" w14:textId="228E56D0" w:rsidR="0034086E" w:rsidRPr="000D3DC5" w:rsidRDefault="0034086E" w:rsidP="001B1FEA">
            <w:pPr>
              <w:tabs>
                <w:tab w:val="decimal" w:pos="1044"/>
                <w:tab w:val="right" w:pos="9180"/>
              </w:tabs>
              <w:ind w:right="-18"/>
            </w:pPr>
            <w:r w:rsidRPr="000D3DC5">
              <w:tab/>
            </w:r>
            <w:r w:rsidR="00986D87">
              <w:t>(4,</w:t>
            </w:r>
            <w:r w:rsidR="00E451B0">
              <w:t>670,530</w:t>
            </w:r>
            <w:r w:rsidR="00986D87">
              <w:t>)</w:t>
            </w:r>
          </w:p>
        </w:tc>
        <w:tc>
          <w:tcPr>
            <w:tcW w:w="270" w:type="dxa"/>
          </w:tcPr>
          <w:p w14:paraId="166D9CD3" w14:textId="77777777" w:rsidR="0034086E" w:rsidRPr="000D3DC5" w:rsidRDefault="0034086E" w:rsidP="001B1FEA">
            <w:pPr>
              <w:tabs>
                <w:tab w:val="right" w:pos="9180"/>
              </w:tabs>
              <w:ind w:right="-360"/>
            </w:pPr>
          </w:p>
        </w:tc>
        <w:tc>
          <w:tcPr>
            <w:tcW w:w="1530" w:type="dxa"/>
          </w:tcPr>
          <w:p w14:paraId="062604BA" w14:textId="0B05E2FB" w:rsidR="0034086E" w:rsidRPr="000D3DC5" w:rsidRDefault="0034086E" w:rsidP="001B1FEA">
            <w:pPr>
              <w:tabs>
                <w:tab w:val="decimal" w:pos="1152"/>
                <w:tab w:val="right" w:pos="9180"/>
              </w:tabs>
              <w:ind w:right="-18"/>
            </w:pPr>
            <w:r>
              <w:tab/>
              <w:t>(</w:t>
            </w:r>
            <w:r w:rsidR="001619B6">
              <w:t>3,050,702</w:t>
            </w:r>
            <w:r>
              <w:t>)</w:t>
            </w:r>
          </w:p>
        </w:tc>
      </w:tr>
      <w:tr w:rsidR="0034086E" w:rsidRPr="000D3DC5" w14:paraId="08A0E1B5" w14:textId="77777777" w:rsidTr="001B1FEA">
        <w:tc>
          <w:tcPr>
            <w:tcW w:w="378" w:type="dxa"/>
          </w:tcPr>
          <w:p w14:paraId="5E1AD829" w14:textId="77777777" w:rsidR="0034086E" w:rsidRPr="000D3DC5" w:rsidRDefault="0034086E" w:rsidP="001B1FEA">
            <w:pPr>
              <w:ind w:right="-360"/>
            </w:pPr>
          </w:p>
        </w:tc>
        <w:tc>
          <w:tcPr>
            <w:tcW w:w="450" w:type="dxa"/>
          </w:tcPr>
          <w:p w14:paraId="46E38C2A" w14:textId="77777777" w:rsidR="0034086E" w:rsidRPr="000D3DC5" w:rsidRDefault="0034086E" w:rsidP="001B1FEA">
            <w:pPr>
              <w:ind w:right="-360"/>
            </w:pPr>
          </w:p>
        </w:tc>
        <w:tc>
          <w:tcPr>
            <w:tcW w:w="450" w:type="dxa"/>
          </w:tcPr>
          <w:p w14:paraId="2284F6FC" w14:textId="77777777" w:rsidR="0034086E" w:rsidRPr="000D3DC5" w:rsidRDefault="0034086E" w:rsidP="001B1FEA">
            <w:pPr>
              <w:ind w:right="-360"/>
            </w:pPr>
          </w:p>
        </w:tc>
        <w:tc>
          <w:tcPr>
            <w:tcW w:w="2160" w:type="dxa"/>
          </w:tcPr>
          <w:p w14:paraId="6203DF36" w14:textId="77777777" w:rsidR="0034086E" w:rsidRPr="000D3DC5" w:rsidRDefault="0034086E" w:rsidP="001B1FEA">
            <w:pPr>
              <w:tabs>
                <w:tab w:val="right" w:pos="9180"/>
              </w:tabs>
              <w:ind w:right="-360"/>
            </w:pPr>
          </w:p>
        </w:tc>
        <w:tc>
          <w:tcPr>
            <w:tcW w:w="1530" w:type="dxa"/>
          </w:tcPr>
          <w:p w14:paraId="49970743" w14:textId="77777777" w:rsidR="0034086E" w:rsidRPr="000D3DC5" w:rsidRDefault="0034086E" w:rsidP="001B1FEA">
            <w:pPr>
              <w:tabs>
                <w:tab w:val="right" w:pos="9180"/>
              </w:tabs>
              <w:ind w:right="-18"/>
            </w:pPr>
          </w:p>
        </w:tc>
        <w:tc>
          <w:tcPr>
            <w:tcW w:w="270" w:type="dxa"/>
          </w:tcPr>
          <w:p w14:paraId="41FE7DB7" w14:textId="77777777" w:rsidR="0034086E" w:rsidRPr="000D3DC5" w:rsidRDefault="0034086E" w:rsidP="001B1FEA">
            <w:pPr>
              <w:tabs>
                <w:tab w:val="right" w:pos="9180"/>
              </w:tabs>
              <w:ind w:right="-360"/>
            </w:pPr>
          </w:p>
        </w:tc>
        <w:tc>
          <w:tcPr>
            <w:tcW w:w="1440" w:type="dxa"/>
          </w:tcPr>
          <w:p w14:paraId="5B29B04B" w14:textId="77777777" w:rsidR="0034086E" w:rsidRPr="000D3DC5" w:rsidRDefault="0034086E" w:rsidP="001B1FEA">
            <w:pPr>
              <w:tabs>
                <w:tab w:val="right" w:pos="9180"/>
              </w:tabs>
              <w:ind w:right="-46"/>
            </w:pPr>
          </w:p>
        </w:tc>
        <w:tc>
          <w:tcPr>
            <w:tcW w:w="450" w:type="dxa"/>
          </w:tcPr>
          <w:p w14:paraId="695D0CC7" w14:textId="77777777" w:rsidR="0034086E" w:rsidRPr="000D3DC5" w:rsidRDefault="0034086E" w:rsidP="001B1FEA">
            <w:pPr>
              <w:tabs>
                <w:tab w:val="right" w:pos="9180"/>
              </w:tabs>
              <w:ind w:right="-360"/>
            </w:pPr>
          </w:p>
        </w:tc>
        <w:tc>
          <w:tcPr>
            <w:tcW w:w="1440" w:type="dxa"/>
          </w:tcPr>
          <w:p w14:paraId="31C01ED6" w14:textId="77777777" w:rsidR="0034086E" w:rsidRPr="000D3DC5" w:rsidRDefault="0034086E" w:rsidP="001B1FEA">
            <w:pPr>
              <w:tabs>
                <w:tab w:val="right" w:pos="9180"/>
              </w:tabs>
              <w:ind w:right="-18"/>
            </w:pPr>
          </w:p>
        </w:tc>
        <w:tc>
          <w:tcPr>
            <w:tcW w:w="270" w:type="dxa"/>
          </w:tcPr>
          <w:p w14:paraId="326BCAD7" w14:textId="77777777" w:rsidR="0034086E" w:rsidRPr="000D3DC5" w:rsidRDefault="0034086E" w:rsidP="001B1FEA">
            <w:pPr>
              <w:tabs>
                <w:tab w:val="right" w:pos="9180"/>
              </w:tabs>
              <w:ind w:right="-360"/>
            </w:pPr>
          </w:p>
        </w:tc>
        <w:tc>
          <w:tcPr>
            <w:tcW w:w="1530" w:type="dxa"/>
          </w:tcPr>
          <w:p w14:paraId="6C515E70" w14:textId="77777777" w:rsidR="0034086E" w:rsidRPr="000D3DC5" w:rsidRDefault="0034086E" w:rsidP="001B1FEA">
            <w:pPr>
              <w:tabs>
                <w:tab w:val="right" w:pos="9180"/>
              </w:tabs>
              <w:ind w:right="-18"/>
            </w:pPr>
          </w:p>
        </w:tc>
      </w:tr>
      <w:tr w:rsidR="0034086E" w:rsidRPr="000D3DC5" w14:paraId="1696AC22" w14:textId="77777777" w:rsidTr="001B1FEA">
        <w:tc>
          <w:tcPr>
            <w:tcW w:w="3438" w:type="dxa"/>
            <w:gridSpan w:val="4"/>
          </w:tcPr>
          <w:p w14:paraId="1EFF8957" w14:textId="77777777" w:rsidR="0034086E" w:rsidRPr="000D3DC5" w:rsidRDefault="0034086E" w:rsidP="001B1FEA">
            <w:pPr>
              <w:tabs>
                <w:tab w:val="right" w:pos="9180"/>
              </w:tabs>
              <w:ind w:right="-360"/>
            </w:pPr>
            <w:r>
              <w:t>Other income (expense):</w:t>
            </w:r>
          </w:p>
        </w:tc>
        <w:tc>
          <w:tcPr>
            <w:tcW w:w="1530" w:type="dxa"/>
          </w:tcPr>
          <w:p w14:paraId="4C448501" w14:textId="77777777" w:rsidR="0034086E" w:rsidRPr="000D3DC5" w:rsidRDefault="0034086E" w:rsidP="001B1FEA">
            <w:pPr>
              <w:tabs>
                <w:tab w:val="decimal" w:pos="1062"/>
                <w:tab w:val="right" w:pos="9180"/>
              </w:tabs>
              <w:ind w:right="-18"/>
            </w:pPr>
          </w:p>
        </w:tc>
        <w:tc>
          <w:tcPr>
            <w:tcW w:w="270" w:type="dxa"/>
          </w:tcPr>
          <w:p w14:paraId="7BAF4C41" w14:textId="77777777" w:rsidR="0034086E" w:rsidRPr="000D3DC5" w:rsidRDefault="0034086E" w:rsidP="001B1FEA">
            <w:pPr>
              <w:tabs>
                <w:tab w:val="right" w:pos="9180"/>
              </w:tabs>
              <w:ind w:right="-360"/>
            </w:pPr>
          </w:p>
        </w:tc>
        <w:tc>
          <w:tcPr>
            <w:tcW w:w="1440" w:type="dxa"/>
          </w:tcPr>
          <w:p w14:paraId="0F0D521A" w14:textId="77777777" w:rsidR="0034086E" w:rsidRPr="000D3DC5" w:rsidRDefault="0034086E" w:rsidP="001B1FEA">
            <w:pPr>
              <w:tabs>
                <w:tab w:val="decimal" w:pos="864"/>
                <w:tab w:val="right" w:pos="9180"/>
              </w:tabs>
              <w:ind w:right="-46"/>
            </w:pPr>
          </w:p>
        </w:tc>
        <w:tc>
          <w:tcPr>
            <w:tcW w:w="450" w:type="dxa"/>
          </w:tcPr>
          <w:p w14:paraId="0D1365EC" w14:textId="77777777" w:rsidR="0034086E" w:rsidRPr="000D3DC5" w:rsidRDefault="0034086E" w:rsidP="001B1FEA">
            <w:pPr>
              <w:tabs>
                <w:tab w:val="right" w:pos="9180"/>
              </w:tabs>
              <w:ind w:right="-360"/>
            </w:pPr>
          </w:p>
        </w:tc>
        <w:tc>
          <w:tcPr>
            <w:tcW w:w="1440" w:type="dxa"/>
          </w:tcPr>
          <w:p w14:paraId="3C39C43C" w14:textId="77777777" w:rsidR="0034086E" w:rsidRPr="000D3DC5" w:rsidRDefault="0034086E" w:rsidP="001B1FEA">
            <w:pPr>
              <w:tabs>
                <w:tab w:val="decimal" w:pos="864"/>
                <w:tab w:val="right" w:pos="9180"/>
              </w:tabs>
              <w:ind w:right="-18"/>
            </w:pPr>
          </w:p>
        </w:tc>
        <w:tc>
          <w:tcPr>
            <w:tcW w:w="270" w:type="dxa"/>
          </w:tcPr>
          <w:p w14:paraId="0F29FFCD" w14:textId="77777777" w:rsidR="0034086E" w:rsidRPr="000D3DC5" w:rsidRDefault="0034086E" w:rsidP="001B1FEA">
            <w:pPr>
              <w:tabs>
                <w:tab w:val="right" w:pos="9180"/>
              </w:tabs>
              <w:ind w:right="-360"/>
            </w:pPr>
          </w:p>
        </w:tc>
        <w:tc>
          <w:tcPr>
            <w:tcW w:w="1530" w:type="dxa"/>
          </w:tcPr>
          <w:p w14:paraId="59471252" w14:textId="77777777" w:rsidR="0034086E" w:rsidRPr="000D3DC5" w:rsidRDefault="0034086E" w:rsidP="001B1FEA">
            <w:pPr>
              <w:tabs>
                <w:tab w:val="decimal" w:pos="864"/>
                <w:tab w:val="right" w:pos="9180"/>
              </w:tabs>
              <w:ind w:right="-18"/>
            </w:pPr>
          </w:p>
        </w:tc>
      </w:tr>
      <w:tr w:rsidR="0034086E" w:rsidRPr="000D3DC5" w14:paraId="45D8409F" w14:textId="77777777" w:rsidTr="001B1FEA">
        <w:tc>
          <w:tcPr>
            <w:tcW w:w="378" w:type="dxa"/>
          </w:tcPr>
          <w:p w14:paraId="2D564DC0" w14:textId="77777777" w:rsidR="0034086E" w:rsidRPr="000D3DC5" w:rsidRDefault="0034086E" w:rsidP="001B1FEA">
            <w:pPr>
              <w:ind w:right="-360"/>
            </w:pPr>
          </w:p>
        </w:tc>
        <w:tc>
          <w:tcPr>
            <w:tcW w:w="3060" w:type="dxa"/>
            <w:gridSpan w:val="3"/>
          </w:tcPr>
          <w:p w14:paraId="62F17778" w14:textId="77777777" w:rsidR="0034086E" w:rsidRPr="000D3DC5" w:rsidRDefault="0034086E" w:rsidP="001B1FEA">
            <w:pPr>
              <w:tabs>
                <w:tab w:val="right" w:pos="9180"/>
              </w:tabs>
              <w:ind w:right="-360"/>
            </w:pPr>
            <w:r w:rsidRPr="000D3DC5">
              <w:t>Interest income</w:t>
            </w:r>
          </w:p>
        </w:tc>
        <w:tc>
          <w:tcPr>
            <w:tcW w:w="1530" w:type="dxa"/>
          </w:tcPr>
          <w:p w14:paraId="648123B0" w14:textId="38FC41C9" w:rsidR="0034086E" w:rsidRPr="000D3DC5" w:rsidRDefault="0034086E" w:rsidP="001B1FEA">
            <w:pPr>
              <w:tabs>
                <w:tab w:val="decimal" w:pos="1152"/>
                <w:tab w:val="right" w:pos="9180"/>
              </w:tabs>
              <w:ind w:right="-18"/>
            </w:pPr>
            <w:r w:rsidRPr="000D3DC5">
              <w:tab/>
            </w:r>
            <w:r w:rsidR="00986D87">
              <w:t>789</w:t>
            </w:r>
          </w:p>
        </w:tc>
        <w:tc>
          <w:tcPr>
            <w:tcW w:w="270" w:type="dxa"/>
          </w:tcPr>
          <w:p w14:paraId="494302C2" w14:textId="77777777" w:rsidR="0034086E" w:rsidRPr="000D3DC5" w:rsidRDefault="0034086E" w:rsidP="001B1FEA">
            <w:pPr>
              <w:tabs>
                <w:tab w:val="right" w:pos="9180"/>
              </w:tabs>
              <w:ind w:right="-360"/>
            </w:pPr>
          </w:p>
        </w:tc>
        <w:tc>
          <w:tcPr>
            <w:tcW w:w="1440" w:type="dxa"/>
          </w:tcPr>
          <w:p w14:paraId="2ACDB4EE" w14:textId="63FE71EC" w:rsidR="0034086E" w:rsidRPr="000D3DC5" w:rsidRDefault="0034086E" w:rsidP="001B1FEA">
            <w:pPr>
              <w:tabs>
                <w:tab w:val="decimal" w:pos="1062"/>
                <w:tab w:val="right" w:pos="9180"/>
              </w:tabs>
              <w:ind w:right="-46"/>
            </w:pPr>
            <w:r w:rsidRPr="000D3DC5">
              <w:tab/>
            </w:r>
            <w:r w:rsidR="00833915">
              <w:t>1,068</w:t>
            </w:r>
          </w:p>
        </w:tc>
        <w:tc>
          <w:tcPr>
            <w:tcW w:w="450" w:type="dxa"/>
          </w:tcPr>
          <w:p w14:paraId="30A2C9E1" w14:textId="77777777" w:rsidR="0034086E" w:rsidRPr="000D3DC5" w:rsidRDefault="0034086E" w:rsidP="001B1FEA">
            <w:pPr>
              <w:tabs>
                <w:tab w:val="right" w:pos="9180"/>
              </w:tabs>
              <w:ind w:right="-360"/>
            </w:pPr>
          </w:p>
        </w:tc>
        <w:tc>
          <w:tcPr>
            <w:tcW w:w="1440" w:type="dxa"/>
          </w:tcPr>
          <w:p w14:paraId="70279826" w14:textId="544D431D" w:rsidR="0034086E" w:rsidRPr="000D3DC5" w:rsidRDefault="0034086E" w:rsidP="001B1FEA">
            <w:pPr>
              <w:tabs>
                <w:tab w:val="decimal" w:pos="1062"/>
                <w:tab w:val="right" w:pos="9180"/>
              </w:tabs>
              <w:ind w:right="-18"/>
            </w:pPr>
            <w:r w:rsidRPr="000D3DC5">
              <w:tab/>
            </w:r>
            <w:r w:rsidR="00FA0526">
              <w:t>1,316</w:t>
            </w:r>
          </w:p>
        </w:tc>
        <w:tc>
          <w:tcPr>
            <w:tcW w:w="270" w:type="dxa"/>
          </w:tcPr>
          <w:p w14:paraId="3A04DAB9" w14:textId="77777777" w:rsidR="0034086E" w:rsidRPr="000D3DC5" w:rsidRDefault="0034086E" w:rsidP="001B1FEA">
            <w:pPr>
              <w:tabs>
                <w:tab w:val="right" w:pos="9180"/>
              </w:tabs>
              <w:ind w:right="-360"/>
            </w:pPr>
          </w:p>
        </w:tc>
        <w:tc>
          <w:tcPr>
            <w:tcW w:w="1530" w:type="dxa"/>
          </w:tcPr>
          <w:p w14:paraId="6747BADB" w14:textId="170308B2" w:rsidR="0034086E" w:rsidRPr="000D3DC5" w:rsidRDefault="0034086E" w:rsidP="001B1FEA">
            <w:pPr>
              <w:tabs>
                <w:tab w:val="decimal" w:pos="1152"/>
                <w:tab w:val="right" w:pos="9180"/>
              </w:tabs>
              <w:ind w:right="-18"/>
            </w:pPr>
            <w:r w:rsidRPr="000D3DC5">
              <w:tab/>
            </w:r>
            <w:r w:rsidR="001619B6">
              <w:t>3,121</w:t>
            </w:r>
          </w:p>
        </w:tc>
      </w:tr>
      <w:tr w:rsidR="0034086E" w:rsidRPr="000D3DC5" w14:paraId="38D1FEAE" w14:textId="77777777" w:rsidTr="001B1FEA">
        <w:tc>
          <w:tcPr>
            <w:tcW w:w="378" w:type="dxa"/>
          </w:tcPr>
          <w:p w14:paraId="1433DE2B" w14:textId="77777777" w:rsidR="0034086E" w:rsidRPr="000D3DC5" w:rsidRDefault="0034086E" w:rsidP="001B1FEA">
            <w:pPr>
              <w:ind w:right="-360"/>
            </w:pPr>
          </w:p>
        </w:tc>
        <w:tc>
          <w:tcPr>
            <w:tcW w:w="3060" w:type="dxa"/>
            <w:gridSpan w:val="3"/>
          </w:tcPr>
          <w:p w14:paraId="24DED943" w14:textId="77777777" w:rsidR="0034086E" w:rsidRPr="000D3DC5" w:rsidRDefault="0034086E" w:rsidP="001B1FEA">
            <w:pPr>
              <w:tabs>
                <w:tab w:val="right" w:pos="9180"/>
              </w:tabs>
              <w:ind w:right="-360"/>
            </w:pPr>
            <w:r>
              <w:t>Interest expense</w:t>
            </w:r>
          </w:p>
        </w:tc>
        <w:tc>
          <w:tcPr>
            <w:tcW w:w="1530" w:type="dxa"/>
          </w:tcPr>
          <w:p w14:paraId="14419750" w14:textId="4074872C" w:rsidR="0034086E" w:rsidRPr="000D3DC5" w:rsidRDefault="0034086E" w:rsidP="001B1FEA">
            <w:pPr>
              <w:tabs>
                <w:tab w:val="decimal" w:pos="1152"/>
                <w:tab w:val="right" w:pos="9180"/>
              </w:tabs>
              <w:ind w:right="-18"/>
            </w:pPr>
            <w:r>
              <w:tab/>
            </w:r>
            <w:r w:rsidR="00986D87">
              <w:t>-</w:t>
            </w:r>
          </w:p>
        </w:tc>
        <w:tc>
          <w:tcPr>
            <w:tcW w:w="270" w:type="dxa"/>
          </w:tcPr>
          <w:p w14:paraId="3356A5D7" w14:textId="77777777" w:rsidR="0034086E" w:rsidRPr="000D3DC5" w:rsidRDefault="0034086E" w:rsidP="001B1FEA">
            <w:pPr>
              <w:tabs>
                <w:tab w:val="right" w:pos="9180"/>
              </w:tabs>
              <w:ind w:right="-360"/>
            </w:pPr>
          </w:p>
        </w:tc>
        <w:tc>
          <w:tcPr>
            <w:tcW w:w="1440" w:type="dxa"/>
          </w:tcPr>
          <w:p w14:paraId="1E24F16A" w14:textId="6F56178A" w:rsidR="0034086E" w:rsidRPr="000D3DC5" w:rsidRDefault="0034086E" w:rsidP="001B1FEA">
            <w:pPr>
              <w:tabs>
                <w:tab w:val="decimal" w:pos="1062"/>
                <w:tab w:val="right" w:pos="9180"/>
              </w:tabs>
              <w:ind w:right="-46"/>
            </w:pPr>
            <w:r>
              <w:tab/>
              <w:t>(</w:t>
            </w:r>
            <w:r w:rsidR="00833915">
              <w:t>531</w:t>
            </w:r>
            <w:r>
              <w:t>)</w:t>
            </w:r>
          </w:p>
        </w:tc>
        <w:tc>
          <w:tcPr>
            <w:tcW w:w="450" w:type="dxa"/>
          </w:tcPr>
          <w:p w14:paraId="0A4E2DDA" w14:textId="77777777" w:rsidR="0034086E" w:rsidRPr="000D3DC5" w:rsidRDefault="0034086E" w:rsidP="001B1FEA">
            <w:pPr>
              <w:tabs>
                <w:tab w:val="right" w:pos="9180"/>
              </w:tabs>
              <w:ind w:right="-360"/>
            </w:pPr>
          </w:p>
        </w:tc>
        <w:tc>
          <w:tcPr>
            <w:tcW w:w="1440" w:type="dxa"/>
          </w:tcPr>
          <w:p w14:paraId="7441BC77" w14:textId="3314906C" w:rsidR="0034086E" w:rsidRPr="000D3DC5" w:rsidRDefault="0034086E" w:rsidP="001B1FEA">
            <w:pPr>
              <w:tabs>
                <w:tab w:val="decimal" w:pos="1062"/>
                <w:tab w:val="right" w:pos="9180"/>
              </w:tabs>
              <w:ind w:right="-18"/>
            </w:pPr>
            <w:r>
              <w:tab/>
            </w:r>
            <w:r w:rsidR="00FA0526">
              <w:t>-</w:t>
            </w:r>
          </w:p>
        </w:tc>
        <w:tc>
          <w:tcPr>
            <w:tcW w:w="270" w:type="dxa"/>
          </w:tcPr>
          <w:p w14:paraId="18E80AE2" w14:textId="77777777" w:rsidR="0034086E" w:rsidRPr="000D3DC5" w:rsidRDefault="0034086E" w:rsidP="001B1FEA">
            <w:pPr>
              <w:tabs>
                <w:tab w:val="right" w:pos="9180"/>
              </w:tabs>
              <w:ind w:right="-360"/>
            </w:pPr>
          </w:p>
        </w:tc>
        <w:tc>
          <w:tcPr>
            <w:tcW w:w="1530" w:type="dxa"/>
          </w:tcPr>
          <w:p w14:paraId="18F63813" w14:textId="341AFFB3" w:rsidR="0034086E" w:rsidRPr="000D3DC5" w:rsidRDefault="0034086E" w:rsidP="001B1FEA">
            <w:pPr>
              <w:tabs>
                <w:tab w:val="decimal" w:pos="1152"/>
                <w:tab w:val="right" w:pos="9180"/>
              </w:tabs>
              <w:ind w:right="-18"/>
            </w:pPr>
            <w:r>
              <w:tab/>
              <w:t>(</w:t>
            </w:r>
            <w:r w:rsidR="001619B6">
              <w:t>1,286</w:t>
            </w:r>
            <w:r>
              <w:t>)</w:t>
            </w:r>
          </w:p>
        </w:tc>
      </w:tr>
      <w:tr w:rsidR="0034086E" w:rsidRPr="000D3DC5" w14:paraId="04CA5C8B" w14:textId="77777777" w:rsidTr="001B1FEA">
        <w:tc>
          <w:tcPr>
            <w:tcW w:w="378" w:type="dxa"/>
          </w:tcPr>
          <w:p w14:paraId="6B242184" w14:textId="77777777" w:rsidR="0034086E" w:rsidRPr="000D3DC5" w:rsidRDefault="0034086E" w:rsidP="001B1FEA">
            <w:pPr>
              <w:ind w:right="-360"/>
            </w:pPr>
          </w:p>
        </w:tc>
        <w:tc>
          <w:tcPr>
            <w:tcW w:w="3060" w:type="dxa"/>
            <w:gridSpan w:val="3"/>
          </w:tcPr>
          <w:p w14:paraId="6426A9A8" w14:textId="77777777" w:rsidR="0034086E" w:rsidRPr="000D3DC5" w:rsidRDefault="0034086E" w:rsidP="001B1FEA">
            <w:pPr>
              <w:tabs>
                <w:tab w:val="right" w:pos="9180"/>
              </w:tabs>
              <w:ind w:right="-360"/>
            </w:pPr>
            <w:r>
              <w:t>Gain on debt extinguishment</w:t>
            </w:r>
          </w:p>
        </w:tc>
        <w:tc>
          <w:tcPr>
            <w:tcW w:w="1530" w:type="dxa"/>
          </w:tcPr>
          <w:p w14:paraId="3A4770AB" w14:textId="517283F1" w:rsidR="0034086E" w:rsidRPr="000D3DC5" w:rsidRDefault="0034086E" w:rsidP="001B1FEA">
            <w:pPr>
              <w:tabs>
                <w:tab w:val="decimal" w:pos="1152"/>
                <w:tab w:val="right" w:pos="9180"/>
              </w:tabs>
              <w:ind w:right="-18"/>
            </w:pPr>
            <w:r>
              <w:tab/>
            </w:r>
            <w:r w:rsidR="00986D87">
              <w:t>-</w:t>
            </w:r>
          </w:p>
        </w:tc>
        <w:tc>
          <w:tcPr>
            <w:tcW w:w="270" w:type="dxa"/>
          </w:tcPr>
          <w:p w14:paraId="61BA1368" w14:textId="77777777" w:rsidR="0034086E" w:rsidRPr="000D3DC5" w:rsidRDefault="0034086E" w:rsidP="001B1FEA">
            <w:pPr>
              <w:tabs>
                <w:tab w:val="right" w:pos="9180"/>
              </w:tabs>
              <w:ind w:right="-360"/>
            </w:pPr>
          </w:p>
        </w:tc>
        <w:tc>
          <w:tcPr>
            <w:tcW w:w="1440" w:type="dxa"/>
          </w:tcPr>
          <w:p w14:paraId="3A875AF7" w14:textId="2CAB57A8" w:rsidR="0034086E" w:rsidRPr="000D3DC5" w:rsidRDefault="0034086E" w:rsidP="001B1FEA">
            <w:pPr>
              <w:tabs>
                <w:tab w:val="decimal" w:pos="1062"/>
                <w:tab w:val="right" w:pos="9180"/>
              </w:tabs>
              <w:ind w:right="-46"/>
            </w:pPr>
            <w:r>
              <w:tab/>
            </w:r>
            <w:r w:rsidR="00833915">
              <w:t>172,056</w:t>
            </w:r>
          </w:p>
        </w:tc>
        <w:tc>
          <w:tcPr>
            <w:tcW w:w="450" w:type="dxa"/>
          </w:tcPr>
          <w:p w14:paraId="75B99BEE" w14:textId="77777777" w:rsidR="0034086E" w:rsidRPr="000D3DC5" w:rsidRDefault="0034086E" w:rsidP="001B1FEA">
            <w:pPr>
              <w:tabs>
                <w:tab w:val="right" w:pos="9180"/>
              </w:tabs>
              <w:ind w:right="-360"/>
            </w:pPr>
          </w:p>
        </w:tc>
        <w:tc>
          <w:tcPr>
            <w:tcW w:w="1440" w:type="dxa"/>
          </w:tcPr>
          <w:p w14:paraId="6C9FF05F" w14:textId="36F53BC7" w:rsidR="0034086E" w:rsidRPr="000D3DC5" w:rsidRDefault="0034086E" w:rsidP="001B1FEA">
            <w:pPr>
              <w:tabs>
                <w:tab w:val="decimal" w:pos="1062"/>
                <w:tab w:val="right" w:pos="9180"/>
              </w:tabs>
              <w:ind w:right="-18"/>
            </w:pPr>
            <w:r>
              <w:tab/>
            </w:r>
            <w:r w:rsidR="00FA0526">
              <w:t>-</w:t>
            </w:r>
          </w:p>
        </w:tc>
        <w:tc>
          <w:tcPr>
            <w:tcW w:w="270" w:type="dxa"/>
          </w:tcPr>
          <w:p w14:paraId="4ED5508A" w14:textId="77777777" w:rsidR="0034086E" w:rsidRPr="000D3DC5" w:rsidRDefault="0034086E" w:rsidP="001B1FEA">
            <w:pPr>
              <w:tabs>
                <w:tab w:val="right" w:pos="9180"/>
              </w:tabs>
              <w:ind w:right="-360"/>
            </w:pPr>
          </w:p>
        </w:tc>
        <w:tc>
          <w:tcPr>
            <w:tcW w:w="1530" w:type="dxa"/>
          </w:tcPr>
          <w:p w14:paraId="687FAADA" w14:textId="425C1049" w:rsidR="0034086E" w:rsidRPr="000D3DC5" w:rsidRDefault="0034086E" w:rsidP="001B1FEA">
            <w:pPr>
              <w:tabs>
                <w:tab w:val="decimal" w:pos="1152"/>
                <w:tab w:val="right" w:pos="9180"/>
              </w:tabs>
              <w:ind w:right="-18"/>
            </w:pPr>
            <w:r>
              <w:tab/>
            </w:r>
            <w:r w:rsidR="001619B6">
              <w:t>172,056</w:t>
            </w:r>
          </w:p>
        </w:tc>
      </w:tr>
      <w:tr w:rsidR="0034086E" w:rsidRPr="000D3DC5" w14:paraId="279D9884" w14:textId="77777777" w:rsidTr="001B1FEA">
        <w:tc>
          <w:tcPr>
            <w:tcW w:w="3438" w:type="dxa"/>
            <w:gridSpan w:val="4"/>
          </w:tcPr>
          <w:p w14:paraId="624CF0D3" w14:textId="77777777" w:rsidR="0034086E" w:rsidRPr="000D3DC5" w:rsidRDefault="0034086E" w:rsidP="001B1FEA">
            <w:pPr>
              <w:tabs>
                <w:tab w:val="right" w:pos="9180"/>
              </w:tabs>
              <w:ind w:right="-360"/>
            </w:pPr>
            <w:r>
              <w:t>Total other income (expense)</w:t>
            </w:r>
          </w:p>
        </w:tc>
        <w:tc>
          <w:tcPr>
            <w:tcW w:w="1530" w:type="dxa"/>
            <w:tcBorders>
              <w:top w:val="single" w:sz="4" w:space="0" w:color="auto"/>
            </w:tcBorders>
          </w:tcPr>
          <w:p w14:paraId="3CBFAE90" w14:textId="5E2946FC" w:rsidR="0034086E" w:rsidRPr="000D3DC5" w:rsidRDefault="0034086E" w:rsidP="001B1FEA">
            <w:pPr>
              <w:tabs>
                <w:tab w:val="decimal" w:pos="1137"/>
                <w:tab w:val="right" w:pos="9180"/>
              </w:tabs>
              <w:ind w:right="-18"/>
            </w:pPr>
            <w:r>
              <w:tab/>
            </w:r>
            <w:r w:rsidR="00986D87">
              <w:t>789</w:t>
            </w:r>
          </w:p>
        </w:tc>
        <w:tc>
          <w:tcPr>
            <w:tcW w:w="270" w:type="dxa"/>
          </w:tcPr>
          <w:p w14:paraId="209890F9" w14:textId="77777777" w:rsidR="0034086E" w:rsidRPr="000D3DC5" w:rsidRDefault="0034086E" w:rsidP="001B1FEA">
            <w:pPr>
              <w:tabs>
                <w:tab w:val="right" w:pos="9180"/>
              </w:tabs>
              <w:ind w:right="-360"/>
            </w:pPr>
          </w:p>
        </w:tc>
        <w:tc>
          <w:tcPr>
            <w:tcW w:w="1440" w:type="dxa"/>
            <w:tcBorders>
              <w:top w:val="single" w:sz="4" w:space="0" w:color="auto"/>
            </w:tcBorders>
          </w:tcPr>
          <w:p w14:paraId="17FE5EF3" w14:textId="5261BFBB" w:rsidR="0034086E" w:rsidRPr="000D3DC5" w:rsidRDefault="0034086E" w:rsidP="001B1FEA">
            <w:pPr>
              <w:tabs>
                <w:tab w:val="decimal" w:pos="1043"/>
                <w:tab w:val="right" w:pos="9180"/>
              </w:tabs>
              <w:ind w:right="-46"/>
            </w:pPr>
            <w:r>
              <w:tab/>
            </w:r>
            <w:r w:rsidR="001619B6">
              <w:t>172,593</w:t>
            </w:r>
          </w:p>
        </w:tc>
        <w:tc>
          <w:tcPr>
            <w:tcW w:w="450" w:type="dxa"/>
          </w:tcPr>
          <w:p w14:paraId="148D567D" w14:textId="77777777" w:rsidR="0034086E" w:rsidRPr="000D3DC5" w:rsidRDefault="0034086E" w:rsidP="001B1FEA">
            <w:pPr>
              <w:tabs>
                <w:tab w:val="right" w:pos="9180"/>
              </w:tabs>
              <w:ind w:right="-360"/>
            </w:pPr>
          </w:p>
        </w:tc>
        <w:tc>
          <w:tcPr>
            <w:tcW w:w="1440" w:type="dxa"/>
            <w:tcBorders>
              <w:top w:val="single" w:sz="4" w:space="0" w:color="auto"/>
            </w:tcBorders>
          </w:tcPr>
          <w:p w14:paraId="0D3BB475" w14:textId="123002F6" w:rsidR="0034086E" w:rsidRPr="000D3DC5" w:rsidRDefault="0034086E" w:rsidP="001B1FEA">
            <w:pPr>
              <w:tabs>
                <w:tab w:val="decimal" w:pos="1042"/>
                <w:tab w:val="right" w:pos="9180"/>
              </w:tabs>
              <w:ind w:right="-18"/>
            </w:pPr>
            <w:r>
              <w:tab/>
            </w:r>
            <w:r w:rsidR="00FA0526">
              <w:t>1,316</w:t>
            </w:r>
          </w:p>
        </w:tc>
        <w:tc>
          <w:tcPr>
            <w:tcW w:w="270" w:type="dxa"/>
          </w:tcPr>
          <w:p w14:paraId="4686A513" w14:textId="77777777" w:rsidR="0034086E" w:rsidRPr="000D3DC5" w:rsidRDefault="0034086E" w:rsidP="001B1FEA">
            <w:pPr>
              <w:tabs>
                <w:tab w:val="right" w:pos="9180"/>
              </w:tabs>
              <w:ind w:right="-360"/>
            </w:pPr>
          </w:p>
        </w:tc>
        <w:tc>
          <w:tcPr>
            <w:tcW w:w="1530" w:type="dxa"/>
            <w:tcBorders>
              <w:top w:val="single" w:sz="4" w:space="0" w:color="auto"/>
            </w:tcBorders>
          </w:tcPr>
          <w:p w14:paraId="3677A910" w14:textId="6E153F19" w:rsidR="0034086E" w:rsidRPr="000D3DC5" w:rsidRDefault="0034086E" w:rsidP="001B1FEA">
            <w:pPr>
              <w:tabs>
                <w:tab w:val="decimal" w:pos="1140"/>
                <w:tab w:val="right" w:pos="9180"/>
              </w:tabs>
              <w:ind w:right="-18"/>
            </w:pPr>
            <w:r>
              <w:tab/>
            </w:r>
            <w:r w:rsidR="001619B6">
              <w:t>173,891</w:t>
            </w:r>
          </w:p>
        </w:tc>
      </w:tr>
      <w:tr w:rsidR="0034086E" w:rsidRPr="000D3DC5" w14:paraId="75F90FF1" w14:textId="77777777" w:rsidTr="001B1FEA">
        <w:tc>
          <w:tcPr>
            <w:tcW w:w="378" w:type="dxa"/>
          </w:tcPr>
          <w:p w14:paraId="63F0C14A" w14:textId="77777777" w:rsidR="0034086E" w:rsidRPr="000D3DC5" w:rsidRDefault="0034086E" w:rsidP="001B1FEA">
            <w:pPr>
              <w:ind w:right="-360"/>
            </w:pPr>
          </w:p>
        </w:tc>
        <w:tc>
          <w:tcPr>
            <w:tcW w:w="450" w:type="dxa"/>
          </w:tcPr>
          <w:p w14:paraId="26341CB6" w14:textId="77777777" w:rsidR="0034086E" w:rsidRPr="000D3DC5" w:rsidRDefault="0034086E" w:rsidP="001B1FEA">
            <w:pPr>
              <w:ind w:right="-360"/>
            </w:pPr>
          </w:p>
        </w:tc>
        <w:tc>
          <w:tcPr>
            <w:tcW w:w="450" w:type="dxa"/>
          </w:tcPr>
          <w:p w14:paraId="383E2A04" w14:textId="77777777" w:rsidR="0034086E" w:rsidRPr="000D3DC5" w:rsidRDefault="0034086E" w:rsidP="001B1FEA">
            <w:pPr>
              <w:ind w:right="-360"/>
            </w:pPr>
          </w:p>
        </w:tc>
        <w:tc>
          <w:tcPr>
            <w:tcW w:w="2160" w:type="dxa"/>
          </w:tcPr>
          <w:p w14:paraId="43DEA243" w14:textId="77777777" w:rsidR="0034086E" w:rsidRPr="000D3DC5" w:rsidRDefault="0034086E" w:rsidP="001B1FEA">
            <w:pPr>
              <w:tabs>
                <w:tab w:val="right" w:pos="9180"/>
              </w:tabs>
              <w:ind w:right="-360"/>
            </w:pPr>
          </w:p>
        </w:tc>
        <w:tc>
          <w:tcPr>
            <w:tcW w:w="1530" w:type="dxa"/>
            <w:tcBorders>
              <w:top w:val="single" w:sz="4" w:space="0" w:color="auto"/>
            </w:tcBorders>
          </w:tcPr>
          <w:p w14:paraId="4F03B0C4" w14:textId="77777777" w:rsidR="0034086E" w:rsidRPr="000D3DC5" w:rsidRDefault="0034086E" w:rsidP="001B1FEA">
            <w:pPr>
              <w:tabs>
                <w:tab w:val="right" w:pos="9180"/>
              </w:tabs>
              <w:ind w:right="-18"/>
            </w:pPr>
          </w:p>
        </w:tc>
        <w:tc>
          <w:tcPr>
            <w:tcW w:w="270" w:type="dxa"/>
          </w:tcPr>
          <w:p w14:paraId="5BA13388" w14:textId="77777777" w:rsidR="0034086E" w:rsidRPr="000D3DC5" w:rsidRDefault="0034086E" w:rsidP="001B1FEA">
            <w:pPr>
              <w:tabs>
                <w:tab w:val="right" w:pos="9180"/>
              </w:tabs>
              <w:ind w:right="-360"/>
            </w:pPr>
          </w:p>
        </w:tc>
        <w:tc>
          <w:tcPr>
            <w:tcW w:w="1440" w:type="dxa"/>
            <w:tcBorders>
              <w:top w:val="single" w:sz="4" w:space="0" w:color="auto"/>
            </w:tcBorders>
          </w:tcPr>
          <w:p w14:paraId="5242CA90" w14:textId="77777777" w:rsidR="0034086E" w:rsidRPr="000D3DC5" w:rsidRDefault="0034086E" w:rsidP="001B1FEA">
            <w:pPr>
              <w:tabs>
                <w:tab w:val="right" w:pos="9180"/>
              </w:tabs>
              <w:ind w:right="-46"/>
            </w:pPr>
          </w:p>
        </w:tc>
        <w:tc>
          <w:tcPr>
            <w:tcW w:w="450" w:type="dxa"/>
          </w:tcPr>
          <w:p w14:paraId="6761CE34" w14:textId="77777777" w:rsidR="0034086E" w:rsidRPr="000D3DC5" w:rsidRDefault="0034086E" w:rsidP="001B1FEA">
            <w:pPr>
              <w:tabs>
                <w:tab w:val="right" w:pos="9180"/>
              </w:tabs>
              <w:ind w:right="-360"/>
            </w:pPr>
          </w:p>
        </w:tc>
        <w:tc>
          <w:tcPr>
            <w:tcW w:w="1440" w:type="dxa"/>
            <w:tcBorders>
              <w:top w:val="single" w:sz="4" w:space="0" w:color="auto"/>
            </w:tcBorders>
          </w:tcPr>
          <w:p w14:paraId="2E307D34" w14:textId="77777777" w:rsidR="0034086E" w:rsidRPr="000D3DC5" w:rsidRDefault="0034086E" w:rsidP="001B1FEA">
            <w:pPr>
              <w:tabs>
                <w:tab w:val="right" w:pos="9180"/>
              </w:tabs>
              <w:ind w:right="-18"/>
            </w:pPr>
          </w:p>
        </w:tc>
        <w:tc>
          <w:tcPr>
            <w:tcW w:w="270" w:type="dxa"/>
          </w:tcPr>
          <w:p w14:paraId="15400557" w14:textId="77777777" w:rsidR="0034086E" w:rsidRPr="000D3DC5" w:rsidRDefault="0034086E" w:rsidP="001B1FEA">
            <w:pPr>
              <w:tabs>
                <w:tab w:val="right" w:pos="9180"/>
              </w:tabs>
              <w:ind w:right="-360"/>
            </w:pPr>
          </w:p>
        </w:tc>
        <w:tc>
          <w:tcPr>
            <w:tcW w:w="1530" w:type="dxa"/>
            <w:tcBorders>
              <w:top w:val="single" w:sz="4" w:space="0" w:color="auto"/>
            </w:tcBorders>
          </w:tcPr>
          <w:p w14:paraId="54199F17" w14:textId="77777777" w:rsidR="0034086E" w:rsidRPr="000D3DC5" w:rsidRDefault="0034086E" w:rsidP="001B1FEA">
            <w:pPr>
              <w:tabs>
                <w:tab w:val="right" w:pos="9180"/>
              </w:tabs>
              <w:ind w:right="-18"/>
            </w:pPr>
          </w:p>
        </w:tc>
      </w:tr>
      <w:tr w:rsidR="0034086E" w:rsidRPr="000D3DC5" w14:paraId="02776FFC" w14:textId="77777777" w:rsidTr="001B1FEA">
        <w:tc>
          <w:tcPr>
            <w:tcW w:w="3438" w:type="dxa"/>
            <w:gridSpan w:val="4"/>
          </w:tcPr>
          <w:p w14:paraId="6EE5818A" w14:textId="77777777" w:rsidR="0034086E" w:rsidRPr="000D3DC5" w:rsidRDefault="0034086E" w:rsidP="001B1FEA">
            <w:pPr>
              <w:tabs>
                <w:tab w:val="right" w:pos="9180"/>
              </w:tabs>
              <w:ind w:right="-360"/>
            </w:pPr>
            <w:r>
              <w:t>Net loss</w:t>
            </w:r>
          </w:p>
        </w:tc>
        <w:tc>
          <w:tcPr>
            <w:tcW w:w="1530" w:type="dxa"/>
            <w:tcBorders>
              <w:bottom w:val="double" w:sz="4" w:space="0" w:color="auto"/>
            </w:tcBorders>
          </w:tcPr>
          <w:p w14:paraId="75A78809" w14:textId="300D72CC" w:rsidR="0034086E" w:rsidRPr="000D3DC5" w:rsidRDefault="0034086E" w:rsidP="001B1FEA">
            <w:pPr>
              <w:tabs>
                <w:tab w:val="decimal" w:pos="1152"/>
                <w:tab w:val="right" w:pos="9180"/>
              </w:tabs>
              <w:ind w:right="-18"/>
            </w:pPr>
            <w:r w:rsidRPr="000D3DC5">
              <w:t>$</w:t>
            </w:r>
            <w:r w:rsidRPr="000D3DC5">
              <w:tab/>
            </w:r>
            <w:r w:rsidR="00986D87">
              <w:t>(2,</w:t>
            </w:r>
            <w:r w:rsidR="00E451B0">
              <w:t>241,699</w:t>
            </w:r>
            <w:r w:rsidR="00986D87">
              <w:t>)</w:t>
            </w:r>
          </w:p>
        </w:tc>
        <w:tc>
          <w:tcPr>
            <w:tcW w:w="270" w:type="dxa"/>
          </w:tcPr>
          <w:p w14:paraId="371AB9AE" w14:textId="77777777" w:rsidR="0034086E" w:rsidRPr="000D3DC5" w:rsidRDefault="0034086E" w:rsidP="001B1FEA">
            <w:pPr>
              <w:tabs>
                <w:tab w:val="right" w:pos="9180"/>
              </w:tabs>
              <w:ind w:right="-360"/>
            </w:pPr>
          </w:p>
        </w:tc>
        <w:tc>
          <w:tcPr>
            <w:tcW w:w="1440" w:type="dxa"/>
            <w:tcBorders>
              <w:bottom w:val="double" w:sz="4" w:space="0" w:color="auto"/>
            </w:tcBorders>
          </w:tcPr>
          <w:p w14:paraId="17521E28" w14:textId="768925E6" w:rsidR="0034086E" w:rsidRPr="000D3DC5" w:rsidRDefault="0034086E" w:rsidP="001B1FEA">
            <w:pPr>
              <w:tabs>
                <w:tab w:val="decimal" w:pos="1062"/>
                <w:tab w:val="right" w:pos="9180"/>
              </w:tabs>
              <w:ind w:right="-46"/>
            </w:pPr>
            <w:r>
              <w:t>$</w:t>
            </w:r>
            <w:r>
              <w:tab/>
              <w:t>(</w:t>
            </w:r>
            <w:r w:rsidR="001619B6">
              <w:t>1,314,033</w:t>
            </w:r>
            <w:r>
              <w:t>)</w:t>
            </w:r>
          </w:p>
        </w:tc>
        <w:tc>
          <w:tcPr>
            <w:tcW w:w="450" w:type="dxa"/>
          </w:tcPr>
          <w:p w14:paraId="445BA51F" w14:textId="77777777" w:rsidR="0034086E" w:rsidRPr="000D3DC5" w:rsidRDefault="0034086E" w:rsidP="001B1FEA">
            <w:pPr>
              <w:tabs>
                <w:tab w:val="right" w:pos="9180"/>
              </w:tabs>
              <w:ind w:right="-360"/>
            </w:pPr>
          </w:p>
        </w:tc>
        <w:tc>
          <w:tcPr>
            <w:tcW w:w="1440" w:type="dxa"/>
            <w:tcBorders>
              <w:bottom w:val="double" w:sz="4" w:space="0" w:color="auto"/>
            </w:tcBorders>
          </w:tcPr>
          <w:p w14:paraId="0ADA5FC5" w14:textId="36B2975B" w:rsidR="0034086E" w:rsidRPr="000D3DC5" w:rsidRDefault="0034086E" w:rsidP="001B1FEA">
            <w:pPr>
              <w:tabs>
                <w:tab w:val="decimal" w:pos="1044"/>
                <w:tab w:val="right" w:pos="9180"/>
              </w:tabs>
              <w:ind w:right="-18"/>
            </w:pPr>
            <w:r w:rsidRPr="000D3DC5">
              <w:t>$</w:t>
            </w:r>
            <w:r w:rsidRPr="000D3DC5">
              <w:tab/>
            </w:r>
            <w:r w:rsidR="00FA0526">
              <w:t>(4,</w:t>
            </w:r>
            <w:r w:rsidR="00E451B0">
              <w:t>669,214</w:t>
            </w:r>
            <w:r w:rsidR="00FA0526">
              <w:t>)</w:t>
            </w:r>
          </w:p>
        </w:tc>
        <w:tc>
          <w:tcPr>
            <w:tcW w:w="270" w:type="dxa"/>
          </w:tcPr>
          <w:p w14:paraId="7698C34F" w14:textId="77777777" w:rsidR="0034086E" w:rsidRPr="000D3DC5" w:rsidRDefault="0034086E" w:rsidP="001B1FEA">
            <w:pPr>
              <w:tabs>
                <w:tab w:val="right" w:pos="9180"/>
              </w:tabs>
              <w:ind w:right="-360"/>
            </w:pPr>
          </w:p>
        </w:tc>
        <w:tc>
          <w:tcPr>
            <w:tcW w:w="1530" w:type="dxa"/>
            <w:tcBorders>
              <w:bottom w:val="double" w:sz="4" w:space="0" w:color="auto"/>
            </w:tcBorders>
          </w:tcPr>
          <w:p w14:paraId="5D89971F" w14:textId="6B902C36" w:rsidR="0034086E" w:rsidRPr="000D3DC5" w:rsidRDefault="0034086E" w:rsidP="001B1FEA">
            <w:pPr>
              <w:tabs>
                <w:tab w:val="decimal" w:pos="1152"/>
                <w:tab w:val="right" w:pos="9180"/>
              </w:tabs>
              <w:ind w:right="-18"/>
            </w:pPr>
            <w:r>
              <w:t>$</w:t>
            </w:r>
            <w:r>
              <w:tab/>
              <w:t>(</w:t>
            </w:r>
            <w:r w:rsidR="001619B6">
              <w:t>2,876,811</w:t>
            </w:r>
            <w:r>
              <w:t>)</w:t>
            </w:r>
          </w:p>
        </w:tc>
      </w:tr>
      <w:tr w:rsidR="0034086E" w:rsidRPr="000D3DC5" w14:paraId="0F5C8BBD" w14:textId="77777777" w:rsidTr="001B1FEA">
        <w:tc>
          <w:tcPr>
            <w:tcW w:w="378" w:type="dxa"/>
          </w:tcPr>
          <w:p w14:paraId="3B0FC35B" w14:textId="77777777" w:rsidR="0034086E" w:rsidRPr="000D3DC5" w:rsidRDefault="0034086E" w:rsidP="001B1FEA">
            <w:pPr>
              <w:ind w:right="-360"/>
            </w:pPr>
          </w:p>
        </w:tc>
        <w:tc>
          <w:tcPr>
            <w:tcW w:w="450" w:type="dxa"/>
          </w:tcPr>
          <w:p w14:paraId="66C6455D" w14:textId="77777777" w:rsidR="0034086E" w:rsidRPr="000D3DC5" w:rsidRDefault="0034086E" w:rsidP="001B1FEA">
            <w:pPr>
              <w:ind w:right="-360"/>
            </w:pPr>
          </w:p>
        </w:tc>
        <w:tc>
          <w:tcPr>
            <w:tcW w:w="450" w:type="dxa"/>
          </w:tcPr>
          <w:p w14:paraId="5F5FE051" w14:textId="77777777" w:rsidR="0034086E" w:rsidRPr="000D3DC5" w:rsidRDefault="0034086E" w:rsidP="001B1FEA">
            <w:pPr>
              <w:ind w:right="-360"/>
            </w:pPr>
          </w:p>
        </w:tc>
        <w:tc>
          <w:tcPr>
            <w:tcW w:w="2160" w:type="dxa"/>
          </w:tcPr>
          <w:p w14:paraId="7C2D73F7" w14:textId="77777777" w:rsidR="0034086E" w:rsidRPr="000D3DC5" w:rsidRDefault="0034086E" w:rsidP="001B1FEA">
            <w:pPr>
              <w:tabs>
                <w:tab w:val="right" w:pos="9180"/>
              </w:tabs>
              <w:ind w:right="-360"/>
            </w:pPr>
          </w:p>
        </w:tc>
        <w:tc>
          <w:tcPr>
            <w:tcW w:w="1530" w:type="dxa"/>
          </w:tcPr>
          <w:p w14:paraId="76C6C430" w14:textId="77777777" w:rsidR="0034086E" w:rsidRPr="000D3DC5" w:rsidRDefault="0034086E" w:rsidP="001B1FEA">
            <w:pPr>
              <w:tabs>
                <w:tab w:val="right" w:pos="9180"/>
              </w:tabs>
              <w:ind w:right="-18"/>
            </w:pPr>
          </w:p>
        </w:tc>
        <w:tc>
          <w:tcPr>
            <w:tcW w:w="270" w:type="dxa"/>
          </w:tcPr>
          <w:p w14:paraId="42615036" w14:textId="77777777" w:rsidR="0034086E" w:rsidRPr="000D3DC5" w:rsidRDefault="0034086E" w:rsidP="001B1FEA">
            <w:pPr>
              <w:tabs>
                <w:tab w:val="right" w:pos="9180"/>
              </w:tabs>
              <w:ind w:right="-360"/>
            </w:pPr>
          </w:p>
        </w:tc>
        <w:tc>
          <w:tcPr>
            <w:tcW w:w="1440" w:type="dxa"/>
          </w:tcPr>
          <w:p w14:paraId="2A4EFB50" w14:textId="77777777" w:rsidR="0034086E" w:rsidRPr="000D3DC5" w:rsidRDefault="0034086E" w:rsidP="001B1FEA">
            <w:pPr>
              <w:tabs>
                <w:tab w:val="right" w:pos="9180"/>
              </w:tabs>
              <w:ind w:right="-46"/>
            </w:pPr>
          </w:p>
        </w:tc>
        <w:tc>
          <w:tcPr>
            <w:tcW w:w="450" w:type="dxa"/>
          </w:tcPr>
          <w:p w14:paraId="330C01C8" w14:textId="77777777" w:rsidR="0034086E" w:rsidRPr="000D3DC5" w:rsidRDefault="0034086E" w:rsidP="001B1FEA">
            <w:pPr>
              <w:tabs>
                <w:tab w:val="right" w:pos="9180"/>
              </w:tabs>
              <w:ind w:right="-360"/>
            </w:pPr>
          </w:p>
        </w:tc>
        <w:tc>
          <w:tcPr>
            <w:tcW w:w="1440" w:type="dxa"/>
          </w:tcPr>
          <w:p w14:paraId="6EAD27B3" w14:textId="77777777" w:rsidR="0034086E" w:rsidRPr="000D3DC5" w:rsidRDefault="0034086E" w:rsidP="001B1FEA">
            <w:pPr>
              <w:tabs>
                <w:tab w:val="right" w:pos="9180"/>
              </w:tabs>
              <w:ind w:right="-18"/>
            </w:pPr>
          </w:p>
        </w:tc>
        <w:tc>
          <w:tcPr>
            <w:tcW w:w="270" w:type="dxa"/>
          </w:tcPr>
          <w:p w14:paraId="03D8FA43" w14:textId="77777777" w:rsidR="0034086E" w:rsidRPr="000D3DC5" w:rsidRDefault="0034086E" w:rsidP="001B1FEA">
            <w:pPr>
              <w:tabs>
                <w:tab w:val="right" w:pos="9180"/>
              </w:tabs>
              <w:ind w:right="-360"/>
            </w:pPr>
          </w:p>
        </w:tc>
        <w:tc>
          <w:tcPr>
            <w:tcW w:w="1530" w:type="dxa"/>
          </w:tcPr>
          <w:p w14:paraId="3605961C" w14:textId="77777777" w:rsidR="0034086E" w:rsidRPr="000D3DC5" w:rsidRDefault="0034086E" w:rsidP="001B1FEA">
            <w:pPr>
              <w:tabs>
                <w:tab w:val="right" w:pos="9180"/>
              </w:tabs>
              <w:ind w:right="-18"/>
            </w:pPr>
          </w:p>
        </w:tc>
      </w:tr>
      <w:tr w:rsidR="0034086E" w:rsidRPr="000D3DC5" w14:paraId="745FF613" w14:textId="77777777" w:rsidTr="001B1FEA">
        <w:tc>
          <w:tcPr>
            <w:tcW w:w="3438" w:type="dxa"/>
            <w:gridSpan w:val="4"/>
          </w:tcPr>
          <w:p w14:paraId="6C6983C9" w14:textId="77777777" w:rsidR="0034086E" w:rsidRPr="000D3DC5" w:rsidRDefault="0034086E" w:rsidP="001B1FEA">
            <w:pPr>
              <w:tabs>
                <w:tab w:val="right" w:pos="9180"/>
              </w:tabs>
              <w:ind w:right="-360"/>
            </w:pPr>
            <w:r w:rsidRPr="000D3DC5">
              <w:t>Basic and diluted:</w:t>
            </w:r>
          </w:p>
        </w:tc>
        <w:tc>
          <w:tcPr>
            <w:tcW w:w="1530" w:type="dxa"/>
          </w:tcPr>
          <w:p w14:paraId="26F1A3B7" w14:textId="77777777" w:rsidR="0034086E" w:rsidRPr="000D3DC5" w:rsidRDefault="0034086E" w:rsidP="001B1FEA">
            <w:pPr>
              <w:tabs>
                <w:tab w:val="decimal" w:pos="792"/>
                <w:tab w:val="right" w:pos="9180"/>
              </w:tabs>
              <w:ind w:right="-18"/>
            </w:pPr>
          </w:p>
        </w:tc>
        <w:tc>
          <w:tcPr>
            <w:tcW w:w="270" w:type="dxa"/>
          </w:tcPr>
          <w:p w14:paraId="1F227A53" w14:textId="77777777" w:rsidR="0034086E" w:rsidRPr="000D3DC5" w:rsidRDefault="0034086E" w:rsidP="001B1FEA">
            <w:pPr>
              <w:tabs>
                <w:tab w:val="right" w:pos="9180"/>
              </w:tabs>
              <w:ind w:right="-360"/>
            </w:pPr>
          </w:p>
        </w:tc>
        <w:tc>
          <w:tcPr>
            <w:tcW w:w="1440" w:type="dxa"/>
          </w:tcPr>
          <w:p w14:paraId="08BB89A3" w14:textId="77777777" w:rsidR="0034086E" w:rsidRPr="00F31ABA" w:rsidRDefault="0034086E" w:rsidP="001B1FEA">
            <w:pPr>
              <w:tabs>
                <w:tab w:val="decimal" w:pos="612"/>
                <w:tab w:val="right" w:pos="9180"/>
              </w:tabs>
              <w:ind w:right="-46"/>
            </w:pPr>
          </w:p>
        </w:tc>
        <w:tc>
          <w:tcPr>
            <w:tcW w:w="450" w:type="dxa"/>
          </w:tcPr>
          <w:p w14:paraId="1D9BF0A2" w14:textId="77777777" w:rsidR="0034086E" w:rsidRPr="00F31ABA" w:rsidRDefault="0034086E" w:rsidP="001B1FEA">
            <w:pPr>
              <w:tabs>
                <w:tab w:val="right" w:pos="9180"/>
              </w:tabs>
              <w:ind w:right="-360"/>
            </w:pPr>
          </w:p>
        </w:tc>
        <w:tc>
          <w:tcPr>
            <w:tcW w:w="1440" w:type="dxa"/>
          </w:tcPr>
          <w:p w14:paraId="026B3618" w14:textId="77777777" w:rsidR="0034086E" w:rsidRPr="00F31ABA" w:rsidRDefault="0034086E" w:rsidP="001B1FEA">
            <w:pPr>
              <w:tabs>
                <w:tab w:val="decimal" w:pos="792"/>
                <w:tab w:val="right" w:pos="9180"/>
              </w:tabs>
              <w:ind w:right="-18"/>
            </w:pPr>
          </w:p>
        </w:tc>
        <w:tc>
          <w:tcPr>
            <w:tcW w:w="270" w:type="dxa"/>
          </w:tcPr>
          <w:p w14:paraId="6606F5E2" w14:textId="77777777" w:rsidR="0034086E" w:rsidRPr="00F31ABA" w:rsidRDefault="0034086E" w:rsidP="001B1FEA">
            <w:pPr>
              <w:tabs>
                <w:tab w:val="right" w:pos="9180"/>
              </w:tabs>
              <w:ind w:right="-360"/>
            </w:pPr>
          </w:p>
        </w:tc>
        <w:tc>
          <w:tcPr>
            <w:tcW w:w="1530" w:type="dxa"/>
          </w:tcPr>
          <w:p w14:paraId="3413BDAA" w14:textId="77777777" w:rsidR="0034086E" w:rsidRPr="00F31ABA" w:rsidRDefault="0034086E" w:rsidP="001B1FEA">
            <w:pPr>
              <w:tabs>
                <w:tab w:val="decimal" w:pos="702"/>
                <w:tab w:val="right" w:pos="9180"/>
              </w:tabs>
              <w:ind w:right="-18"/>
            </w:pPr>
          </w:p>
        </w:tc>
      </w:tr>
      <w:tr w:rsidR="0034086E" w:rsidRPr="000D3DC5" w14:paraId="78A7B2F1" w14:textId="77777777" w:rsidTr="001B1FEA">
        <w:tc>
          <w:tcPr>
            <w:tcW w:w="3438" w:type="dxa"/>
            <w:gridSpan w:val="4"/>
          </w:tcPr>
          <w:p w14:paraId="20703682" w14:textId="77777777" w:rsidR="0034086E" w:rsidRPr="00342196" w:rsidRDefault="0034086E" w:rsidP="001B1FEA">
            <w:pPr>
              <w:tabs>
                <w:tab w:val="right" w:pos="9180"/>
              </w:tabs>
              <w:ind w:right="-360"/>
            </w:pPr>
            <w:r>
              <w:t xml:space="preserve">  Net l</w:t>
            </w:r>
            <w:r w:rsidRPr="00342196">
              <w:t>oss per common share</w:t>
            </w:r>
          </w:p>
        </w:tc>
        <w:tc>
          <w:tcPr>
            <w:tcW w:w="1530" w:type="dxa"/>
          </w:tcPr>
          <w:p w14:paraId="0BE7D998" w14:textId="0600C458" w:rsidR="0034086E" w:rsidRPr="00342196" w:rsidRDefault="0034086E" w:rsidP="001B1FEA">
            <w:pPr>
              <w:tabs>
                <w:tab w:val="decimal" w:pos="882"/>
                <w:tab w:val="right" w:pos="9180"/>
              </w:tabs>
              <w:ind w:right="-18"/>
            </w:pPr>
            <w:r w:rsidRPr="00342196">
              <w:t>$</w:t>
            </w:r>
            <w:r w:rsidRPr="00342196">
              <w:tab/>
            </w:r>
            <w:r w:rsidR="00986D87">
              <w:t>(0.</w:t>
            </w:r>
            <w:r w:rsidR="00CB1D71">
              <w:t>18</w:t>
            </w:r>
            <w:r w:rsidR="00986D87">
              <w:t>)</w:t>
            </w:r>
          </w:p>
        </w:tc>
        <w:tc>
          <w:tcPr>
            <w:tcW w:w="270" w:type="dxa"/>
          </w:tcPr>
          <w:p w14:paraId="589350D1" w14:textId="77777777" w:rsidR="0034086E" w:rsidRPr="00342196" w:rsidRDefault="0034086E" w:rsidP="001B1FEA">
            <w:pPr>
              <w:tabs>
                <w:tab w:val="right" w:pos="9180"/>
              </w:tabs>
              <w:ind w:right="-360"/>
            </w:pPr>
          </w:p>
        </w:tc>
        <w:tc>
          <w:tcPr>
            <w:tcW w:w="1440" w:type="dxa"/>
          </w:tcPr>
          <w:p w14:paraId="26904F66" w14:textId="567AA27F" w:rsidR="0034086E" w:rsidRPr="006E6EBD" w:rsidRDefault="0034086E" w:rsidP="001B1FEA">
            <w:pPr>
              <w:tabs>
                <w:tab w:val="decimal" w:pos="792"/>
                <w:tab w:val="right" w:pos="9180"/>
              </w:tabs>
              <w:ind w:right="-46"/>
            </w:pPr>
            <w:r w:rsidRPr="006E6EBD">
              <w:t>$</w:t>
            </w:r>
            <w:r w:rsidRPr="006E6EBD">
              <w:tab/>
              <w:t>(0.</w:t>
            </w:r>
            <w:r w:rsidR="001619B6">
              <w:t>21</w:t>
            </w:r>
            <w:r w:rsidRPr="006E6EBD">
              <w:t>)</w:t>
            </w:r>
          </w:p>
        </w:tc>
        <w:tc>
          <w:tcPr>
            <w:tcW w:w="450" w:type="dxa"/>
          </w:tcPr>
          <w:p w14:paraId="0942BDFF" w14:textId="77777777" w:rsidR="0034086E" w:rsidRPr="006E6EBD" w:rsidRDefault="0034086E" w:rsidP="001B1FEA">
            <w:pPr>
              <w:tabs>
                <w:tab w:val="right" w:pos="9180"/>
              </w:tabs>
              <w:ind w:right="-360"/>
            </w:pPr>
          </w:p>
        </w:tc>
        <w:tc>
          <w:tcPr>
            <w:tcW w:w="1440" w:type="dxa"/>
          </w:tcPr>
          <w:p w14:paraId="607F8D1E" w14:textId="667910D9" w:rsidR="0034086E" w:rsidRPr="006E6EBD" w:rsidRDefault="0034086E" w:rsidP="001B1FEA">
            <w:pPr>
              <w:tabs>
                <w:tab w:val="decimal" w:pos="792"/>
                <w:tab w:val="right" w:pos="9180"/>
              </w:tabs>
              <w:ind w:right="-18"/>
            </w:pPr>
            <w:r w:rsidRPr="006E6EBD">
              <w:t>$</w:t>
            </w:r>
            <w:r w:rsidRPr="006E6EBD">
              <w:tab/>
            </w:r>
            <w:r w:rsidR="00FA0526">
              <w:t>(0.</w:t>
            </w:r>
            <w:r w:rsidR="00CB1D71">
              <w:t>47</w:t>
            </w:r>
            <w:r w:rsidR="00FA0526">
              <w:t>)</w:t>
            </w:r>
          </w:p>
        </w:tc>
        <w:tc>
          <w:tcPr>
            <w:tcW w:w="270" w:type="dxa"/>
          </w:tcPr>
          <w:p w14:paraId="18559B8E" w14:textId="77777777" w:rsidR="0034086E" w:rsidRPr="006E6EBD" w:rsidRDefault="0034086E" w:rsidP="001B1FEA">
            <w:pPr>
              <w:tabs>
                <w:tab w:val="right" w:pos="9180"/>
              </w:tabs>
              <w:ind w:right="-360"/>
            </w:pPr>
          </w:p>
        </w:tc>
        <w:tc>
          <w:tcPr>
            <w:tcW w:w="1530" w:type="dxa"/>
          </w:tcPr>
          <w:p w14:paraId="273D6064" w14:textId="5D7DA84B" w:rsidR="0034086E" w:rsidRPr="006E6EBD" w:rsidRDefault="0034086E" w:rsidP="001B1FEA">
            <w:pPr>
              <w:tabs>
                <w:tab w:val="decimal" w:pos="882"/>
                <w:tab w:val="right" w:pos="9180"/>
              </w:tabs>
              <w:ind w:right="-18"/>
            </w:pPr>
            <w:r w:rsidRPr="006E6EBD">
              <w:t>$</w:t>
            </w:r>
            <w:r w:rsidRPr="006E6EBD">
              <w:tab/>
            </w:r>
            <w:r w:rsidR="001619B6">
              <w:t>(0.49</w:t>
            </w:r>
            <w:r w:rsidRPr="006E6EBD">
              <w:t>)</w:t>
            </w:r>
          </w:p>
        </w:tc>
      </w:tr>
      <w:tr w:rsidR="0034086E" w:rsidRPr="000D3DC5" w14:paraId="786EE3E4" w14:textId="77777777" w:rsidTr="001B1FEA">
        <w:tc>
          <w:tcPr>
            <w:tcW w:w="3438" w:type="dxa"/>
            <w:gridSpan w:val="4"/>
          </w:tcPr>
          <w:p w14:paraId="5488C6DA" w14:textId="77777777" w:rsidR="0034086E" w:rsidRPr="000D3DC5" w:rsidRDefault="0034086E" w:rsidP="001B1FEA">
            <w:pPr>
              <w:tabs>
                <w:tab w:val="right" w:pos="9180"/>
              </w:tabs>
              <w:ind w:right="-360"/>
            </w:pPr>
            <w:r>
              <w:t xml:space="preserve">  Weighted average shares outstanding</w:t>
            </w:r>
          </w:p>
        </w:tc>
        <w:tc>
          <w:tcPr>
            <w:tcW w:w="1530" w:type="dxa"/>
          </w:tcPr>
          <w:p w14:paraId="1E418A6A" w14:textId="4D884D77" w:rsidR="0034086E" w:rsidRPr="000D3DC5" w:rsidRDefault="0034086E" w:rsidP="001B1FEA">
            <w:pPr>
              <w:tabs>
                <w:tab w:val="decimal" w:pos="1152"/>
                <w:tab w:val="right" w:pos="9180"/>
              </w:tabs>
              <w:ind w:right="-18"/>
            </w:pPr>
            <w:r>
              <w:tab/>
            </w:r>
            <w:r w:rsidR="00CB1D71">
              <w:t>12,721,696</w:t>
            </w:r>
          </w:p>
        </w:tc>
        <w:tc>
          <w:tcPr>
            <w:tcW w:w="270" w:type="dxa"/>
          </w:tcPr>
          <w:p w14:paraId="5367C997" w14:textId="77777777" w:rsidR="0034086E" w:rsidRPr="000D3DC5" w:rsidRDefault="0034086E" w:rsidP="001B1FEA">
            <w:pPr>
              <w:tabs>
                <w:tab w:val="right" w:pos="9180"/>
              </w:tabs>
              <w:ind w:right="-360"/>
            </w:pPr>
          </w:p>
        </w:tc>
        <w:tc>
          <w:tcPr>
            <w:tcW w:w="1440" w:type="dxa"/>
          </w:tcPr>
          <w:p w14:paraId="4FAD91D4" w14:textId="58DCE604" w:rsidR="0034086E" w:rsidRPr="006E6EBD" w:rsidRDefault="0034086E" w:rsidP="001B1FEA">
            <w:pPr>
              <w:tabs>
                <w:tab w:val="decimal" w:pos="1062"/>
                <w:tab w:val="right" w:pos="9180"/>
              </w:tabs>
              <w:ind w:right="-46"/>
            </w:pPr>
            <w:r w:rsidRPr="006E6EBD">
              <w:tab/>
            </w:r>
            <w:r w:rsidR="001619B6">
              <w:t>6,322,799</w:t>
            </w:r>
          </w:p>
        </w:tc>
        <w:tc>
          <w:tcPr>
            <w:tcW w:w="450" w:type="dxa"/>
          </w:tcPr>
          <w:p w14:paraId="50C0420A" w14:textId="77777777" w:rsidR="0034086E" w:rsidRPr="006E6EBD" w:rsidRDefault="0034086E" w:rsidP="001B1FEA">
            <w:pPr>
              <w:tabs>
                <w:tab w:val="right" w:pos="9180"/>
              </w:tabs>
              <w:ind w:right="-360"/>
            </w:pPr>
          </w:p>
        </w:tc>
        <w:tc>
          <w:tcPr>
            <w:tcW w:w="1440" w:type="dxa"/>
          </w:tcPr>
          <w:p w14:paraId="7AB2532B" w14:textId="0110B902" w:rsidR="0034086E" w:rsidRPr="006E6EBD" w:rsidRDefault="0034086E" w:rsidP="001B1FEA">
            <w:pPr>
              <w:tabs>
                <w:tab w:val="decimal" w:pos="1062"/>
                <w:tab w:val="right" w:pos="9180"/>
              </w:tabs>
              <w:ind w:right="-18"/>
            </w:pPr>
            <w:r w:rsidRPr="006E6EBD">
              <w:tab/>
            </w:r>
            <w:r w:rsidR="00CB1D71">
              <w:t>9,931,088</w:t>
            </w:r>
          </w:p>
        </w:tc>
        <w:tc>
          <w:tcPr>
            <w:tcW w:w="270" w:type="dxa"/>
          </w:tcPr>
          <w:p w14:paraId="262D9B26" w14:textId="77777777" w:rsidR="0034086E" w:rsidRPr="006E6EBD" w:rsidRDefault="0034086E" w:rsidP="001B1FEA">
            <w:pPr>
              <w:tabs>
                <w:tab w:val="right" w:pos="9180"/>
              </w:tabs>
              <w:ind w:right="-360"/>
            </w:pPr>
          </w:p>
        </w:tc>
        <w:tc>
          <w:tcPr>
            <w:tcW w:w="1530" w:type="dxa"/>
          </w:tcPr>
          <w:p w14:paraId="3EA5C477" w14:textId="1793CC17" w:rsidR="0034086E" w:rsidRPr="006E6EBD" w:rsidRDefault="0034086E" w:rsidP="001B1FEA">
            <w:pPr>
              <w:tabs>
                <w:tab w:val="decimal" w:pos="1152"/>
                <w:tab w:val="right" w:pos="9180"/>
              </w:tabs>
              <w:ind w:right="-18"/>
            </w:pPr>
            <w:r w:rsidRPr="006E6EBD">
              <w:tab/>
            </w:r>
            <w:r w:rsidR="001619B6">
              <w:t>5,830,165</w:t>
            </w:r>
          </w:p>
        </w:tc>
      </w:tr>
      <w:tr w:rsidR="0034086E" w:rsidRPr="008F36CA" w14:paraId="1C03EB8A" w14:textId="77777777" w:rsidTr="001B1FEA">
        <w:tc>
          <w:tcPr>
            <w:tcW w:w="378" w:type="dxa"/>
          </w:tcPr>
          <w:p w14:paraId="512999CA" w14:textId="77777777" w:rsidR="0034086E" w:rsidRPr="008F36CA" w:rsidRDefault="0034086E" w:rsidP="001B1FEA">
            <w:pPr>
              <w:ind w:right="-360"/>
            </w:pPr>
          </w:p>
        </w:tc>
        <w:tc>
          <w:tcPr>
            <w:tcW w:w="450" w:type="dxa"/>
          </w:tcPr>
          <w:p w14:paraId="43FDACE1" w14:textId="77777777" w:rsidR="0034086E" w:rsidRPr="008F36CA" w:rsidRDefault="0034086E" w:rsidP="001B1FEA">
            <w:pPr>
              <w:ind w:right="-360"/>
            </w:pPr>
          </w:p>
        </w:tc>
        <w:tc>
          <w:tcPr>
            <w:tcW w:w="450" w:type="dxa"/>
          </w:tcPr>
          <w:p w14:paraId="75DE0D0D" w14:textId="77777777" w:rsidR="0034086E" w:rsidRPr="008F36CA" w:rsidRDefault="0034086E" w:rsidP="001B1FEA">
            <w:pPr>
              <w:ind w:right="-360"/>
            </w:pPr>
          </w:p>
        </w:tc>
        <w:tc>
          <w:tcPr>
            <w:tcW w:w="2160" w:type="dxa"/>
          </w:tcPr>
          <w:p w14:paraId="62A79957" w14:textId="77777777" w:rsidR="0034086E" w:rsidRPr="008F36CA" w:rsidRDefault="0034086E" w:rsidP="001B1FEA">
            <w:pPr>
              <w:tabs>
                <w:tab w:val="right" w:pos="9180"/>
              </w:tabs>
              <w:ind w:right="-360"/>
            </w:pPr>
          </w:p>
        </w:tc>
        <w:tc>
          <w:tcPr>
            <w:tcW w:w="1530" w:type="dxa"/>
          </w:tcPr>
          <w:p w14:paraId="52B294EB" w14:textId="77777777" w:rsidR="0034086E" w:rsidRPr="008F36CA" w:rsidRDefault="0034086E" w:rsidP="001B1FEA">
            <w:pPr>
              <w:tabs>
                <w:tab w:val="right" w:pos="9180"/>
              </w:tabs>
              <w:ind w:right="-18"/>
            </w:pPr>
          </w:p>
        </w:tc>
        <w:tc>
          <w:tcPr>
            <w:tcW w:w="270" w:type="dxa"/>
          </w:tcPr>
          <w:p w14:paraId="2807CDF2" w14:textId="77777777" w:rsidR="0034086E" w:rsidRPr="008F36CA" w:rsidRDefault="0034086E" w:rsidP="001B1FEA">
            <w:pPr>
              <w:tabs>
                <w:tab w:val="right" w:pos="9180"/>
              </w:tabs>
              <w:ind w:right="-360"/>
            </w:pPr>
          </w:p>
        </w:tc>
        <w:tc>
          <w:tcPr>
            <w:tcW w:w="1440" w:type="dxa"/>
          </w:tcPr>
          <w:p w14:paraId="4E7476D5" w14:textId="77777777" w:rsidR="0034086E" w:rsidRPr="00F31ABA" w:rsidRDefault="0034086E" w:rsidP="001B1FEA">
            <w:pPr>
              <w:tabs>
                <w:tab w:val="right" w:pos="9180"/>
              </w:tabs>
              <w:ind w:right="-46"/>
            </w:pPr>
          </w:p>
        </w:tc>
        <w:tc>
          <w:tcPr>
            <w:tcW w:w="450" w:type="dxa"/>
          </w:tcPr>
          <w:p w14:paraId="64FFB2E0" w14:textId="77777777" w:rsidR="0034086E" w:rsidRPr="00F31ABA" w:rsidRDefault="0034086E" w:rsidP="001B1FEA">
            <w:pPr>
              <w:tabs>
                <w:tab w:val="right" w:pos="9180"/>
              </w:tabs>
              <w:ind w:right="-360"/>
            </w:pPr>
          </w:p>
        </w:tc>
        <w:tc>
          <w:tcPr>
            <w:tcW w:w="1440" w:type="dxa"/>
          </w:tcPr>
          <w:p w14:paraId="407E31FD" w14:textId="77777777" w:rsidR="0034086E" w:rsidRPr="00F31ABA" w:rsidRDefault="0034086E" w:rsidP="001B1FEA">
            <w:pPr>
              <w:tabs>
                <w:tab w:val="right" w:pos="9180"/>
              </w:tabs>
              <w:ind w:right="-18"/>
            </w:pPr>
          </w:p>
        </w:tc>
        <w:tc>
          <w:tcPr>
            <w:tcW w:w="270" w:type="dxa"/>
          </w:tcPr>
          <w:p w14:paraId="44507EFE" w14:textId="77777777" w:rsidR="0034086E" w:rsidRPr="00F31ABA" w:rsidRDefault="0034086E" w:rsidP="001B1FEA">
            <w:pPr>
              <w:tabs>
                <w:tab w:val="right" w:pos="9180"/>
              </w:tabs>
              <w:ind w:right="-360"/>
            </w:pPr>
          </w:p>
        </w:tc>
        <w:tc>
          <w:tcPr>
            <w:tcW w:w="1530" w:type="dxa"/>
          </w:tcPr>
          <w:p w14:paraId="5F24A612" w14:textId="77777777" w:rsidR="0034086E" w:rsidRPr="00F31ABA" w:rsidRDefault="0034086E" w:rsidP="001B1FEA">
            <w:pPr>
              <w:tabs>
                <w:tab w:val="right" w:pos="9180"/>
              </w:tabs>
              <w:ind w:right="-18"/>
            </w:pPr>
          </w:p>
        </w:tc>
      </w:tr>
      <w:tr w:rsidR="0034086E" w:rsidRPr="000D3DC5" w14:paraId="0ECB45E6" w14:textId="77777777" w:rsidTr="001B1FEA">
        <w:tc>
          <w:tcPr>
            <w:tcW w:w="378" w:type="dxa"/>
          </w:tcPr>
          <w:p w14:paraId="5D6FCF4B" w14:textId="77777777" w:rsidR="0034086E" w:rsidRPr="000D3DC5" w:rsidRDefault="0034086E" w:rsidP="001B1FEA">
            <w:pPr>
              <w:ind w:right="-360"/>
            </w:pPr>
          </w:p>
        </w:tc>
        <w:tc>
          <w:tcPr>
            <w:tcW w:w="450" w:type="dxa"/>
          </w:tcPr>
          <w:p w14:paraId="257058FF" w14:textId="77777777" w:rsidR="0034086E" w:rsidRPr="000D3DC5" w:rsidRDefault="0034086E" w:rsidP="001B1FEA">
            <w:pPr>
              <w:ind w:right="-360"/>
            </w:pPr>
          </w:p>
        </w:tc>
        <w:tc>
          <w:tcPr>
            <w:tcW w:w="450" w:type="dxa"/>
          </w:tcPr>
          <w:p w14:paraId="621305ED" w14:textId="77777777" w:rsidR="0034086E" w:rsidRPr="000D3DC5" w:rsidRDefault="0034086E" w:rsidP="001B1FEA">
            <w:pPr>
              <w:ind w:right="-360"/>
            </w:pPr>
          </w:p>
        </w:tc>
        <w:tc>
          <w:tcPr>
            <w:tcW w:w="2160" w:type="dxa"/>
          </w:tcPr>
          <w:p w14:paraId="0ED74664" w14:textId="77777777" w:rsidR="0034086E" w:rsidRPr="000D3DC5" w:rsidRDefault="0034086E" w:rsidP="001B1FEA">
            <w:pPr>
              <w:tabs>
                <w:tab w:val="right" w:pos="9180"/>
              </w:tabs>
              <w:ind w:right="-360"/>
            </w:pPr>
          </w:p>
        </w:tc>
        <w:tc>
          <w:tcPr>
            <w:tcW w:w="1530" w:type="dxa"/>
          </w:tcPr>
          <w:p w14:paraId="73B43661" w14:textId="77777777" w:rsidR="0034086E" w:rsidRPr="000D3DC5" w:rsidRDefault="0034086E" w:rsidP="001B1FEA">
            <w:pPr>
              <w:tabs>
                <w:tab w:val="right" w:pos="9180"/>
              </w:tabs>
              <w:ind w:right="-18"/>
            </w:pPr>
          </w:p>
        </w:tc>
        <w:tc>
          <w:tcPr>
            <w:tcW w:w="270" w:type="dxa"/>
          </w:tcPr>
          <w:p w14:paraId="63970F16" w14:textId="77777777" w:rsidR="0034086E" w:rsidRPr="000D3DC5" w:rsidRDefault="0034086E" w:rsidP="001B1FEA">
            <w:pPr>
              <w:tabs>
                <w:tab w:val="right" w:pos="9180"/>
              </w:tabs>
              <w:ind w:right="-360"/>
            </w:pPr>
          </w:p>
        </w:tc>
        <w:tc>
          <w:tcPr>
            <w:tcW w:w="1440" w:type="dxa"/>
          </w:tcPr>
          <w:p w14:paraId="352AB5E8" w14:textId="77777777" w:rsidR="0034086E" w:rsidRPr="000D3DC5" w:rsidRDefault="0034086E" w:rsidP="001B1FEA">
            <w:pPr>
              <w:tabs>
                <w:tab w:val="right" w:pos="9180"/>
              </w:tabs>
              <w:ind w:right="-46"/>
            </w:pPr>
          </w:p>
        </w:tc>
        <w:tc>
          <w:tcPr>
            <w:tcW w:w="450" w:type="dxa"/>
          </w:tcPr>
          <w:p w14:paraId="429142DF" w14:textId="77777777" w:rsidR="0034086E" w:rsidRPr="000D3DC5" w:rsidRDefault="0034086E" w:rsidP="001B1FEA">
            <w:pPr>
              <w:tabs>
                <w:tab w:val="right" w:pos="9180"/>
              </w:tabs>
              <w:ind w:right="-360"/>
            </w:pPr>
          </w:p>
        </w:tc>
        <w:tc>
          <w:tcPr>
            <w:tcW w:w="1440" w:type="dxa"/>
          </w:tcPr>
          <w:p w14:paraId="59BF4AB0" w14:textId="77777777" w:rsidR="0034086E" w:rsidRPr="000D3DC5" w:rsidRDefault="0034086E" w:rsidP="001B1FEA">
            <w:pPr>
              <w:tabs>
                <w:tab w:val="right" w:pos="9180"/>
              </w:tabs>
              <w:ind w:right="-18"/>
            </w:pPr>
          </w:p>
        </w:tc>
        <w:tc>
          <w:tcPr>
            <w:tcW w:w="270" w:type="dxa"/>
          </w:tcPr>
          <w:p w14:paraId="1AA12E70" w14:textId="77777777" w:rsidR="0034086E" w:rsidRPr="000D3DC5" w:rsidRDefault="0034086E" w:rsidP="001B1FEA">
            <w:pPr>
              <w:tabs>
                <w:tab w:val="right" w:pos="9180"/>
              </w:tabs>
              <w:ind w:right="-360"/>
            </w:pPr>
          </w:p>
        </w:tc>
        <w:tc>
          <w:tcPr>
            <w:tcW w:w="1530" w:type="dxa"/>
          </w:tcPr>
          <w:p w14:paraId="347F32C4" w14:textId="77777777" w:rsidR="0034086E" w:rsidRPr="000D3DC5" w:rsidRDefault="0034086E" w:rsidP="001B1FEA">
            <w:pPr>
              <w:tabs>
                <w:tab w:val="right" w:pos="9180"/>
              </w:tabs>
              <w:ind w:right="-18"/>
            </w:pPr>
          </w:p>
        </w:tc>
      </w:tr>
    </w:tbl>
    <w:p w14:paraId="274540FA" w14:textId="77777777" w:rsidR="0034086E" w:rsidRPr="00BA4187" w:rsidRDefault="0034086E" w:rsidP="0034086E">
      <w:pPr>
        <w:tabs>
          <w:tab w:val="left" w:pos="1080"/>
          <w:tab w:val="left" w:pos="1260"/>
          <w:tab w:val="left" w:pos="2340"/>
          <w:tab w:val="right" w:pos="9180"/>
        </w:tabs>
        <w:ind w:right="-360"/>
        <w:jc w:val="center"/>
      </w:pPr>
    </w:p>
    <w:p w14:paraId="26DA880B" w14:textId="77777777" w:rsidR="0034086E" w:rsidRDefault="0034086E" w:rsidP="0034086E">
      <w:pPr>
        <w:tabs>
          <w:tab w:val="left" w:pos="1080"/>
          <w:tab w:val="left" w:pos="1260"/>
          <w:tab w:val="left" w:pos="2340"/>
          <w:tab w:val="right" w:pos="9180"/>
        </w:tabs>
        <w:ind w:right="-360"/>
      </w:pPr>
    </w:p>
    <w:p w14:paraId="28A1E3F1" w14:textId="77777777" w:rsidR="0034086E" w:rsidRDefault="0034086E" w:rsidP="0034086E">
      <w:pPr>
        <w:tabs>
          <w:tab w:val="left" w:pos="1080"/>
          <w:tab w:val="left" w:pos="1260"/>
          <w:tab w:val="left" w:pos="2340"/>
          <w:tab w:val="right" w:pos="9180"/>
        </w:tabs>
        <w:ind w:right="-360"/>
      </w:pPr>
    </w:p>
    <w:p w14:paraId="65B25523" w14:textId="77777777" w:rsidR="0034086E" w:rsidRDefault="0034086E" w:rsidP="0034086E">
      <w:pPr>
        <w:tabs>
          <w:tab w:val="left" w:pos="1080"/>
          <w:tab w:val="left" w:pos="1260"/>
          <w:tab w:val="left" w:pos="2340"/>
          <w:tab w:val="right" w:pos="9180"/>
        </w:tabs>
        <w:ind w:right="-360"/>
      </w:pPr>
    </w:p>
    <w:p w14:paraId="05790F96" w14:textId="77777777" w:rsidR="0034086E" w:rsidRPr="00BA4187" w:rsidRDefault="0034086E" w:rsidP="0034086E">
      <w:pPr>
        <w:tabs>
          <w:tab w:val="left" w:pos="1080"/>
          <w:tab w:val="left" w:pos="1260"/>
          <w:tab w:val="left" w:pos="2340"/>
          <w:tab w:val="right" w:pos="9180"/>
        </w:tabs>
        <w:ind w:right="-360"/>
        <w:jc w:val="center"/>
      </w:pPr>
      <w:r w:rsidRPr="00BA4187">
        <w:t>See accompanying notes to condensed consolidated financial statements.</w:t>
      </w:r>
    </w:p>
    <w:p w14:paraId="1057A83D" w14:textId="77777777" w:rsidR="0034086E" w:rsidRDefault="0034086E" w:rsidP="0034086E">
      <w:pPr>
        <w:tabs>
          <w:tab w:val="left" w:pos="1080"/>
          <w:tab w:val="left" w:pos="1260"/>
          <w:tab w:val="left" w:pos="2340"/>
          <w:tab w:val="right" w:pos="9180"/>
        </w:tabs>
        <w:ind w:right="-360"/>
      </w:pPr>
    </w:p>
    <w:p w14:paraId="61AEFC76" w14:textId="6E8686F3" w:rsidR="00374FE3" w:rsidRDefault="00374FE3"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t>GEOVAX LABS, INC.</w:t>
      </w:r>
    </w:p>
    <w:p w14:paraId="5AB7F194" w14:textId="4B1D042D" w:rsidR="00487CAB" w:rsidRPr="00487CAB" w:rsidRDefault="00487CAB" w:rsidP="00487CAB">
      <w:pPr>
        <w:jc w:val="center"/>
        <w:rPr>
          <w:b/>
        </w:rPr>
      </w:pPr>
      <w:r w:rsidRPr="00487CAB">
        <w:rPr>
          <w:b/>
        </w:rPr>
        <w:t>CONDENSED CONSOLIDATED STATEMENTS OF CHANGES IN STOCKHOLDERS’ EQUITY</w:t>
      </w:r>
    </w:p>
    <w:p w14:paraId="5DBBABFB" w14:textId="77777777" w:rsidR="00487CAB" w:rsidRPr="00487CAB" w:rsidRDefault="00487CAB" w:rsidP="00487CAB">
      <w:pPr>
        <w:jc w:val="center"/>
        <w:rPr>
          <w:b/>
        </w:rPr>
      </w:pPr>
      <w:r w:rsidRPr="00487CAB">
        <w:rPr>
          <w:b/>
        </w:rPr>
        <w:t>(Unaudited)</w:t>
      </w:r>
    </w:p>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8"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B158D9" w:rsidRPr="00487CAB" w14:paraId="4CB7D306" w14:textId="77777777" w:rsidTr="00F038AE">
        <w:tc>
          <w:tcPr>
            <w:tcW w:w="4410" w:type="dxa"/>
          </w:tcPr>
          <w:p w14:paraId="35BA21D3" w14:textId="77777777" w:rsidR="00B158D9" w:rsidRPr="00487CAB" w:rsidRDefault="00B158D9" w:rsidP="00F038AE">
            <w:pPr>
              <w:tabs>
                <w:tab w:val="left" w:pos="144"/>
                <w:tab w:val="left" w:pos="324"/>
                <w:tab w:val="right" w:pos="9180"/>
              </w:tabs>
              <w:rPr>
                <w:snapToGrid w:val="0"/>
                <w:color w:val="000000"/>
                <w:sz w:val="19"/>
                <w:szCs w:val="19"/>
              </w:rPr>
            </w:pPr>
            <w:bookmarkStart w:id="9" w:name="_Hlk98334236"/>
            <w:bookmarkEnd w:id="8"/>
          </w:p>
        </w:tc>
        <w:tc>
          <w:tcPr>
            <w:tcW w:w="9180" w:type="dxa"/>
            <w:gridSpan w:val="7"/>
            <w:tcBorders>
              <w:bottom w:val="single" w:sz="4" w:space="0" w:color="auto"/>
            </w:tcBorders>
          </w:tcPr>
          <w:p w14:paraId="40B07651" w14:textId="1B903F93" w:rsidR="00B158D9" w:rsidRPr="00487CAB" w:rsidRDefault="00B158D9" w:rsidP="00F038AE">
            <w:pPr>
              <w:tabs>
                <w:tab w:val="right" w:pos="9180"/>
              </w:tabs>
              <w:jc w:val="center"/>
              <w:rPr>
                <w:snapToGrid w:val="0"/>
                <w:color w:val="000000"/>
                <w:sz w:val="19"/>
                <w:szCs w:val="19"/>
              </w:rPr>
            </w:pPr>
            <w:r>
              <w:rPr>
                <w:snapToGrid w:val="0"/>
                <w:color w:val="000000"/>
                <w:sz w:val="19"/>
                <w:szCs w:val="19"/>
              </w:rPr>
              <w:t>Three</w:t>
            </w:r>
            <w:r w:rsidR="001619B6">
              <w:rPr>
                <w:snapToGrid w:val="0"/>
                <w:color w:val="000000"/>
                <w:sz w:val="19"/>
                <w:szCs w:val="19"/>
              </w:rPr>
              <w:t>-</w:t>
            </w:r>
            <w:r>
              <w:rPr>
                <w:snapToGrid w:val="0"/>
                <w:color w:val="000000"/>
                <w:sz w:val="19"/>
                <w:szCs w:val="19"/>
              </w:rPr>
              <w:t>Month</w:t>
            </w:r>
            <w:r w:rsidR="001619B6">
              <w:rPr>
                <w:snapToGrid w:val="0"/>
                <w:color w:val="000000"/>
                <w:sz w:val="19"/>
                <w:szCs w:val="19"/>
              </w:rPr>
              <w:t xml:space="preserve"> and Six-Month Periods </w:t>
            </w:r>
            <w:r>
              <w:rPr>
                <w:snapToGrid w:val="0"/>
                <w:color w:val="000000"/>
                <w:sz w:val="19"/>
                <w:szCs w:val="19"/>
              </w:rPr>
              <w:t xml:space="preserve">Ended </w:t>
            </w:r>
            <w:r w:rsidR="008258F1">
              <w:rPr>
                <w:snapToGrid w:val="0"/>
                <w:color w:val="000000"/>
                <w:sz w:val="19"/>
                <w:szCs w:val="19"/>
              </w:rPr>
              <w:t>June</w:t>
            </w:r>
            <w:r>
              <w:rPr>
                <w:snapToGrid w:val="0"/>
                <w:color w:val="000000"/>
                <w:sz w:val="19"/>
                <w:szCs w:val="19"/>
              </w:rPr>
              <w:t xml:space="preserve"> 3</w:t>
            </w:r>
            <w:r w:rsidR="008258F1">
              <w:rPr>
                <w:snapToGrid w:val="0"/>
                <w:color w:val="000000"/>
                <w:sz w:val="19"/>
                <w:szCs w:val="19"/>
              </w:rPr>
              <w:t>0</w:t>
            </w:r>
            <w:r>
              <w:rPr>
                <w:snapToGrid w:val="0"/>
                <w:color w:val="000000"/>
                <w:sz w:val="19"/>
                <w:szCs w:val="19"/>
              </w:rPr>
              <w:t>, 202</w:t>
            </w:r>
            <w:r w:rsidR="001C0E17">
              <w:rPr>
                <w:snapToGrid w:val="0"/>
                <w:color w:val="000000"/>
                <w:sz w:val="19"/>
                <w:szCs w:val="19"/>
              </w:rPr>
              <w:t>2</w:t>
            </w:r>
          </w:p>
        </w:tc>
      </w:tr>
      <w:tr w:rsidR="00B158D9" w:rsidRPr="00487CAB" w14:paraId="50B29CA1" w14:textId="77777777" w:rsidTr="00F038AE">
        <w:tc>
          <w:tcPr>
            <w:tcW w:w="4410" w:type="dxa"/>
          </w:tcPr>
          <w:p w14:paraId="43275F9A"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Pr>
          <w:p w14:paraId="588B694A" w14:textId="77777777" w:rsidR="00B158D9" w:rsidRPr="00487CAB" w:rsidRDefault="00B158D9" w:rsidP="00F038AE">
            <w:pPr>
              <w:tabs>
                <w:tab w:val="left" w:pos="2340"/>
                <w:tab w:val="right" w:pos="9180"/>
              </w:tabs>
              <w:jc w:val="center"/>
              <w:rPr>
                <w:snapToGrid w:val="0"/>
                <w:color w:val="000000"/>
                <w:sz w:val="19"/>
                <w:szCs w:val="19"/>
              </w:rPr>
            </w:pPr>
          </w:p>
        </w:tc>
        <w:tc>
          <w:tcPr>
            <w:tcW w:w="1080" w:type="dxa"/>
          </w:tcPr>
          <w:p w14:paraId="77532D9F" w14:textId="77777777" w:rsidR="00B158D9" w:rsidRPr="00487CAB" w:rsidRDefault="00B158D9" w:rsidP="00F038AE">
            <w:pPr>
              <w:tabs>
                <w:tab w:val="decimal" w:pos="1148"/>
                <w:tab w:val="right" w:pos="9180"/>
              </w:tabs>
              <w:jc w:val="center"/>
              <w:rPr>
                <w:snapToGrid w:val="0"/>
                <w:color w:val="000000"/>
                <w:sz w:val="19"/>
                <w:szCs w:val="19"/>
              </w:rPr>
            </w:pPr>
          </w:p>
        </w:tc>
        <w:tc>
          <w:tcPr>
            <w:tcW w:w="1170" w:type="dxa"/>
          </w:tcPr>
          <w:p w14:paraId="4D0A22A0" w14:textId="77777777" w:rsidR="00B158D9" w:rsidRPr="00487CAB" w:rsidRDefault="00B158D9" w:rsidP="00F038AE">
            <w:pPr>
              <w:tabs>
                <w:tab w:val="decimal" w:pos="1148"/>
                <w:tab w:val="right" w:pos="9180"/>
              </w:tabs>
              <w:jc w:val="center"/>
              <w:rPr>
                <w:snapToGrid w:val="0"/>
                <w:color w:val="000000"/>
                <w:sz w:val="19"/>
                <w:szCs w:val="19"/>
              </w:rPr>
            </w:pPr>
          </w:p>
        </w:tc>
        <w:tc>
          <w:tcPr>
            <w:tcW w:w="1440" w:type="dxa"/>
          </w:tcPr>
          <w:p w14:paraId="18DF2354" w14:textId="77777777" w:rsidR="00B158D9" w:rsidRPr="00487CAB" w:rsidRDefault="00B158D9" w:rsidP="00F038AE">
            <w:pPr>
              <w:tabs>
                <w:tab w:val="decimal" w:pos="1148"/>
                <w:tab w:val="right" w:pos="9180"/>
              </w:tabs>
              <w:jc w:val="center"/>
              <w:rPr>
                <w:snapToGrid w:val="0"/>
                <w:color w:val="000000"/>
                <w:sz w:val="19"/>
                <w:szCs w:val="19"/>
              </w:rPr>
            </w:pPr>
          </w:p>
        </w:tc>
        <w:tc>
          <w:tcPr>
            <w:tcW w:w="1350" w:type="dxa"/>
          </w:tcPr>
          <w:p w14:paraId="435B00C4" w14:textId="77777777" w:rsidR="00B158D9" w:rsidRPr="00487CAB" w:rsidRDefault="00B158D9" w:rsidP="00F038AE">
            <w:pPr>
              <w:tabs>
                <w:tab w:val="right" w:pos="9180"/>
              </w:tabs>
              <w:jc w:val="center"/>
              <w:rPr>
                <w:snapToGrid w:val="0"/>
                <w:color w:val="000000"/>
                <w:sz w:val="19"/>
                <w:szCs w:val="19"/>
              </w:rPr>
            </w:pPr>
          </w:p>
        </w:tc>
        <w:tc>
          <w:tcPr>
            <w:tcW w:w="1800" w:type="dxa"/>
          </w:tcPr>
          <w:p w14:paraId="15394256" w14:textId="77777777" w:rsidR="00B158D9" w:rsidRPr="00487CAB" w:rsidRDefault="00B158D9" w:rsidP="00F038AE">
            <w:pPr>
              <w:tabs>
                <w:tab w:val="right" w:pos="9180"/>
              </w:tabs>
              <w:jc w:val="center"/>
              <w:rPr>
                <w:snapToGrid w:val="0"/>
                <w:color w:val="000000"/>
                <w:sz w:val="19"/>
                <w:szCs w:val="19"/>
              </w:rPr>
            </w:pPr>
            <w:r>
              <w:rPr>
                <w:snapToGrid w:val="0"/>
                <w:color w:val="000000"/>
                <w:sz w:val="19"/>
                <w:szCs w:val="19"/>
              </w:rPr>
              <w:t>Total</w:t>
            </w:r>
          </w:p>
        </w:tc>
      </w:tr>
      <w:tr w:rsidR="00B158D9" w:rsidRPr="00487CAB" w14:paraId="05FB3B47" w14:textId="77777777" w:rsidTr="00F038AE">
        <w:tc>
          <w:tcPr>
            <w:tcW w:w="4410" w:type="dxa"/>
          </w:tcPr>
          <w:p w14:paraId="6F2FBFF3"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15E3C9F6" w14:textId="54C91670"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5EC79F6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B3C4097"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41869D79"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645402C5"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B158D9" w:rsidRPr="00487CAB" w14:paraId="4E5C8358" w14:textId="77777777" w:rsidTr="00F038AE">
        <w:tc>
          <w:tcPr>
            <w:tcW w:w="4410" w:type="dxa"/>
          </w:tcPr>
          <w:p w14:paraId="121DC200"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AA83E1D"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3639648"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5E892763"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4EB8FBF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29A84938"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80DAC2E"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F933B72" w14:textId="38362D5E"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158D9" w:rsidRPr="00487CAB" w14:paraId="7FB04444" w14:textId="77777777" w:rsidTr="00F038AE">
        <w:tc>
          <w:tcPr>
            <w:tcW w:w="4410" w:type="dxa"/>
          </w:tcPr>
          <w:p w14:paraId="4E27956B" w14:textId="6FE54E3D"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sidR="00636549">
              <w:rPr>
                <w:snapToGrid w:val="0"/>
                <w:color w:val="000000"/>
                <w:sz w:val="19"/>
                <w:szCs w:val="19"/>
              </w:rPr>
              <w:t>2</w:t>
            </w:r>
            <w:r w:rsidR="00D174BC">
              <w:rPr>
                <w:snapToGrid w:val="0"/>
                <w:color w:val="000000"/>
                <w:sz w:val="19"/>
                <w:szCs w:val="19"/>
              </w:rPr>
              <w:t>1</w:t>
            </w:r>
          </w:p>
        </w:tc>
        <w:tc>
          <w:tcPr>
            <w:tcW w:w="1170" w:type="dxa"/>
          </w:tcPr>
          <w:p w14:paraId="5F9C0A87" w14:textId="13539ADE"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D174BC">
              <w:rPr>
                <w:snapToGrid w:val="0"/>
                <w:color w:val="000000"/>
                <w:sz w:val="19"/>
                <w:szCs w:val="19"/>
              </w:rPr>
              <w:t>-</w:t>
            </w:r>
          </w:p>
        </w:tc>
        <w:tc>
          <w:tcPr>
            <w:tcW w:w="1170" w:type="dxa"/>
          </w:tcPr>
          <w:p w14:paraId="004CC306" w14:textId="3034F4D9"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w:t>
            </w:r>
          </w:p>
        </w:tc>
        <w:tc>
          <w:tcPr>
            <w:tcW w:w="1080" w:type="dxa"/>
          </w:tcPr>
          <w:p w14:paraId="1BE278D3" w14:textId="128A265F"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174BC">
              <w:rPr>
                <w:snapToGrid w:val="0"/>
                <w:color w:val="000000"/>
                <w:sz w:val="19"/>
                <w:szCs w:val="19"/>
              </w:rPr>
              <w:t>6,381,541</w:t>
            </w:r>
          </w:p>
        </w:tc>
        <w:tc>
          <w:tcPr>
            <w:tcW w:w="1170" w:type="dxa"/>
          </w:tcPr>
          <w:p w14:paraId="5A42009B" w14:textId="5E28E7B8"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6,382</w:t>
            </w:r>
          </w:p>
        </w:tc>
        <w:tc>
          <w:tcPr>
            <w:tcW w:w="1440" w:type="dxa"/>
          </w:tcPr>
          <w:p w14:paraId="311E2D40" w14:textId="2EF1721A"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68,731,220</w:t>
            </w:r>
          </w:p>
        </w:tc>
        <w:tc>
          <w:tcPr>
            <w:tcW w:w="1350" w:type="dxa"/>
          </w:tcPr>
          <w:p w14:paraId="6DBABC26" w14:textId="33725AFC"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t>$(</w:t>
            </w:r>
            <w:r w:rsidR="00D174BC">
              <w:rPr>
                <w:snapToGrid w:val="0"/>
                <w:color w:val="000000"/>
                <w:sz w:val="19"/>
                <w:szCs w:val="19"/>
              </w:rPr>
              <w:t>64,375,898</w:t>
            </w:r>
            <w:r w:rsidRPr="00487CAB">
              <w:rPr>
                <w:snapToGrid w:val="0"/>
                <w:color w:val="000000"/>
                <w:sz w:val="19"/>
                <w:szCs w:val="19"/>
              </w:rPr>
              <w:t>)</w:t>
            </w:r>
          </w:p>
        </w:tc>
        <w:tc>
          <w:tcPr>
            <w:tcW w:w="1800" w:type="dxa"/>
          </w:tcPr>
          <w:p w14:paraId="2FD0FE15" w14:textId="6EF2186E"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4,361,704</w:t>
            </w:r>
          </w:p>
        </w:tc>
      </w:tr>
      <w:tr w:rsidR="00B158D9" w:rsidRPr="00487CAB" w14:paraId="49DF38A9" w14:textId="77777777" w:rsidTr="00F038AE">
        <w:tc>
          <w:tcPr>
            <w:tcW w:w="4410" w:type="dxa"/>
          </w:tcPr>
          <w:p w14:paraId="2837E056" w14:textId="4B30B457"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sidR="00636549">
              <w:rPr>
                <w:snapToGrid w:val="0"/>
                <w:color w:val="000000"/>
                <w:sz w:val="19"/>
                <w:szCs w:val="19"/>
              </w:rPr>
              <w:t>common stock</w:t>
            </w:r>
            <w:r w:rsidR="00D174BC">
              <w:rPr>
                <w:snapToGrid w:val="0"/>
                <w:color w:val="000000"/>
                <w:sz w:val="19"/>
                <w:szCs w:val="19"/>
              </w:rPr>
              <w:t xml:space="preserve"> and warrants</w:t>
            </w:r>
            <w:r w:rsidR="00636549">
              <w:rPr>
                <w:snapToGrid w:val="0"/>
                <w:color w:val="000000"/>
                <w:sz w:val="19"/>
                <w:szCs w:val="19"/>
              </w:rPr>
              <w:t xml:space="preserve"> for</w:t>
            </w:r>
            <w:r>
              <w:rPr>
                <w:snapToGrid w:val="0"/>
                <w:color w:val="000000"/>
                <w:sz w:val="19"/>
                <w:szCs w:val="19"/>
              </w:rPr>
              <w:t xml:space="preserve"> cash</w:t>
            </w:r>
          </w:p>
        </w:tc>
        <w:tc>
          <w:tcPr>
            <w:tcW w:w="1170" w:type="dxa"/>
          </w:tcPr>
          <w:p w14:paraId="02A611FF" w14:textId="19E63DA5"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170" w:type="dxa"/>
          </w:tcPr>
          <w:p w14:paraId="380D1371" w14:textId="4B3CF768"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080" w:type="dxa"/>
          </w:tcPr>
          <w:p w14:paraId="68AFAB8B" w14:textId="12B087DD"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707,484</w:t>
            </w:r>
          </w:p>
        </w:tc>
        <w:tc>
          <w:tcPr>
            <w:tcW w:w="1170" w:type="dxa"/>
          </w:tcPr>
          <w:p w14:paraId="3654EE01" w14:textId="51B87649"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707</w:t>
            </w:r>
          </w:p>
        </w:tc>
        <w:tc>
          <w:tcPr>
            <w:tcW w:w="1440" w:type="dxa"/>
          </w:tcPr>
          <w:p w14:paraId="733B7586" w14:textId="293F51EA"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9,228,541</w:t>
            </w:r>
          </w:p>
        </w:tc>
        <w:tc>
          <w:tcPr>
            <w:tcW w:w="1350" w:type="dxa"/>
          </w:tcPr>
          <w:p w14:paraId="4B189BBA" w14:textId="77777777"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0A1B06C4" w14:textId="1B474B71"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9,229,248</w:t>
            </w:r>
          </w:p>
        </w:tc>
      </w:tr>
      <w:tr w:rsidR="00A640A8" w:rsidRPr="00487CAB" w14:paraId="29CE7FF1" w14:textId="77777777" w:rsidTr="00F038AE">
        <w:tc>
          <w:tcPr>
            <w:tcW w:w="4410" w:type="dxa"/>
          </w:tcPr>
          <w:p w14:paraId="579FF70F" w14:textId="62E885C5" w:rsidR="00A640A8" w:rsidRPr="00487CAB" w:rsidRDefault="00A640A8" w:rsidP="00F038AE">
            <w:pPr>
              <w:tabs>
                <w:tab w:val="left" w:pos="144"/>
                <w:tab w:val="left" w:pos="324"/>
                <w:tab w:val="right" w:pos="9180"/>
              </w:tabs>
              <w:rPr>
                <w:snapToGrid w:val="0"/>
                <w:color w:val="000000"/>
                <w:sz w:val="19"/>
                <w:szCs w:val="19"/>
              </w:rPr>
            </w:pPr>
            <w:bookmarkStart w:id="10" w:name="_Hlk107303309"/>
            <w:r>
              <w:rPr>
                <w:snapToGrid w:val="0"/>
                <w:color w:val="000000"/>
                <w:sz w:val="19"/>
                <w:szCs w:val="19"/>
              </w:rPr>
              <w:tab/>
              <w:t>Issuance of common stock upon warrant exercise</w:t>
            </w:r>
          </w:p>
        </w:tc>
        <w:tc>
          <w:tcPr>
            <w:tcW w:w="1170" w:type="dxa"/>
          </w:tcPr>
          <w:p w14:paraId="2ED5D7BC" w14:textId="55BD6504" w:rsidR="00A640A8" w:rsidRPr="00487CAB" w:rsidRDefault="00A640A8"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CC2269B" w14:textId="6EDC1CB5" w:rsidR="00A640A8" w:rsidRPr="00487CAB" w:rsidRDefault="00A640A8"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F4FE3F3" w14:textId="39969EC7" w:rsidR="00A640A8" w:rsidRPr="00487CAB" w:rsidRDefault="00A640A8"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033723">
              <w:rPr>
                <w:snapToGrid w:val="0"/>
                <w:color w:val="000000"/>
                <w:sz w:val="19"/>
                <w:szCs w:val="19"/>
              </w:rPr>
              <w:t>2,360,000</w:t>
            </w:r>
          </w:p>
        </w:tc>
        <w:tc>
          <w:tcPr>
            <w:tcW w:w="1170" w:type="dxa"/>
          </w:tcPr>
          <w:p w14:paraId="56E89A5F" w14:textId="5F30E897" w:rsidR="00A640A8" w:rsidRPr="00487CAB" w:rsidRDefault="00033723"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34771816" w14:textId="4ECBE14A" w:rsidR="00A640A8" w:rsidRPr="00487CAB" w:rsidRDefault="00033723"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57E3DB35" w14:textId="4382FA2E" w:rsidR="00A640A8" w:rsidRPr="00487CAB" w:rsidRDefault="00033723" w:rsidP="00F038AE">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B5D6A93" w14:textId="25BB144D" w:rsidR="00A640A8" w:rsidRPr="00487CAB" w:rsidRDefault="00033723" w:rsidP="00F038AE">
            <w:pPr>
              <w:tabs>
                <w:tab w:val="decimal" w:pos="1418"/>
                <w:tab w:val="right" w:pos="9180"/>
              </w:tabs>
              <w:rPr>
                <w:snapToGrid w:val="0"/>
                <w:color w:val="000000"/>
                <w:sz w:val="19"/>
                <w:szCs w:val="19"/>
              </w:rPr>
            </w:pPr>
            <w:r>
              <w:rPr>
                <w:snapToGrid w:val="0"/>
                <w:color w:val="000000"/>
                <w:sz w:val="19"/>
                <w:szCs w:val="19"/>
              </w:rPr>
              <w:tab/>
              <w:t>24</w:t>
            </w:r>
          </w:p>
        </w:tc>
      </w:tr>
      <w:bookmarkEnd w:id="10"/>
      <w:tr w:rsidR="00636549" w:rsidRPr="00487CAB" w14:paraId="3965A885" w14:textId="77777777" w:rsidTr="00F038AE">
        <w:tc>
          <w:tcPr>
            <w:tcW w:w="4410" w:type="dxa"/>
          </w:tcPr>
          <w:p w14:paraId="783AEF89" w14:textId="0DCD704C" w:rsidR="00636549" w:rsidRDefault="00636549" w:rsidP="00F038AE">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80447F2" w14:textId="1B1D074D" w:rsidR="00636549" w:rsidRDefault="00636549"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748B50E" w14:textId="55B0DA4F" w:rsidR="00636549" w:rsidRDefault="00636549"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B569F06" w14:textId="1BCFFC44"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51F60DA" w14:textId="3FC36450"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FD36377" w14:textId="58CFB5CD"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033723">
              <w:rPr>
                <w:snapToGrid w:val="0"/>
                <w:color w:val="000000"/>
                <w:sz w:val="19"/>
                <w:szCs w:val="19"/>
              </w:rPr>
              <w:t>190,191</w:t>
            </w:r>
          </w:p>
        </w:tc>
        <w:tc>
          <w:tcPr>
            <w:tcW w:w="1350" w:type="dxa"/>
          </w:tcPr>
          <w:p w14:paraId="3B9B7EA8" w14:textId="2EA8FE26" w:rsidR="00636549" w:rsidRPr="00636549" w:rsidRDefault="00636549" w:rsidP="00636549">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5756D63C" w14:textId="0FCFB76D" w:rsidR="00636549" w:rsidRDefault="00636549" w:rsidP="00F038AE">
            <w:pPr>
              <w:tabs>
                <w:tab w:val="decimal" w:pos="1418"/>
                <w:tab w:val="right" w:pos="9180"/>
              </w:tabs>
              <w:rPr>
                <w:snapToGrid w:val="0"/>
                <w:color w:val="000000"/>
                <w:sz w:val="19"/>
                <w:szCs w:val="19"/>
              </w:rPr>
            </w:pPr>
            <w:r>
              <w:rPr>
                <w:snapToGrid w:val="0"/>
                <w:color w:val="000000"/>
                <w:sz w:val="19"/>
                <w:szCs w:val="19"/>
              </w:rPr>
              <w:tab/>
            </w:r>
            <w:r w:rsidR="00033723">
              <w:rPr>
                <w:snapToGrid w:val="0"/>
                <w:color w:val="000000"/>
                <w:sz w:val="19"/>
                <w:szCs w:val="19"/>
              </w:rPr>
              <w:t>190,191</w:t>
            </w:r>
          </w:p>
        </w:tc>
      </w:tr>
      <w:tr w:rsidR="00B158D9" w:rsidRPr="00487CAB" w14:paraId="7961240E" w14:textId="77777777" w:rsidTr="00F038AE">
        <w:tc>
          <w:tcPr>
            <w:tcW w:w="4410" w:type="dxa"/>
          </w:tcPr>
          <w:p w14:paraId="1CBC9290" w14:textId="731F2455"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w:t>
            </w:r>
            <w:r w:rsidR="001C0E17">
              <w:rPr>
                <w:snapToGrid w:val="0"/>
                <w:color w:val="000000"/>
                <w:sz w:val="19"/>
                <w:szCs w:val="19"/>
              </w:rPr>
              <w:t>2</w:t>
            </w:r>
          </w:p>
        </w:tc>
        <w:tc>
          <w:tcPr>
            <w:tcW w:w="1170" w:type="dxa"/>
            <w:tcBorders>
              <w:bottom w:val="single" w:sz="4" w:space="0" w:color="auto"/>
            </w:tcBorders>
          </w:tcPr>
          <w:p w14:paraId="094F5C6F" w14:textId="77777777"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499B1B1" w14:textId="77777777"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742A2F3"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2722157"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F75D102"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5E021BA" w14:textId="7B150C25"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(2,427,515)</w:t>
            </w:r>
          </w:p>
        </w:tc>
        <w:tc>
          <w:tcPr>
            <w:tcW w:w="1800" w:type="dxa"/>
            <w:tcBorders>
              <w:bottom w:val="single" w:sz="4" w:space="0" w:color="auto"/>
            </w:tcBorders>
          </w:tcPr>
          <w:p w14:paraId="427ABAE8" w14:textId="135D3A33"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(2,427,515)</w:t>
            </w:r>
          </w:p>
        </w:tc>
      </w:tr>
      <w:tr w:rsidR="00B158D9" w:rsidRPr="00487CAB" w14:paraId="748E5031" w14:textId="77777777" w:rsidTr="008258F1">
        <w:tc>
          <w:tcPr>
            <w:tcW w:w="4410" w:type="dxa"/>
          </w:tcPr>
          <w:p w14:paraId="1EB11BC2" w14:textId="1797EEEF"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w:t>
            </w:r>
            <w:r w:rsidR="001C0E17">
              <w:rPr>
                <w:snapToGrid w:val="0"/>
                <w:color w:val="000000"/>
                <w:sz w:val="19"/>
                <w:szCs w:val="19"/>
              </w:rPr>
              <w:t>2</w:t>
            </w:r>
          </w:p>
        </w:tc>
        <w:tc>
          <w:tcPr>
            <w:tcW w:w="1170" w:type="dxa"/>
            <w:tcBorders>
              <w:top w:val="single" w:sz="4" w:space="0" w:color="auto"/>
            </w:tcBorders>
          </w:tcPr>
          <w:p w14:paraId="0B829FE5" w14:textId="130D2300"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w:t>
            </w:r>
          </w:p>
        </w:tc>
        <w:tc>
          <w:tcPr>
            <w:tcW w:w="1170" w:type="dxa"/>
            <w:tcBorders>
              <w:top w:val="single" w:sz="4" w:space="0" w:color="auto"/>
            </w:tcBorders>
          </w:tcPr>
          <w:p w14:paraId="2D3CD36F" w14:textId="0D5F6BE2"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w:t>
            </w:r>
          </w:p>
        </w:tc>
        <w:tc>
          <w:tcPr>
            <w:tcW w:w="1080" w:type="dxa"/>
            <w:tcBorders>
              <w:top w:val="single" w:sz="4" w:space="0" w:color="auto"/>
            </w:tcBorders>
          </w:tcPr>
          <w:p w14:paraId="1188087E" w14:textId="4C787BD5"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9,449,025</w:t>
            </w:r>
          </w:p>
        </w:tc>
        <w:tc>
          <w:tcPr>
            <w:tcW w:w="1170" w:type="dxa"/>
            <w:tcBorders>
              <w:top w:val="single" w:sz="4" w:space="0" w:color="auto"/>
            </w:tcBorders>
          </w:tcPr>
          <w:p w14:paraId="2ABA81F9" w14:textId="20BA6378"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9,449</w:t>
            </w:r>
          </w:p>
        </w:tc>
        <w:tc>
          <w:tcPr>
            <w:tcW w:w="1440" w:type="dxa"/>
            <w:tcBorders>
              <w:top w:val="single" w:sz="4" w:space="0" w:color="auto"/>
            </w:tcBorders>
          </w:tcPr>
          <w:p w14:paraId="5018E9C6" w14:textId="2986A612"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78,147,616</w:t>
            </w:r>
          </w:p>
        </w:tc>
        <w:tc>
          <w:tcPr>
            <w:tcW w:w="1350" w:type="dxa"/>
            <w:tcBorders>
              <w:top w:val="single" w:sz="4" w:space="0" w:color="auto"/>
            </w:tcBorders>
          </w:tcPr>
          <w:p w14:paraId="66CD333C" w14:textId="2334EBAC"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(66,803,413)</w:t>
            </w:r>
          </w:p>
        </w:tc>
        <w:tc>
          <w:tcPr>
            <w:tcW w:w="1800" w:type="dxa"/>
            <w:tcBorders>
              <w:top w:val="single" w:sz="4" w:space="0" w:color="auto"/>
            </w:tcBorders>
          </w:tcPr>
          <w:p w14:paraId="69336A9F" w14:textId="4041E001"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11,353,652</w:t>
            </w:r>
          </w:p>
        </w:tc>
      </w:tr>
      <w:tr w:rsidR="008258F1" w:rsidRPr="00487CAB" w14:paraId="491CB948" w14:textId="77777777" w:rsidTr="00402BA5">
        <w:tc>
          <w:tcPr>
            <w:tcW w:w="4410" w:type="dxa"/>
          </w:tcPr>
          <w:p w14:paraId="3E0F2A18" w14:textId="49E0DA9F" w:rsidR="008258F1" w:rsidRPr="00487CAB" w:rsidRDefault="008258F1" w:rsidP="001B1FEA">
            <w:pPr>
              <w:tabs>
                <w:tab w:val="left" w:pos="144"/>
                <w:tab w:val="left" w:pos="324"/>
                <w:tab w:val="right" w:pos="9180"/>
              </w:tabs>
              <w:rPr>
                <w:snapToGrid w:val="0"/>
                <w:color w:val="000000"/>
                <w:sz w:val="19"/>
                <w:szCs w:val="19"/>
              </w:rPr>
            </w:pPr>
            <w:bookmarkStart w:id="11" w:name="_Hlk107303264"/>
            <w:r>
              <w:rPr>
                <w:snapToGrid w:val="0"/>
                <w:color w:val="000000"/>
                <w:sz w:val="19"/>
                <w:szCs w:val="19"/>
              </w:rPr>
              <w:tab/>
            </w:r>
            <w:r w:rsidR="00402BA5">
              <w:rPr>
                <w:snapToGrid w:val="0"/>
                <w:color w:val="000000"/>
                <w:sz w:val="19"/>
                <w:szCs w:val="19"/>
              </w:rPr>
              <w:t>Sale of common stock and warrants for cash</w:t>
            </w:r>
          </w:p>
        </w:tc>
        <w:tc>
          <w:tcPr>
            <w:tcW w:w="1170" w:type="dxa"/>
          </w:tcPr>
          <w:p w14:paraId="66CEA5DF" w14:textId="77777777" w:rsidR="008258F1" w:rsidRPr="00487CAB" w:rsidRDefault="008258F1"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0BE3CF9" w14:textId="77777777" w:rsidR="008258F1" w:rsidRPr="00487CAB" w:rsidRDefault="008258F1"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D35D195" w14:textId="3DFC06B3" w:rsidR="008258F1" w:rsidRPr="00487CAB"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1,050,000</w:t>
            </w:r>
          </w:p>
        </w:tc>
        <w:tc>
          <w:tcPr>
            <w:tcW w:w="1170" w:type="dxa"/>
          </w:tcPr>
          <w:p w14:paraId="54B612A6" w14:textId="1D4B46FA" w:rsidR="008258F1" w:rsidRPr="00487CAB"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1,050</w:t>
            </w:r>
          </w:p>
        </w:tc>
        <w:tc>
          <w:tcPr>
            <w:tcW w:w="1440" w:type="dxa"/>
          </w:tcPr>
          <w:p w14:paraId="67F65C1E" w14:textId="790AC816" w:rsidR="008258F1" w:rsidRPr="00487CAB"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18,</w:t>
            </w:r>
            <w:r w:rsidR="00B62EFB">
              <w:rPr>
                <w:snapToGrid w:val="0"/>
                <w:color w:val="000000"/>
                <w:sz w:val="19"/>
                <w:szCs w:val="19"/>
              </w:rPr>
              <w:t>4</w:t>
            </w:r>
            <w:r w:rsidR="005A175B">
              <w:rPr>
                <w:snapToGrid w:val="0"/>
                <w:color w:val="000000"/>
                <w:sz w:val="19"/>
                <w:szCs w:val="19"/>
              </w:rPr>
              <w:t>96,896</w:t>
            </w:r>
          </w:p>
        </w:tc>
        <w:tc>
          <w:tcPr>
            <w:tcW w:w="1350" w:type="dxa"/>
          </w:tcPr>
          <w:p w14:paraId="7138E7BA" w14:textId="77777777" w:rsidR="008258F1" w:rsidRPr="00487CAB" w:rsidRDefault="008258F1" w:rsidP="001B1FEA">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F1EBBF0" w14:textId="30C5B8DE" w:rsidR="008258F1" w:rsidRPr="00487CAB" w:rsidRDefault="008258F1" w:rsidP="001B1FEA">
            <w:pPr>
              <w:tabs>
                <w:tab w:val="decimal" w:pos="1418"/>
                <w:tab w:val="right" w:pos="9180"/>
              </w:tabs>
              <w:rPr>
                <w:snapToGrid w:val="0"/>
                <w:color w:val="000000"/>
                <w:sz w:val="19"/>
                <w:szCs w:val="19"/>
              </w:rPr>
            </w:pPr>
            <w:r>
              <w:rPr>
                <w:snapToGrid w:val="0"/>
                <w:color w:val="000000"/>
                <w:sz w:val="19"/>
                <w:szCs w:val="19"/>
              </w:rPr>
              <w:tab/>
            </w:r>
            <w:r w:rsidR="005A175B">
              <w:rPr>
                <w:snapToGrid w:val="0"/>
                <w:color w:val="000000"/>
                <w:sz w:val="19"/>
                <w:szCs w:val="19"/>
              </w:rPr>
              <w:t>18,497,946</w:t>
            </w:r>
          </w:p>
        </w:tc>
      </w:tr>
      <w:tr w:rsidR="00402BA5" w:rsidRPr="00487CAB" w14:paraId="766A6AEE" w14:textId="77777777" w:rsidTr="0040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451094E7" w14:textId="1EE8F79B" w:rsidR="00402BA5" w:rsidRPr="00487CAB" w:rsidRDefault="00402BA5" w:rsidP="00A87DC4">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282D3743" w14:textId="77777777" w:rsidR="00402BA5" w:rsidRPr="00487CAB" w:rsidRDefault="00402BA5" w:rsidP="00A87DC4">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69ADDAE8" w14:textId="77777777" w:rsidR="00402BA5" w:rsidRPr="00487CAB" w:rsidRDefault="00402BA5" w:rsidP="00A87DC4">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4DB3E0C1" w14:textId="11F44C4F"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5,671,214</w:t>
            </w:r>
          </w:p>
        </w:tc>
        <w:tc>
          <w:tcPr>
            <w:tcW w:w="1170" w:type="dxa"/>
            <w:tcBorders>
              <w:top w:val="nil"/>
              <w:left w:val="nil"/>
              <w:bottom w:val="nil"/>
              <w:right w:val="nil"/>
            </w:tcBorders>
          </w:tcPr>
          <w:p w14:paraId="08C22A3A" w14:textId="43E5E6B8"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5,671</w:t>
            </w:r>
          </w:p>
        </w:tc>
        <w:tc>
          <w:tcPr>
            <w:tcW w:w="1440" w:type="dxa"/>
            <w:tcBorders>
              <w:top w:val="nil"/>
              <w:left w:val="nil"/>
              <w:bottom w:val="nil"/>
              <w:right w:val="nil"/>
            </w:tcBorders>
          </w:tcPr>
          <w:p w14:paraId="1BDAABF2" w14:textId="32DB02B4"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(5,104)</w:t>
            </w:r>
          </w:p>
        </w:tc>
        <w:tc>
          <w:tcPr>
            <w:tcW w:w="1350" w:type="dxa"/>
            <w:tcBorders>
              <w:top w:val="nil"/>
              <w:left w:val="nil"/>
              <w:bottom w:val="nil"/>
              <w:right w:val="nil"/>
            </w:tcBorders>
          </w:tcPr>
          <w:p w14:paraId="2F031139" w14:textId="77777777" w:rsidR="00402BA5" w:rsidRPr="00487CAB" w:rsidRDefault="00402BA5" w:rsidP="00A87DC4">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23B874ED" w14:textId="1B120765" w:rsidR="00402BA5" w:rsidRPr="00487CAB" w:rsidRDefault="00402BA5" w:rsidP="00A87DC4">
            <w:pPr>
              <w:tabs>
                <w:tab w:val="decimal" w:pos="1418"/>
                <w:tab w:val="right" w:pos="9180"/>
              </w:tabs>
              <w:rPr>
                <w:snapToGrid w:val="0"/>
                <w:color w:val="000000"/>
                <w:sz w:val="19"/>
                <w:szCs w:val="19"/>
              </w:rPr>
            </w:pPr>
            <w:r>
              <w:rPr>
                <w:snapToGrid w:val="0"/>
                <w:color w:val="000000"/>
                <w:sz w:val="19"/>
                <w:szCs w:val="19"/>
              </w:rPr>
              <w:tab/>
            </w:r>
            <w:r w:rsidR="005A175B">
              <w:rPr>
                <w:snapToGrid w:val="0"/>
                <w:color w:val="000000"/>
                <w:sz w:val="19"/>
                <w:szCs w:val="19"/>
              </w:rPr>
              <w:t>567</w:t>
            </w:r>
          </w:p>
        </w:tc>
      </w:tr>
      <w:tr w:rsidR="00402BA5" w:rsidRPr="00487CAB" w14:paraId="53D2C625" w14:textId="77777777" w:rsidTr="0040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65933740" w14:textId="77777777" w:rsidR="00402BA5" w:rsidRPr="00487CAB" w:rsidRDefault="00402BA5" w:rsidP="00A87DC4">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5BBB7CCC" w14:textId="77777777" w:rsidR="00402BA5" w:rsidRPr="00487CAB" w:rsidRDefault="00402BA5" w:rsidP="00A87DC4">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42AF8330" w14:textId="77777777" w:rsidR="00402BA5" w:rsidRPr="00487CAB" w:rsidRDefault="00402BA5" w:rsidP="00A87DC4">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6248A38C" w14:textId="010A305C"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68,500</w:t>
            </w:r>
          </w:p>
        </w:tc>
        <w:tc>
          <w:tcPr>
            <w:tcW w:w="1170" w:type="dxa"/>
            <w:tcBorders>
              <w:top w:val="nil"/>
              <w:left w:val="nil"/>
              <w:bottom w:val="nil"/>
              <w:right w:val="nil"/>
            </w:tcBorders>
          </w:tcPr>
          <w:p w14:paraId="17B72D45" w14:textId="09389EA3"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69</w:t>
            </w:r>
          </w:p>
        </w:tc>
        <w:tc>
          <w:tcPr>
            <w:tcW w:w="1440" w:type="dxa"/>
            <w:tcBorders>
              <w:top w:val="nil"/>
              <w:left w:val="nil"/>
              <w:bottom w:val="nil"/>
              <w:right w:val="nil"/>
            </w:tcBorders>
          </w:tcPr>
          <w:p w14:paraId="695069C2" w14:textId="42998BED"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71,931</w:t>
            </w:r>
          </w:p>
        </w:tc>
        <w:tc>
          <w:tcPr>
            <w:tcW w:w="1350" w:type="dxa"/>
            <w:tcBorders>
              <w:top w:val="nil"/>
              <w:left w:val="nil"/>
              <w:bottom w:val="nil"/>
              <w:right w:val="nil"/>
            </w:tcBorders>
          </w:tcPr>
          <w:p w14:paraId="4CF6326F" w14:textId="77777777" w:rsidR="00402BA5" w:rsidRPr="00487CAB" w:rsidRDefault="00402BA5" w:rsidP="00A87DC4">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1BF9A8F0" w14:textId="29B717EE" w:rsidR="00402BA5" w:rsidRPr="00487CAB" w:rsidRDefault="00402BA5" w:rsidP="00A87DC4">
            <w:pPr>
              <w:tabs>
                <w:tab w:val="decimal" w:pos="1418"/>
                <w:tab w:val="right" w:pos="9180"/>
              </w:tabs>
              <w:rPr>
                <w:snapToGrid w:val="0"/>
                <w:color w:val="000000"/>
                <w:sz w:val="19"/>
                <w:szCs w:val="19"/>
              </w:rPr>
            </w:pPr>
            <w:r>
              <w:rPr>
                <w:snapToGrid w:val="0"/>
                <w:color w:val="000000"/>
                <w:sz w:val="19"/>
                <w:szCs w:val="19"/>
              </w:rPr>
              <w:tab/>
            </w:r>
            <w:r w:rsidR="005A175B">
              <w:rPr>
                <w:snapToGrid w:val="0"/>
                <w:color w:val="000000"/>
                <w:sz w:val="19"/>
                <w:szCs w:val="19"/>
              </w:rPr>
              <w:t>72,000</w:t>
            </w:r>
          </w:p>
        </w:tc>
      </w:tr>
      <w:bookmarkEnd w:id="11"/>
      <w:tr w:rsidR="008258F1" w:rsidRPr="00487CAB" w14:paraId="27881D9D" w14:textId="77777777" w:rsidTr="00402BA5">
        <w:tc>
          <w:tcPr>
            <w:tcW w:w="4410" w:type="dxa"/>
          </w:tcPr>
          <w:p w14:paraId="6DFCE9DA" w14:textId="77777777" w:rsidR="008258F1" w:rsidRDefault="008258F1" w:rsidP="001B1FEA">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1AA44336" w14:textId="77777777" w:rsidR="008258F1" w:rsidRDefault="008258F1"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AB34190" w14:textId="77777777" w:rsidR="008258F1" w:rsidRDefault="008258F1"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9E70E13" w14:textId="77777777" w:rsidR="008258F1"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013C3CB" w14:textId="77777777" w:rsidR="008258F1"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414B3B3B" w14:textId="3E09A655" w:rsidR="008258F1"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190,191</w:t>
            </w:r>
          </w:p>
        </w:tc>
        <w:tc>
          <w:tcPr>
            <w:tcW w:w="1350" w:type="dxa"/>
          </w:tcPr>
          <w:p w14:paraId="7E2C2344" w14:textId="77777777" w:rsidR="008258F1" w:rsidRPr="00636549" w:rsidRDefault="008258F1" w:rsidP="008258F1">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7E51E9ED" w14:textId="6CB7B811" w:rsidR="008258F1" w:rsidRDefault="008258F1" w:rsidP="001B1FEA">
            <w:pPr>
              <w:tabs>
                <w:tab w:val="decimal" w:pos="1418"/>
                <w:tab w:val="right" w:pos="9180"/>
              </w:tabs>
              <w:rPr>
                <w:snapToGrid w:val="0"/>
                <w:color w:val="000000"/>
                <w:sz w:val="19"/>
                <w:szCs w:val="19"/>
              </w:rPr>
            </w:pPr>
            <w:r>
              <w:rPr>
                <w:snapToGrid w:val="0"/>
                <w:color w:val="000000"/>
                <w:sz w:val="19"/>
                <w:szCs w:val="19"/>
              </w:rPr>
              <w:tab/>
            </w:r>
            <w:r w:rsidR="005A175B">
              <w:rPr>
                <w:snapToGrid w:val="0"/>
                <w:color w:val="000000"/>
                <w:sz w:val="19"/>
                <w:szCs w:val="19"/>
              </w:rPr>
              <w:t>190,191</w:t>
            </w:r>
          </w:p>
        </w:tc>
      </w:tr>
      <w:tr w:rsidR="008258F1" w:rsidRPr="00487CAB" w14:paraId="542856B0" w14:textId="77777777" w:rsidTr="001B1FEA">
        <w:tc>
          <w:tcPr>
            <w:tcW w:w="4410" w:type="dxa"/>
          </w:tcPr>
          <w:p w14:paraId="2BE4D4E5" w14:textId="12162EE6" w:rsidR="008258F1" w:rsidRPr="00487CAB" w:rsidRDefault="008258F1" w:rsidP="001B1FEA">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04C82C43" w14:textId="77777777" w:rsidR="008258F1" w:rsidRPr="00487CAB" w:rsidRDefault="008258F1" w:rsidP="001B1FEA">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E56BC5E" w14:textId="77777777" w:rsidR="008258F1" w:rsidRPr="00487CAB" w:rsidRDefault="008258F1" w:rsidP="001B1FEA">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30851434" w14:textId="77777777"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7C64CF40" w14:textId="77777777"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426FCB94" w14:textId="77777777"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5E1B405" w14:textId="1CA1C26F" w:rsidR="008258F1" w:rsidRPr="00487CAB" w:rsidRDefault="008258F1"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(2,</w:t>
            </w:r>
            <w:r w:rsidR="00E451B0">
              <w:rPr>
                <w:snapToGrid w:val="0"/>
                <w:color w:val="000000"/>
                <w:sz w:val="19"/>
                <w:szCs w:val="19"/>
              </w:rPr>
              <w:t>241,699</w:t>
            </w:r>
            <w:r w:rsidR="005A175B">
              <w:rPr>
                <w:snapToGrid w:val="0"/>
                <w:color w:val="000000"/>
                <w:sz w:val="19"/>
                <w:szCs w:val="19"/>
              </w:rPr>
              <w:t>)</w:t>
            </w:r>
          </w:p>
        </w:tc>
        <w:tc>
          <w:tcPr>
            <w:tcW w:w="1800" w:type="dxa"/>
            <w:tcBorders>
              <w:bottom w:val="single" w:sz="4" w:space="0" w:color="auto"/>
            </w:tcBorders>
          </w:tcPr>
          <w:p w14:paraId="4EC41A0D" w14:textId="1588C108" w:rsidR="008258F1" w:rsidRPr="00487CAB" w:rsidRDefault="008258F1" w:rsidP="001B1FEA">
            <w:pPr>
              <w:tabs>
                <w:tab w:val="decimal" w:pos="1418"/>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(2,</w:t>
            </w:r>
            <w:r w:rsidR="00E451B0">
              <w:rPr>
                <w:snapToGrid w:val="0"/>
                <w:color w:val="000000"/>
                <w:sz w:val="19"/>
                <w:szCs w:val="19"/>
              </w:rPr>
              <w:t>241,699</w:t>
            </w:r>
            <w:r w:rsidR="005A175B">
              <w:rPr>
                <w:snapToGrid w:val="0"/>
                <w:color w:val="000000"/>
                <w:sz w:val="19"/>
                <w:szCs w:val="19"/>
              </w:rPr>
              <w:t>)</w:t>
            </w:r>
          </w:p>
        </w:tc>
      </w:tr>
      <w:tr w:rsidR="008258F1" w:rsidRPr="00487CAB" w14:paraId="5FD7FC1C" w14:textId="77777777" w:rsidTr="001B1FEA">
        <w:tc>
          <w:tcPr>
            <w:tcW w:w="4410" w:type="dxa"/>
          </w:tcPr>
          <w:p w14:paraId="2A928258" w14:textId="3E883D7E" w:rsidR="008258F1" w:rsidRPr="00487CAB" w:rsidRDefault="008258F1" w:rsidP="001B1FEA">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bottom w:val="double" w:sz="4" w:space="0" w:color="auto"/>
            </w:tcBorders>
          </w:tcPr>
          <w:p w14:paraId="519F2CBB" w14:textId="77777777" w:rsidR="008258F1" w:rsidRPr="00487CAB" w:rsidRDefault="008258F1"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6283D5B4" w14:textId="77777777" w:rsidR="008258F1" w:rsidRPr="00487CAB" w:rsidRDefault="008258F1" w:rsidP="001B1FEA">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76AA3713" w14:textId="4A90DE07"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16,238,739</w:t>
            </w:r>
          </w:p>
        </w:tc>
        <w:tc>
          <w:tcPr>
            <w:tcW w:w="1170" w:type="dxa"/>
            <w:tcBorders>
              <w:top w:val="single" w:sz="4" w:space="0" w:color="auto"/>
              <w:bottom w:val="double" w:sz="4" w:space="0" w:color="auto"/>
            </w:tcBorders>
          </w:tcPr>
          <w:p w14:paraId="7B0FC830" w14:textId="44AA9D62" w:rsidR="008258F1" w:rsidRPr="00487CAB"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5A175B">
              <w:rPr>
                <w:snapToGrid w:val="0"/>
                <w:color w:val="000000"/>
                <w:sz w:val="19"/>
                <w:szCs w:val="19"/>
              </w:rPr>
              <w:t>16,239</w:t>
            </w:r>
          </w:p>
        </w:tc>
        <w:tc>
          <w:tcPr>
            <w:tcW w:w="1440" w:type="dxa"/>
            <w:tcBorders>
              <w:top w:val="single" w:sz="4" w:space="0" w:color="auto"/>
              <w:bottom w:val="double" w:sz="4" w:space="0" w:color="auto"/>
            </w:tcBorders>
          </w:tcPr>
          <w:p w14:paraId="277FD60C" w14:textId="40FBAEB0" w:rsidR="008258F1" w:rsidRPr="00487CAB"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5A175B">
              <w:rPr>
                <w:snapToGrid w:val="0"/>
                <w:color w:val="000000"/>
                <w:sz w:val="19"/>
                <w:szCs w:val="19"/>
              </w:rPr>
              <w:t>96,901,530</w:t>
            </w:r>
          </w:p>
        </w:tc>
        <w:tc>
          <w:tcPr>
            <w:tcW w:w="1350" w:type="dxa"/>
            <w:tcBorders>
              <w:top w:val="single" w:sz="4" w:space="0" w:color="auto"/>
              <w:bottom w:val="double" w:sz="4" w:space="0" w:color="auto"/>
            </w:tcBorders>
          </w:tcPr>
          <w:p w14:paraId="6E434088" w14:textId="5A78650B" w:rsidR="008258F1" w:rsidRPr="00487CAB" w:rsidRDefault="008258F1" w:rsidP="001B1FEA">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5A175B">
              <w:rPr>
                <w:snapToGrid w:val="0"/>
                <w:color w:val="000000"/>
                <w:sz w:val="19"/>
                <w:szCs w:val="19"/>
              </w:rPr>
              <w:t>(</w:t>
            </w:r>
            <w:r w:rsidR="00E602A0">
              <w:rPr>
                <w:snapToGrid w:val="0"/>
                <w:color w:val="000000"/>
                <w:sz w:val="19"/>
                <w:szCs w:val="19"/>
              </w:rPr>
              <w:t>6</w:t>
            </w:r>
            <w:r w:rsidR="00E451B0">
              <w:rPr>
                <w:snapToGrid w:val="0"/>
                <w:color w:val="000000"/>
                <w:sz w:val="19"/>
                <w:szCs w:val="19"/>
              </w:rPr>
              <w:t>9,045,112</w:t>
            </w:r>
            <w:r w:rsidR="005A175B">
              <w:rPr>
                <w:snapToGrid w:val="0"/>
                <w:color w:val="000000"/>
                <w:sz w:val="19"/>
                <w:szCs w:val="19"/>
              </w:rPr>
              <w:t>)</w:t>
            </w:r>
          </w:p>
        </w:tc>
        <w:tc>
          <w:tcPr>
            <w:tcW w:w="1800" w:type="dxa"/>
            <w:tcBorders>
              <w:top w:val="single" w:sz="4" w:space="0" w:color="auto"/>
              <w:bottom w:val="double" w:sz="4" w:space="0" w:color="auto"/>
            </w:tcBorders>
          </w:tcPr>
          <w:p w14:paraId="250F87C3" w14:textId="19F0A729" w:rsidR="008258F1" w:rsidRPr="00487CAB" w:rsidRDefault="008258F1" w:rsidP="001B1FEA">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E602A0">
              <w:rPr>
                <w:snapToGrid w:val="0"/>
                <w:color w:val="000000"/>
                <w:sz w:val="19"/>
                <w:szCs w:val="19"/>
              </w:rPr>
              <w:t>2</w:t>
            </w:r>
            <w:r w:rsidR="00E451B0">
              <w:rPr>
                <w:snapToGrid w:val="0"/>
                <w:color w:val="000000"/>
                <w:sz w:val="19"/>
                <w:szCs w:val="19"/>
              </w:rPr>
              <w:t>7,872,657</w:t>
            </w:r>
          </w:p>
        </w:tc>
      </w:tr>
      <w:tr w:rsidR="00B158D9" w:rsidRPr="00487CAB" w14:paraId="46792299" w14:textId="77777777" w:rsidTr="00F038AE">
        <w:tc>
          <w:tcPr>
            <w:tcW w:w="4410" w:type="dxa"/>
          </w:tcPr>
          <w:p w14:paraId="12A7605D"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Pr>
          <w:p w14:paraId="3A288D4D" w14:textId="77777777" w:rsidR="00B158D9" w:rsidRPr="00487CAB" w:rsidRDefault="00B158D9" w:rsidP="00F038AE">
            <w:pPr>
              <w:tabs>
                <w:tab w:val="decimal" w:pos="917"/>
                <w:tab w:val="left" w:pos="2340"/>
                <w:tab w:val="right" w:pos="9180"/>
              </w:tabs>
              <w:rPr>
                <w:snapToGrid w:val="0"/>
                <w:color w:val="000000"/>
                <w:sz w:val="19"/>
                <w:szCs w:val="19"/>
              </w:rPr>
            </w:pPr>
          </w:p>
        </w:tc>
        <w:tc>
          <w:tcPr>
            <w:tcW w:w="1170" w:type="dxa"/>
          </w:tcPr>
          <w:p w14:paraId="40C1A1AF" w14:textId="77777777" w:rsidR="00B158D9" w:rsidRPr="00487CAB" w:rsidRDefault="00B158D9" w:rsidP="00F038AE">
            <w:pPr>
              <w:tabs>
                <w:tab w:val="decimal" w:pos="798"/>
                <w:tab w:val="left" w:pos="2340"/>
                <w:tab w:val="right" w:pos="9180"/>
              </w:tabs>
              <w:rPr>
                <w:snapToGrid w:val="0"/>
                <w:color w:val="000000"/>
                <w:sz w:val="19"/>
                <w:szCs w:val="19"/>
              </w:rPr>
            </w:pPr>
          </w:p>
        </w:tc>
        <w:tc>
          <w:tcPr>
            <w:tcW w:w="1080" w:type="dxa"/>
          </w:tcPr>
          <w:p w14:paraId="5F6480D4"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170" w:type="dxa"/>
          </w:tcPr>
          <w:p w14:paraId="2DAF1F15"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440" w:type="dxa"/>
          </w:tcPr>
          <w:p w14:paraId="324828D8"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350" w:type="dxa"/>
          </w:tcPr>
          <w:p w14:paraId="1553B37F" w14:textId="77777777" w:rsidR="00B158D9" w:rsidRPr="00487CAB" w:rsidRDefault="00B158D9" w:rsidP="00F038AE">
            <w:pPr>
              <w:tabs>
                <w:tab w:val="decimal" w:pos="1150"/>
                <w:tab w:val="left" w:pos="2340"/>
                <w:tab w:val="right" w:pos="9180"/>
              </w:tabs>
              <w:rPr>
                <w:snapToGrid w:val="0"/>
                <w:color w:val="000000"/>
                <w:sz w:val="19"/>
                <w:szCs w:val="19"/>
              </w:rPr>
            </w:pPr>
          </w:p>
        </w:tc>
        <w:tc>
          <w:tcPr>
            <w:tcW w:w="1800" w:type="dxa"/>
          </w:tcPr>
          <w:p w14:paraId="4719DE7C" w14:textId="77777777" w:rsidR="00B158D9" w:rsidRPr="00487CAB" w:rsidRDefault="00B158D9" w:rsidP="00F038AE">
            <w:pPr>
              <w:tabs>
                <w:tab w:val="decimal" w:pos="1418"/>
                <w:tab w:val="right" w:pos="9180"/>
              </w:tabs>
              <w:rPr>
                <w:snapToGrid w:val="0"/>
                <w:color w:val="000000"/>
                <w:sz w:val="19"/>
                <w:szCs w:val="19"/>
              </w:rPr>
            </w:pPr>
          </w:p>
        </w:tc>
      </w:tr>
      <w:bookmarkEnd w:id="9"/>
    </w:tbl>
    <w:p w14:paraId="06FCDFDD" w14:textId="2E24C973" w:rsidR="004F479E" w:rsidRDefault="004F479E" w:rsidP="00487CAB">
      <w:pPr>
        <w:tabs>
          <w:tab w:val="decimal" w:pos="1152"/>
          <w:tab w:val="left" w:pos="2340"/>
          <w:tab w:val="right" w:pos="9180"/>
        </w:tabs>
        <w:rPr>
          <w:snapToGrid w:val="0"/>
          <w:color w:val="000000"/>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34086E" w:rsidRPr="00487CAB" w14:paraId="7EDA1FC4" w14:textId="77777777" w:rsidTr="001B1FEA">
        <w:tc>
          <w:tcPr>
            <w:tcW w:w="4410" w:type="dxa"/>
          </w:tcPr>
          <w:p w14:paraId="2E4EBCF1" w14:textId="77777777" w:rsidR="0034086E" w:rsidRPr="00487CAB" w:rsidRDefault="0034086E" w:rsidP="001B1FEA">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1DB333E2" w14:textId="77777777" w:rsidR="0034086E" w:rsidRPr="00487CAB" w:rsidRDefault="0034086E" w:rsidP="001B1FEA">
            <w:pPr>
              <w:tabs>
                <w:tab w:val="right" w:pos="9180"/>
              </w:tabs>
              <w:jc w:val="center"/>
              <w:rPr>
                <w:snapToGrid w:val="0"/>
                <w:color w:val="000000"/>
                <w:sz w:val="19"/>
                <w:szCs w:val="19"/>
              </w:rPr>
            </w:pPr>
            <w:r>
              <w:rPr>
                <w:snapToGrid w:val="0"/>
                <w:color w:val="000000"/>
                <w:sz w:val="19"/>
                <w:szCs w:val="19"/>
              </w:rPr>
              <w:t>Three-Month and Six-Month Periods Ended June 30, 2021</w:t>
            </w:r>
          </w:p>
        </w:tc>
      </w:tr>
      <w:tr w:rsidR="0034086E" w:rsidRPr="00487CAB" w14:paraId="4A67A646" w14:textId="77777777" w:rsidTr="001B1FEA">
        <w:tc>
          <w:tcPr>
            <w:tcW w:w="4410" w:type="dxa"/>
          </w:tcPr>
          <w:p w14:paraId="1101AB06" w14:textId="77777777" w:rsidR="0034086E" w:rsidRPr="00487CAB" w:rsidRDefault="0034086E" w:rsidP="001B1FEA">
            <w:pPr>
              <w:tabs>
                <w:tab w:val="left" w:pos="144"/>
                <w:tab w:val="left" w:pos="324"/>
                <w:tab w:val="right" w:pos="9180"/>
              </w:tabs>
              <w:rPr>
                <w:snapToGrid w:val="0"/>
                <w:color w:val="000000"/>
                <w:sz w:val="19"/>
                <w:szCs w:val="19"/>
              </w:rPr>
            </w:pPr>
          </w:p>
        </w:tc>
        <w:tc>
          <w:tcPr>
            <w:tcW w:w="2340" w:type="dxa"/>
            <w:gridSpan w:val="2"/>
          </w:tcPr>
          <w:p w14:paraId="080AD2BC" w14:textId="77777777" w:rsidR="0034086E" w:rsidRPr="00487CAB" w:rsidRDefault="0034086E" w:rsidP="001B1FEA">
            <w:pPr>
              <w:tabs>
                <w:tab w:val="left" w:pos="2340"/>
                <w:tab w:val="right" w:pos="9180"/>
              </w:tabs>
              <w:jc w:val="center"/>
              <w:rPr>
                <w:snapToGrid w:val="0"/>
                <w:color w:val="000000"/>
                <w:sz w:val="19"/>
                <w:szCs w:val="19"/>
              </w:rPr>
            </w:pPr>
          </w:p>
        </w:tc>
        <w:tc>
          <w:tcPr>
            <w:tcW w:w="1080" w:type="dxa"/>
          </w:tcPr>
          <w:p w14:paraId="224329B3" w14:textId="77777777" w:rsidR="0034086E" w:rsidRPr="00487CAB" w:rsidRDefault="0034086E" w:rsidP="001B1FEA">
            <w:pPr>
              <w:tabs>
                <w:tab w:val="decimal" w:pos="1148"/>
                <w:tab w:val="right" w:pos="9180"/>
              </w:tabs>
              <w:jc w:val="center"/>
              <w:rPr>
                <w:snapToGrid w:val="0"/>
                <w:color w:val="000000"/>
                <w:sz w:val="19"/>
                <w:szCs w:val="19"/>
              </w:rPr>
            </w:pPr>
          </w:p>
        </w:tc>
        <w:tc>
          <w:tcPr>
            <w:tcW w:w="1170" w:type="dxa"/>
          </w:tcPr>
          <w:p w14:paraId="05A382BC" w14:textId="77777777" w:rsidR="0034086E" w:rsidRPr="00487CAB" w:rsidRDefault="0034086E" w:rsidP="001B1FEA">
            <w:pPr>
              <w:tabs>
                <w:tab w:val="decimal" w:pos="1148"/>
                <w:tab w:val="right" w:pos="9180"/>
              </w:tabs>
              <w:jc w:val="center"/>
              <w:rPr>
                <w:snapToGrid w:val="0"/>
                <w:color w:val="000000"/>
                <w:sz w:val="19"/>
                <w:szCs w:val="19"/>
              </w:rPr>
            </w:pPr>
          </w:p>
        </w:tc>
        <w:tc>
          <w:tcPr>
            <w:tcW w:w="1440" w:type="dxa"/>
          </w:tcPr>
          <w:p w14:paraId="6CDB1D71" w14:textId="77777777" w:rsidR="0034086E" w:rsidRPr="00487CAB" w:rsidRDefault="0034086E" w:rsidP="001B1FEA">
            <w:pPr>
              <w:tabs>
                <w:tab w:val="decimal" w:pos="1148"/>
                <w:tab w:val="right" w:pos="9180"/>
              </w:tabs>
              <w:jc w:val="center"/>
              <w:rPr>
                <w:snapToGrid w:val="0"/>
                <w:color w:val="000000"/>
                <w:sz w:val="19"/>
                <w:szCs w:val="19"/>
              </w:rPr>
            </w:pPr>
          </w:p>
        </w:tc>
        <w:tc>
          <w:tcPr>
            <w:tcW w:w="1350" w:type="dxa"/>
          </w:tcPr>
          <w:p w14:paraId="2D056C44" w14:textId="77777777" w:rsidR="0034086E" w:rsidRPr="00487CAB" w:rsidRDefault="0034086E" w:rsidP="001B1FEA">
            <w:pPr>
              <w:tabs>
                <w:tab w:val="right" w:pos="9180"/>
              </w:tabs>
              <w:jc w:val="center"/>
              <w:rPr>
                <w:snapToGrid w:val="0"/>
                <w:color w:val="000000"/>
                <w:sz w:val="19"/>
                <w:szCs w:val="19"/>
              </w:rPr>
            </w:pPr>
          </w:p>
        </w:tc>
        <w:tc>
          <w:tcPr>
            <w:tcW w:w="1800" w:type="dxa"/>
          </w:tcPr>
          <w:p w14:paraId="44173C0D" w14:textId="77777777" w:rsidR="0034086E" w:rsidRPr="00487CAB" w:rsidRDefault="0034086E" w:rsidP="001B1FEA">
            <w:pPr>
              <w:tabs>
                <w:tab w:val="right" w:pos="9180"/>
              </w:tabs>
              <w:jc w:val="center"/>
              <w:rPr>
                <w:snapToGrid w:val="0"/>
                <w:color w:val="000000"/>
                <w:sz w:val="19"/>
                <w:szCs w:val="19"/>
              </w:rPr>
            </w:pPr>
            <w:r>
              <w:rPr>
                <w:snapToGrid w:val="0"/>
                <w:color w:val="000000"/>
                <w:sz w:val="19"/>
                <w:szCs w:val="19"/>
              </w:rPr>
              <w:t>Total</w:t>
            </w:r>
          </w:p>
        </w:tc>
      </w:tr>
      <w:tr w:rsidR="0034086E" w:rsidRPr="00487CAB" w14:paraId="6CB8BE25" w14:textId="77777777" w:rsidTr="001B1FEA">
        <w:tc>
          <w:tcPr>
            <w:tcW w:w="4410" w:type="dxa"/>
          </w:tcPr>
          <w:p w14:paraId="0562A652" w14:textId="77777777" w:rsidR="0034086E" w:rsidRPr="00487CAB" w:rsidRDefault="0034086E" w:rsidP="001B1FEA">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349357EE"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13A10B86"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443C0CA"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5647C632" w14:textId="77777777" w:rsidR="0034086E" w:rsidRPr="00487CAB" w:rsidRDefault="0034086E" w:rsidP="001B1FEA">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1A8B4A94"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34086E" w:rsidRPr="00487CAB" w14:paraId="166FED83" w14:textId="77777777" w:rsidTr="001B1FEA">
        <w:tc>
          <w:tcPr>
            <w:tcW w:w="4410" w:type="dxa"/>
          </w:tcPr>
          <w:p w14:paraId="06637BFE" w14:textId="77777777" w:rsidR="0034086E" w:rsidRPr="00487CAB" w:rsidRDefault="0034086E" w:rsidP="001B1FEA">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31987E24"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22BEDC4"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2A4D4502"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15D182B"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B751D8A"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76FAEA9B" w14:textId="77777777" w:rsidR="0034086E" w:rsidRPr="00487CAB" w:rsidRDefault="0034086E" w:rsidP="001B1FEA">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13073459"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34086E" w:rsidRPr="00487CAB" w14:paraId="32AE28D9" w14:textId="77777777" w:rsidTr="001B1FEA">
        <w:tc>
          <w:tcPr>
            <w:tcW w:w="4410" w:type="dxa"/>
          </w:tcPr>
          <w:p w14:paraId="5EF77063"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20</w:t>
            </w:r>
          </w:p>
        </w:tc>
        <w:tc>
          <w:tcPr>
            <w:tcW w:w="1170" w:type="dxa"/>
          </w:tcPr>
          <w:p w14:paraId="559F6FD6"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609257D5"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Pr>
          <w:p w14:paraId="69406037"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3,834,095</w:t>
            </w:r>
          </w:p>
        </w:tc>
        <w:tc>
          <w:tcPr>
            <w:tcW w:w="1170" w:type="dxa"/>
          </w:tcPr>
          <w:p w14:paraId="65B81603"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3,834</w:t>
            </w:r>
          </w:p>
        </w:tc>
        <w:tc>
          <w:tcPr>
            <w:tcW w:w="1440" w:type="dxa"/>
          </w:tcPr>
          <w:p w14:paraId="623170D7"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55,294,504</w:t>
            </w:r>
          </w:p>
        </w:tc>
        <w:tc>
          <w:tcPr>
            <w:tcW w:w="1350" w:type="dxa"/>
          </w:tcPr>
          <w:p w14:paraId="1DC2DCB2"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45,805,581</w:t>
            </w:r>
            <w:r w:rsidRPr="00487CAB">
              <w:rPr>
                <w:snapToGrid w:val="0"/>
                <w:color w:val="000000"/>
                <w:sz w:val="19"/>
                <w:szCs w:val="19"/>
              </w:rPr>
              <w:t>)</w:t>
            </w:r>
          </w:p>
        </w:tc>
        <w:tc>
          <w:tcPr>
            <w:tcW w:w="1800" w:type="dxa"/>
          </w:tcPr>
          <w:p w14:paraId="5799646A"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9,568,852</w:t>
            </w:r>
          </w:p>
        </w:tc>
      </w:tr>
      <w:tr w:rsidR="0034086E" w:rsidRPr="00487CAB" w14:paraId="248C9A80" w14:textId="77777777" w:rsidTr="001B1FEA">
        <w:tc>
          <w:tcPr>
            <w:tcW w:w="4410" w:type="dxa"/>
          </w:tcPr>
          <w:p w14:paraId="5E61EDB6" w14:textId="77777777" w:rsidR="0034086E" w:rsidRPr="00487CAB" w:rsidRDefault="0034086E" w:rsidP="001B1FEA">
            <w:pPr>
              <w:tabs>
                <w:tab w:val="left" w:pos="144"/>
                <w:tab w:val="left" w:pos="324"/>
                <w:tab w:val="right" w:pos="9180"/>
              </w:tabs>
              <w:rPr>
                <w:snapToGrid w:val="0"/>
                <w:color w:val="000000"/>
                <w:sz w:val="19"/>
                <w:szCs w:val="19"/>
              </w:rPr>
            </w:pPr>
            <w:bookmarkStart w:id="12" w:name="_Hlk75512229"/>
            <w:r w:rsidRPr="00487CAB">
              <w:rPr>
                <w:snapToGrid w:val="0"/>
                <w:color w:val="000000"/>
                <w:sz w:val="19"/>
                <w:szCs w:val="19"/>
              </w:rPr>
              <w:tab/>
              <w:t xml:space="preserve">Sale of </w:t>
            </w:r>
            <w:r>
              <w:rPr>
                <w:snapToGrid w:val="0"/>
                <w:color w:val="000000"/>
                <w:sz w:val="19"/>
                <w:szCs w:val="19"/>
              </w:rPr>
              <w:t>common stock for cash</w:t>
            </w:r>
          </w:p>
        </w:tc>
        <w:tc>
          <w:tcPr>
            <w:tcW w:w="1170" w:type="dxa"/>
          </w:tcPr>
          <w:p w14:paraId="6DE959FF"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2C2E87A5"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10169019"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1,644,000</w:t>
            </w:r>
          </w:p>
        </w:tc>
        <w:tc>
          <w:tcPr>
            <w:tcW w:w="1170" w:type="dxa"/>
          </w:tcPr>
          <w:p w14:paraId="4CA2C9AD"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w:t>
            </w:r>
          </w:p>
        </w:tc>
        <w:tc>
          <w:tcPr>
            <w:tcW w:w="1440" w:type="dxa"/>
          </w:tcPr>
          <w:p w14:paraId="1C1FCD56"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9,407,276</w:t>
            </w:r>
          </w:p>
        </w:tc>
        <w:tc>
          <w:tcPr>
            <w:tcW w:w="1350" w:type="dxa"/>
          </w:tcPr>
          <w:p w14:paraId="0B152DC5"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468983A8"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9,408,920</w:t>
            </w:r>
          </w:p>
        </w:tc>
      </w:tr>
      <w:tr w:rsidR="0034086E" w:rsidRPr="00487CAB" w14:paraId="11023160" w14:textId="77777777" w:rsidTr="001B1FEA">
        <w:tc>
          <w:tcPr>
            <w:tcW w:w="4410" w:type="dxa"/>
          </w:tcPr>
          <w:p w14:paraId="410FEB81" w14:textId="77777777" w:rsidR="0034086E" w:rsidRPr="008D0F89"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upon warrant exercise</w:t>
            </w:r>
          </w:p>
        </w:tc>
        <w:tc>
          <w:tcPr>
            <w:tcW w:w="1170" w:type="dxa"/>
          </w:tcPr>
          <w:p w14:paraId="1ACA86E3" w14:textId="77777777" w:rsidR="0034086E" w:rsidRPr="008D0F89" w:rsidRDefault="0034086E" w:rsidP="001B1FEA">
            <w:pPr>
              <w:tabs>
                <w:tab w:val="decimal" w:pos="917"/>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170" w:type="dxa"/>
          </w:tcPr>
          <w:p w14:paraId="66A56FD4" w14:textId="77777777" w:rsidR="0034086E" w:rsidRPr="008D0F89" w:rsidRDefault="0034086E" w:rsidP="001B1FEA">
            <w:pPr>
              <w:tabs>
                <w:tab w:val="decimal" w:pos="798"/>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080" w:type="dxa"/>
          </w:tcPr>
          <w:p w14:paraId="73C00F26" w14:textId="77777777" w:rsidR="0034086E" w:rsidRPr="008D0F89" w:rsidRDefault="0034086E" w:rsidP="001B1FEA">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835,900</w:t>
            </w:r>
          </w:p>
        </w:tc>
        <w:tc>
          <w:tcPr>
            <w:tcW w:w="1170" w:type="dxa"/>
          </w:tcPr>
          <w:p w14:paraId="2A121DAA" w14:textId="77777777" w:rsidR="0034086E" w:rsidRPr="008D0F89" w:rsidRDefault="0034086E" w:rsidP="001B1FEA">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836</w:t>
            </w:r>
          </w:p>
        </w:tc>
        <w:tc>
          <w:tcPr>
            <w:tcW w:w="1440" w:type="dxa"/>
          </w:tcPr>
          <w:p w14:paraId="1408DC26" w14:textId="77777777" w:rsidR="0034086E" w:rsidRPr="008D0F89" w:rsidRDefault="0034086E" w:rsidP="001B1FEA">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3,173,320</w:t>
            </w:r>
          </w:p>
        </w:tc>
        <w:tc>
          <w:tcPr>
            <w:tcW w:w="1350" w:type="dxa"/>
          </w:tcPr>
          <w:p w14:paraId="32F26C08" w14:textId="77777777" w:rsidR="0034086E" w:rsidRPr="008D0F89" w:rsidRDefault="0034086E" w:rsidP="001B1FEA">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19273AA9" w14:textId="77777777" w:rsidR="0034086E" w:rsidRPr="00487CAB" w:rsidRDefault="0034086E" w:rsidP="001B1FEA">
            <w:pPr>
              <w:tabs>
                <w:tab w:val="decimal" w:pos="1418"/>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3,174,156</w:t>
            </w:r>
          </w:p>
        </w:tc>
      </w:tr>
      <w:tr w:rsidR="0034086E" w:rsidRPr="00487CAB" w14:paraId="62032EAC" w14:textId="77777777" w:rsidTr="001B1FEA">
        <w:tc>
          <w:tcPr>
            <w:tcW w:w="4410" w:type="dxa"/>
          </w:tcPr>
          <w:p w14:paraId="1C2CEA66" w14:textId="77777777" w:rsidR="0034086E" w:rsidRPr="00487CAB" w:rsidRDefault="0034086E" w:rsidP="001B1FEA">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0228F937" w14:textId="77777777" w:rsidR="0034086E" w:rsidRPr="00487CAB" w:rsidRDefault="0034086E"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8ED6242" w14:textId="77777777" w:rsidR="0034086E" w:rsidRPr="00487CAB" w:rsidRDefault="0034086E"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45DF6F6C"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1,472</w:t>
            </w:r>
          </w:p>
        </w:tc>
        <w:tc>
          <w:tcPr>
            <w:tcW w:w="1170" w:type="dxa"/>
          </w:tcPr>
          <w:p w14:paraId="27C24CF1"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640E70B2"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5,999</w:t>
            </w:r>
          </w:p>
        </w:tc>
        <w:tc>
          <w:tcPr>
            <w:tcW w:w="1350" w:type="dxa"/>
          </w:tcPr>
          <w:p w14:paraId="190650E1" w14:textId="77777777" w:rsidR="0034086E" w:rsidRPr="00487CAB" w:rsidRDefault="0034086E" w:rsidP="001B1FEA">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2599704" w14:textId="77777777" w:rsidR="0034086E" w:rsidRPr="00487CAB" w:rsidRDefault="0034086E" w:rsidP="001B1FEA">
            <w:pPr>
              <w:tabs>
                <w:tab w:val="decimal" w:pos="1418"/>
                <w:tab w:val="right" w:pos="9180"/>
              </w:tabs>
              <w:rPr>
                <w:snapToGrid w:val="0"/>
                <w:color w:val="000000"/>
                <w:sz w:val="19"/>
                <w:szCs w:val="19"/>
              </w:rPr>
            </w:pPr>
            <w:r>
              <w:rPr>
                <w:snapToGrid w:val="0"/>
                <w:color w:val="000000"/>
                <w:sz w:val="19"/>
                <w:szCs w:val="19"/>
              </w:rPr>
              <w:tab/>
              <w:t>6,000</w:t>
            </w:r>
          </w:p>
        </w:tc>
      </w:tr>
      <w:tr w:rsidR="0034086E" w:rsidRPr="00487CAB" w14:paraId="5FB9243C" w14:textId="77777777" w:rsidTr="001B1FEA">
        <w:tc>
          <w:tcPr>
            <w:tcW w:w="4410" w:type="dxa"/>
          </w:tcPr>
          <w:p w14:paraId="2F225B7F" w14:textId="77777777" w:rsidR="0034086E" w:rsidRDefault="0034086E" w:rsidP="001B1FEA">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541CD6E6" w14:textId="77777777" w:rsidR="0034086E" w:rsidRDefault="0034086E"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16D257F" w14:textId="77777777" w:rsidR="0034086E" w:rsidRDefault="0034086E"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3446137"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15239FE"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A87BC42"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444E31FA" w14:textId="77777777" w:rsidR="0034086E" w:rsidRPr="00636549" w:rsidRDefault="0034086E" w:rsidP="001B1FEA">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06E0235C" w14:textId="77777777" w:rsidR="0034086E" w:rsidRDefault="0034086E" w:rsidP="001B1FEA">
            <w:pPr>
              <w:tabs>
                <w:tab w:val="decimal" w:pos="1418"/>
                <w:tab w:val="right" w:pos="9180"/>
              </w:tabs>
              <w:rPr>
                <w:snapToGrid w:val="0"/>
                <w:color w:val="000000"/>
                <w:sz w:val="19"/>
                <w:szCs w:val="19"/>
              </w:rPr>
            </w:pPr>
            <w:r>
              <w:rPr>
                <w:snapToGrid w:val="0"/>
                <w:color w:val="000000"/>
                <w:sz w:val="19"/>
                <w:szCs w:val="19"/>
              </w:rPr>
              <w:tab/>
              <w:t>56,190</w:t>
            </w:r>
          </w:p>
        </w:tc>
      </w:tr>
      <w:tr w:rsidR="0034086E" w:rsidRPr="00487CAB" w14:paraId="794D4C9E" w14:textId="77777777" w:rsidTr="001B1FEA">
        <w:tc>
          <w:tcPr>
            <w:tcW w:w="4410" w:type="dxa"/>
          </w:tcPr>
          <w:p w14:paraId="5CB00B41"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21</w:t>
            </w:r>
          </w:p>
        </w:tc>
        <w:tc>
          <w:tcPr>
            <w:tcW w:w="1170" w:type="dxa"/>
            <w:tcBorders>
              <w:bottom w:val="single" w:sz="4" w:space="0" w:color="auto"/>
            </w:tcBorders>
          </w:tcPr>
          <w:p w14:paraId="68ACA74F"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29B74B7"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60D96359"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EC5497E"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41A1196D"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C593C58"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c>
          <w:tcPr>
            <w:tcW w:w="1800" w:type="dxa"/>
            <w:tcBorders>
              <w:bottom w:val="single" w:sz="4" w:space="0" w:color="auto"/>
            </w:tcBorders>
          </w:tcPr>
          <w:p w14:paraId="666CDC53"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r>
      <w:tr w:rsidR="0034086E" w:rsidRPr="00487CAB" w14:paraId="5ADC232A" w14:textId="77777777" w:rsidTr="001B1FEA">
        <w:tc>
          <w:tcPr>
            <w:tcW w:w="4410" w:type="dxa"/>
          </w:tcPr>
          <w:p w14:paraId="25813BE4" w14:textId="77777777" w:rsidR="0034086E" w:rsidRPr="00487CAB" w:rsidRDefault="0034086E" w:rsidP="001B1FEA">
            <w:pPr>
              <w:tabs>
                <w:tab w:val="left" w:pos="144"/>
                <w:tab w:val="left" w:pos="324"/>
                <w:tab w:val="right" w:pos="9180"/>
              </w:tabs>
              <w:rPr>
                <w:snapToGrid w:val="0"/>
                <w:color w:val="000000"/>
                <w:sz w:val="19"/>
                <w:szCs w:val="19"/>
              </w:rPr>
            </w:pPr>
            <w:bookmarkStart w:id="13" w:name="_Hlk106976643"/>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21</w:t>
            </w:r>
          </w:p>
        </w:tc>
        <w:tc>
          <w:tcPr>
            <w:tcW w:w="1170" w:type="dxa"/>
            <w:tcBorders>
              <w:top w:val="single" w:sz="4" w:space="0" w:color="auto"/>
            </w:tcBorders>
          </w:tcPr>
          <w:p w14:paraId="69E36248"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Borders>
              <w:top w:val="single" w:sz="4" w:space="0" w:color="auto"/>
            </w:tcBorders>
          </w:tcPr>
          <w:p w14:paraId="533E56CC"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Borders>
              <w:top w:val="single" w:sz="4" w:space="0" w:color="auto"/>
            </w:tcBorders>
          </w:tcPr>
          <w:p w14:paraId="1994A681"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6,315,467</w:t>
            </w:r>
          </w:p>
        </w:tc>
        <w:tc>
          <w:tcPr>
            <w:tcW w:w="1170" w:type="dxa"/>
            <w:tcBorders>
              <w:top w:val="single" w:sz="4" w:space="0" w:color="auto"/>
            </w:tcBorders>
          </w:tcPr>
          <w:p w14:paraId="76C466E5"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w:t>
            </w:r>
          </w:p>
        </w:tc>
        <w:tc>
          <w:tcPr>
            <w:tcW w:w="1440" w:type="dxa"/>
            <w:tcBorders>
              <w:top w:val="single" w:sz="4" w:space="0" w:color="auto"/>
            </w:tcBorders>
          </w:tcPr>
          <w:p w14:paraId="67AC5CB2"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67,937,289</w:t>
            </w:r>
          </w:p>
        </w:tc>
        <w:tc>
          <w:tcPr>
            <w:tcW w:w="1350" w:type="dxa"/>
            <w:tcBorders>
              <w:top w:val="single" w:sz="4" w:space="0" w:color="auto"/>
            </w:tcBorders>
          </w:tcPr>
          <w:p w14:paraId="5A6CFC18"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(47,368,359)</w:t>
            </w:r>
          </w:p>
        </w:tc>
        <w:tc>
          <w:tcPr>
            <w:tcW w:w="1800" w:type="dxa"/>
            <w:tcBorders>
              <w:top w:val="single" w:sz="4" w:space="0" w:color="auto"/>
            </w:tcBorders>
          </w:tcPr>
          <w:p w14:paraId="220FFFFC"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20,651,340</w:t>
            </w:r>
          </w:p>
        </w:tc>
      </w:tr>
      <w:bookmarkEnd w:id="12"/>
      <w:tr w:rsidR="0034086E" w:rsidRPr="00487CAB" w14:paraId="4A8C0BAE" w14:textId="77777777" w:rsidTr="001B1FEA">
        <w:tc>
          <w:tcPr>
            <w:tcW w:w="4410" w:type="dxa"/>
          </w:tcPr>
          <w:p w14:paraId="4A3DDA13"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Repurchase of preferred stock</w:t>
            </w:r>
          </w:p>
        </w:tc>
        <w:tc>
          <w:tcPr>
            <w:tcW w:w="1170" w:type="dxa"/>
          </w:tcPr>
          <w:p w14:paraId="41E3E03F"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5E1EA674"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Pr>
          <w:p w14:paraId="58E49A9D"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50C5725"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557805AD"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75,095</w:t>
            </w:r>
          </w:p>
        </w:tc>
        <w:tc>
          <w:tcPr>
            <w:tcW w:w="1350" w:type="dxa"/>
          </w:tcPr>
          <w:p w14:paraId="787E9283"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2AC7B589"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(1,000)</w:t>
            </w:r>
          </w:p>
        </w:tc>
      </w:tr>
      <w:tr w:rsidR="0034086E" w:rsidRPr="00487CAB" w14:paraId="15291166" w14:textId="77777777" w:rsidTr="001B1FEA">
        <w:tc>
          <w:tcPr>
            <w:tcW w:w="4410" w:type="dxa"/>
          </w:tcPr>
          <w:p w14:paraId="79A8F3EA" w14:textId="77777777" w:rsidR="0034086E" w:rsidRPr="00487CAB" w:rsidRDefault="0034086E" w:rsidP="001B1FEA">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61A252D0" w14:textId="77777777" w:rsidR="0034086E" w:rsidRPr="00487CAB" w:rsidRDefault="0034086E"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B4FEAAD" w14:textId="77777777" w:rsidR="0034086E" w:rsidRPr="00487CAB" w:rsidRDefault="0034086E"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3EAC504"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12,235</w:t>
            </w:r>
          </w:p>
        </w:tc>
        <w:tc>
          <w:tcPr>
            <w:tcW w:w="1170" w:type="dxa"/>
          </w:tcPr>
          <w:p w14:paraId="5094FFF2"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13</w:t>
            </w:r>
          </w:p>
        </w:tc>
        <w:tc>
          <w:tcPr>
            <w:tcW w:w="1440" w:type="dxa"/>
          </w:tcPr>
          <w:p w14:paraId="7F2BCA6A"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65,828</w:t>
            </w:r>
          </w:p>
        </w:tc>
        <w:tc>
          <w:tcPr>
            <w:tcW w:w="1350" w:type="dxa"/>
          </w:tcPr>
          <w:p w14:paraId="4E014D1A" w14:textId="77777777" w:rsidR="0034086E" w:rsidRPr="00487CAB" w:rsidRDefault="0034086E" w:rsidP="001B1FEA">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2F7BD62" w14:textId="77777777" w:rsidR="0034086E" w:rsidRPr="00487CAB" w:rsidRDefault="0034086E" w:rsidP="001B1FEA">
            <w:pPr>
              <w:tabs>
                <w:tab w:val="decimal" w:pos="1418"/>
                <w:tab w:val="right" w:pos="9180"/>
              </w:tabs>
              <w:rPr>
                <w:snapToGrid w:val="0"/>
                <w:color w:val="000000"/>
                <w:sz w:val="19"/>
                <w:szCs w:val="19"/>
              </w:rPr>
            </w:pPr>
            <w:r>
              <w:rPr>
                <w:snapToGrid w:val="0"/>
                <w:color w:val="000000"/>
                <w:sz w:val="19"/>
                <w:szCs w:val="19"/>
              </w:rPr>
              <w:tab/>
              <w:t>65,841</w:t>
            </w:r>
          </w:p>
        </w:tc>
      </w:tr>
      <w:tr w:rsidR="0034086E" w:rsidRPr="00487CAB" w14:paraId="5C29B011" w14:textId="77777777" w:rsidTr="001B1FEA">
        <w:tc>
          <w:tcPr>
            <w:tcW w:w="4410" w:type="dxa"/>
          </w:tcPr>
          <w:p w14:paraId="638D43C1" w14:textId="77777777" w:rsidR="0034086E" w:rsidRDefault="0034086E" w:rsidP="001B1FEA">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3D6D2AD1" w14:textId="77777777" w:rsidR="0034086E" w:rsidRDefault="0034086E"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0105664" w14:textId="77777777" w:rsidR="0034086E" w:rsidRDefault="0034086E"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DCEF23A"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72F61E0"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FCAC12A"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50614C96" w14:textId="77777777" w:rsidR="0034086E" w:rsidRPr="00636549" w:rsidRDefault="0034086E" w:rsidP="001B1FEA">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3FC3F8B9" w14:textId="77777777" w:rsidR="0034086E" w:rsidRDefault="0034086E" w:rsidP="001B1FEA">
            <w:pPr>
              <w:tabs>
                <w:tab w:val="decimal" w:pos="1418"/>
                <w:tab w:val="right" w:pos="9180"/>
              </w:tabs>
              <w:rPr>
                <w:snapToGrid w:val="0"/>
                <w:color w:val="000000"/>
                <w:sz w:val="19"/>
                <w:szCs w:val="19"/>
              </w:rPr>
            </w:pPr>
            <w:r>
              <w:rPr>
                <w:snapToGrid w:val="0"/>
                <w:color w:val="000000"/>
                <w:sz w:val="19"/>
                <w:szCs w:val="19"/>
              </w:rPr>
              <w:tab/>
              <w:t>56,190</w:t>
            </w:r>
          </w:p>
        </w:tc>
      </w:tr>
      <w:tr w:rsidR="0034086E" w:rsidRPr="00487CAB" w14:paraId="1D107D64" w14:textId="77777777" w:rsidTr="001B1FEA">
        <w:tc>
          <w:tcPr>
            <w:tcW w:w="4410" w:type="dxa"/>
          </w:tcPr>
          <w:p w14:paraId="4654545E"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2C356BF9"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87BF06C"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65C32537"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A77A1D9"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A88C6C5"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C3E2B3D"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c>
          <w:tcPr>
            <w:tcW w:w="1800" w:type="dxa"/>
            <w:tcBorders>
              <w:bottom w:val="single" w:sz="4" w:space="0" w:color="auto"/>
            </w:tcBorders>
          </w:tcPr>
          <w:p w14:paraId="580D9B6D"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r>
      <w:tr w:rsidR="0034086E" w:rsidRPr="00487CAB" w14:paraId="670962B5" w14:textId="77777777" w:rsidTr="001B1FEA">
        <w:tc>
          <w:tcPr>
            <w:tcW w:w="4410" w:type="dxa"/>
          </w:tcPr>
          <w:p w14:paraId="1CA7222C"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bottom w:val="double" w:sz="4" w:space="0" w:color="auto"/>
            </w:tcBorders>
          </w:tcPr>
          <w:p w14:paraId="52D6B857"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126AD0F4" w14:textId="77777777" w:rsidR="0034086E" w:rsidRPr="00487CAB" w:rsidRDefault="0034086E" w:rsidP="001B1FEA">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26DED0F9"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6,327,702</w:t>
            </w:r>
          </w:p>
        </w:tc>
        <w:tc>
          <w:tcPr>
            <w:tcW w:w="1170" w:type="dxa"/>
            <w:tcBorders>
              <w:top w:val="single" w:sz="4" w:space="0" w:color="auto"/>
              <w:bottom w:val="double" w:sz="4" w:space="0" w:color="auto"/>
            </w:tcBorders>
          </w:tcPr>
          <w:p w14:paraId="4D039A00"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6,328</w:t>
            </w:r>
          </w:p>
        </w:tc>
        <w:tc>
          <w:tcPr>
            <w:tcW w:w="1440" w:type="dxa"/>
            <w:tcBorders>
              <w:top w:val="single" w:sz="4" w:space="0" w:color="auto"/>
              <w:bottom w:val="double" w:sz="4" w:space="0" w:color="auto"/>
            </w:tcBorders>
          </w:tcPr>
          <w:p w14:paraId="1E37DF06"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68,134,402</w:t>
            </w:r>
          </w:p>
        </w:tc>
        <w:tc>
          <w:tcPr>
            <w:tcW w:w="1350" w:type="dxa"/>
            <w:tcBorders>
              <w:top w:val="single" w:sz="4" w:space="0" w:color="auto"/>
              <w:bottom w:val="double" w:sz="4" w:space="0" w:color="auto"/>
            </w:tcBorders>
          </w:tcPr>
          <w:p w14:paraId="6073A7AB" w14:textId="77777777" w:rsidR="0034086E" w:rsidRPr="00487CAB" w:rsidRDefault="0034086E" w:rsidP="001B1FEA">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(48,682,392)</w:t>
            </w:r>
          </w:p>
        </w:tc>
        <w:tc>
          <w:tcPr>
            <w:tcW w:w="1800" w:type="dxa"/>
            <w:tcBorders>
              <w:top w:val="single" w:sz="4" w:space="0" w:color="auto"/>
              <w:bottom w:val="double" w:sz="4" w:space="0" w:color="auto"/>
            </w:tcBorders>
          </w:tcPr>
          <w:p w14:paraId="4FF437B1" w14:textId="77777777" w:rsidR="0034086E" w:rsidRPr="00487CAB" w:rsidRDefault="0034086E" w:rsidP="001B1FEA">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19,458,338</w:t>
            </w:r>
          </w:p>
        </w:tc>
      </w:tr>
      <w:bookmarkEnd w:id="13"/>
    </w:tbl>
    <w:p w14:paraId="5451020A" w14:textId="42C81B7D" w:rsidR="004F479E" w:rsidRDefault="004F479E" w:rsidP="00487CAB">
      <w:pPr>
        <w:tabs>
          <w:tab w:val="decimal" w:pos="1152"/>
          <w:tab w:val="left" w:pos="2340"/>
          <w:tab w:val="right" w:pos="9180"/>
        </w:tabs>
        <w:rPr>
          <w:snapToGrid w:val="0"/>
          <w:color w:val="000000"/>
        </w:rPr>
      </w:pPr>
    </w:p>
    <w:p w14:paraId="11D36CCB" w14:textId="77016E2D" w:rsidR="004F479E" w:rsidRDefault="004F479E" w:rsidP="00487CAB">
      <w:pPr>
        <w:tabs>
          <w:tab w:val="decimal" w:pos="1152"/>
          <w:tab w:val="left" w:pos="2340"/>
          <w:tab w:val="right" w:pos="9180"/>
        </w:tabs>
        <w:rPr>
          <w:snapToGrid w:val="0"/>
          <w:color w:val="000000"/>
        </w:rPr>
      </w:pPr>
    </w:p>
    <w:p w14:paraId="0CECAAAA" w14:textId="6E5BE80A" w:rsidR="004F479E" w:rsidRDefault="004F479E" w:rsidP="00487CAB">
      <w:pPr>
        <w:tabs>
          <w:tab w:val="decimal" w:pos="1152"/>
          <w:tab w:val="left" w:pos="2340"/>
          <w:tab w:val="right" w:pos="9180"/>
        </w:tabs>
        <w:rPr>
          <w:snapToGrid w:val="0"/>
          <w:color w:val="000000"/>
        </w:rPr>
      </w:pPr>
    </w:p>
    <w:p w14:paraId="56E1AEE2" w14:textId="2AFEF9A2" w:rsidR="004F479E" w:rsidRDefault="004F479E"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34086E" w:rsidRPr="00EF6E26" w14:paraId="4F308894" w14:textId="77777777" w:rsidTr="001B1FEA">
        <w:tc>
          <w:tcPr>
            <w:tcW w:w="10188" w:type="dxa"/>
            <w:gridSpan w:val="11"/>
          </w:tcPr>
          <w:p w14:paraId="3061B01D" w14:textId="77777777" w:rsidR="0034086E" w:rsidRPr="00EF6E26" w:rsidRDefault="0034086E" w:rsidP="001B1FEA">
            <w:pPr>
              <w:ind w:right="-18"/>
              <w:jc w:val="center"/>
              <w:rPr>
                <w:b/>
              </w:rPr>
            </w:pPr>
            <w:r w:rsidRPr="00EF6E26">
              <w:rPr>
                <w:b/>
              </w:rPr>
              <w:t>GEOVAX LABS, INC.</w:t>
            </w:r>
          </w:p>
          <w:p w14:paraId="2EAE0AD9" w14:textId="77777777" w:rsidR="0034086E" w:rsidRPr="00EF6E26" w:rsidRDefault="0034086E" w:rsidP="001B1FEA">
            <w:pPr>
              <w:ind w:right="-18"/>
              <w:jc w:val="center"/>
              <w:rPr>
                <w:b/>
              </w:rPr>
            </w:pPr>
            <w:r w:rsidRPr="00EF6E26">
              <w:rPr>
                <w:b/>
              </w:rPr>
              <w:t>CONDENSED CONSOLIDATED STATEMENTS OF CASH FLOWS</w:t>
            </w:r>
          </w:p>
          <w:p w14:paraId="65E2F727" w14:textId="77777777" w:rsidR="0034086E" w:rsidRPr="00EF6E26" w:rsidRDefault="0034086E" w:rsidP="001B1FEA">
            <w:pPr>
              <w:ind w:right="-18"/>
              <w:jc w:val="center"/>
              <w:rPr>
                <w:b/>
              </w:rPr>
            </w:pPr>
            <w:r w:rsidRPr="00EF6E26">
              <w:rPr>
                <w:b/>
              </w:rPr>
              <w:t>(Unaudited)</w:t>
            </w:r>
          </w:p>
        </w:tc>
      </w:tr>
      <w:tr w:rsidR="0034086E" w:rsidRPr="000D3DC5" w14:paraId="67FD8647" w14:textId="77777777" w:rsidTr="001B1FEA">
        <w:tc>
          <w:tcPr>
            <w:tcW w:w="4853" w:type="dxa"/>
            <w:gridSpan w:val="7"/>
          </w:tcPr>
          <w:p w14:paraId="13F487CF" w14:textId="77777777" w:rsidR="0034086E" w:rsidRPr="000D3DC5" w:rsidRDefault="0034086E" w:rsidP="001B1FEA"/>
        </w:tc>
        <w:tc>
          <w:tcPr>
            <w:tcW w:w="1555" w:type="dxa"/>
          </w:tcPr>
          <w:p w14:paraId="270AD536" w14:textId="77777777" w:rsidR="0034086E" w:rsidRPr="000D3DC5" w:rsidRDefault="0034086E" w:rsidP="001B1FEA">
            <w:pPr>
              <w:tabs>
                <w:tab w:val="right" w:pos="9180"/>
              </w:tabs>
            </w:pPr>
          </w:p>
        </w:tc>
        <w:tc>
          <w:tcPr>
            <w:tcW w:w="1800" w:type="dxa"/>
          </w:tcPr>
          <w:p w14:paraId="65A23741" w14:textId="77777777" w:rsidR="0034086E" w:rsidRPr="000D3DC5" w:rsidRDefault="0034086E" w:rsidP="001B1FEA">
            <w:pPr>
              <w:tabs>
                <w:tab w:val="decimal" w:pos="1044"/>
                <w:tab w:val="decimal" w:pos="1332"/>
                <w:tab w:val="right" w:pos="9180"/>
              </w:tabs>
            </w:pPr>
          </w:p>
        </w:tc>
        <w:tc>
          <w:tcPr>
            <w:tcW w:w="360" w:type="dxa"/>
          </w:tcPr>
          <w:p w14:paraId="1B2EB320" w14:textId="77777777" w:rsidR="0034086E" w:rsidRPr="000D3DC5" w:rsidRDefault="0034086E" w:rsidP="001B1FEA">
            <w:pPr>
              <w:tabs>
                <w:tab w:val="right" w:pos="9180"/>
              </w:tabs>
            </w:pPr>
          </w:p>
        </w:tc>
        <w:tc>
          <w:tcPr>
            <w:tcW w:w="1620" w:type="dxa"/>
          </w:tcPr>
          <w:p w14:paraId="699A856D" w14:textId="77777777" w:rsidR="0034086E" w:rsidRPr="000D3DC5" w:rsidRDefault="0034086E" w:rsidP="001B1FEA">
            <w:pPr>
              <w:tabs>
                <w:tab w:val="decimal" w:pos="1044"/>
                <w:tab w:val="right" w:pos="9180"/>
              </w:tabs>
              <w:ind w:right="-18"/>
            </w:pPr>
          </w:p>
        </w:tc>
      </w:tr>
      <w:tr w:rsidR="0034086E" w:rsidRPr="000D3DC5" w14:paraId="46721F3B" w14:textId="77777777" w:rsidTr="001B1FEA">
        <w:tc>
          <w:tcPr>
            <w:tcW w:w="4853" w:type="dxa"/>
            <w:gridSpan w:val="7"/>
          </w:tcPr>
          <w:p w14:paraId="04155047" w14:textId="77777777" w:rsidR="0034086E" w:rsidRPr="000D3DC5" w:rsidRDefault="0034086E" w:rsidP="001B1FEA"/>
        </w:tc>
        <w:tc>
          <w:tcPr>
            <w:tcW w:w="1555" w:type="dxa"/>
          </w:tcPr>
          <w:p w14:paraId="40B55849" w14:textId="77777777" w:rsidR="0034086E" w:rsidRPr="000D3DC5" w:rsidRDefault="0034086E" w:rsidP="001B1FEA">
            <w:pPr>
              <w:tabs>
                <w:tab w:val="right" w:pos="9180"/>
              </w:tabs>
            </w:pPr>
          </w:p>
        </w:tc>
        <w:tc>
          <w:tcPr>
            <w:tcW w:w="1800" w:type="dxa"/>
          </w:tcPr>
          <w:p w14:paraId="0808AD9B" w14:textId="77777777" w:rsidR="0034086E" w:rsidRPr="000D3DC5" w:rsidRDefault="0034086E" w:rsidP="001B1FEA">
            <w:pPr>
              <w:tabs>
                <w:tab w:val="decimal" w:pos="1044"/>
                <w:tab w:val="decimal" w:pos="1332"/>
                <w:tab w:val="right" w:pos="9180"/>
              </w:tabs>
            </w:pPr>
          </w:p>
        </w:tc>
        <w:tc>
          <w:tcPr>
            <w:tcW w:w="360" w:type="dxa"/>
          </w:tcPr>
          <w:p w14:paraId="4FF8D8EB" w14:textId="77777777" w:rsidR="0034086E" w:rsidRPr="000D3DC5" w:rsidRDefault="0034086E" w:rsidP="001B1FEA">
            <w:pPr>
              <w:tabs>
                <w:tab w:val="right" w:pos="9180"/>
              </w:tabs>
            </w:pPr>
          </w:p>
        </w:tc>
        <w:tc>
          <w:tcPr>
            <w:tcW w:w="1620" w:type="dxa"/>
          </w:tcPr>
          <w:p w14:paraId="18A67F66" w14:textId="77777777" w:rsidR="0034086E" w:rsidRPr="000D3DC5" w:rsidRDefault="0034086E" w:rsidP="001B1FEA">
            <w:pPr>
              <w:tabs>
                <w:tab w:val="decimal" w:pos="1044"/>
                <w:tab w:val="right" w:pos="9180"/>
              </w:tabs>
              <w:ind w:right="-18"/>
            </w:pPr>
          </w:p>
        </w:tc>
      </w:tr>
      <w:tr w:rsidR="0034086E" w:rsidRPr="000D3DC5" w14:paraId="68AC6740" w14:textId="77777777" w:rsidTr="001B1FEA">
        <w:tc>
          <w:tcPr>
            <w:tcW w:w="4853" w:type="dxa"/>
            <w:gridSpan w:val="7"/>
          </w:tcPr>
          <w:p w14:paraId="2324F699" w14:textId="77777777" w:rsidR="0034086E" w:rsidRPr="000D3DC5" w:rsidRDefault="0034086E" w:rsidP="001B1FEA"/>
        </w:tc>
        <w:tc>
          <w:tcPr>
            <w:tcW w:w="1555" w:type="dxa"/>
          </w:tcPr>
          <w:p w14:paraId="5C150F17" w14:textId="77777777" w:rsidR="0034086E" w:rsidRPr="000D3DC5" w:rsidRDefault="0034086E" w:rsidP="001B1FEA">
            <w:pPr>
              <w:tabs>
                <w:tab w:val="right" w:pos="9180"/>
              </w:tabs>
            </w:pPr>
          </w:p>
        </w:tc>
        <w:tc>
          <w:tcPr>
            <w:tcW w:w="3780" w:type="dxa"/>
            <w:gridSpan w:val="3"/>
            <w:tcBorders>
              <w:bottom w:val="single" w:sz="4" w:space="0" w:color="auto"/>
            </w:tcBorders>
          </w:tcPr>
          <w:p w14:paraId="2EF0D872" w14:textId="77777777" w:rsidR="0034086E" w:rsidRPr="000D3DC5" w:rsidRDefault="0034086E" w:rsidP="001B1FEA">
            <w:pPr>
              <w:tabs>
                <w:tab w:val="decimal" w:pos="1044"/>
                <w:tab w:val="right" w:pos="9180"/>
              </w:tabs>
              <w:ind w:right="-18"/>
              <w:jc w:val="center"/>
            </w:pPr>
            <w:r>
              <w:t>Six Months Ended June 30,</w:t>
            </w:r>
          </w:p>
        </w:tc>
      </w:tr>
      <w:tr w:rsidR="0034086E" w:rsidRPr="000D3DC5" w14:paraId="6952ED97" w14:textId="77777777" w:rsidTr="001B1FEA">
        <w:tc>
          <w:tcPr>
            <w:tcW w:w="4853" w:type="dxa"/>
            <w:gridSpan w:val="7"/>
          </w:tcPr>
          <w:p w14:paraId="3901FA49" w14:textId="77777777" w:rsidR="0034086E" w:rsidRPr="000D3DC5" w:rsidRDefault="0034086E" w:rsidP="001B1FEA"/>
        </w:tc>
        <w:tc>
          <w:tcPr>
            <w:tcW w:w="1555" w:type="dxa"/>
          </w:tcPr>
          <w:p w14:paraId="1BEB9BE9" w14:textId="77777777" w:rsidR="0034086E" w:rsidRPr="000D3DC5" w:rsidRDefault="0034086E" w:rsidP="001B1FEA">
            <w:pPr>
              <w:tabs>
                <w:tab w:val="right" w:pos="9180"/>
              </w:tabs>
            </w:pPr>
          </w:p>
        </w:tc>
        <w:tc>
          <w:tcPr>
            <w:tcW w:w="1800" w:type="dxa"/>
            <w:tcBorders>
              <w:top w:val="single" w:sz="4" w:space="0" w:color="auto"/>
              <w:bottom w:val="single" w:sz="4" w:space="0" w:color="auto"/>
            </w:tcBorders>
          </w:tcPr>
          <w:p w14:paraId="38C907DF" w14:textId="4119F34E" w:rsidR="0034086E" w:rsidRPr="000D3DC5" w:rsidRDefault="0034086E" w:rsidP="001B1FEA">
            <w:pPr>
              <w:tabs>
                <w:tab w:val="decimal" w:pos="1044"/>
                <w:tab w:val="decimal" w:pos="1332"/>
                <w:tab w:val="right" w:pos="9180"/>
              </w:tabs>
              <w:jc w:val="center"/>
            </w:pPr>
            <w:r>
              <w:t>202</w:t>
            </w:r>
            <w:r w:rsidR="00592D98">
              <w:t>2</w:t>
            </w:r>
          </w:p>
        </w:tc>
        <w:tc>
          <w:tcPr>
            <w:tcW w:w="360" w:type="dxa"/>
            <w:tcBorders>
              <w:top w:val="single" w:sz="4" w:space="0" w:color="auto"/>
            </w:tcBorders>
          </w:tcPr>
          <w:p w14:paraId="133FC1C4" w14:textId="77777777" w:rsidR="0034086E" w:rsidRPr="000D3DC5" w:rsidRDefault="0034086E" w:rsidP="001B1FEA">
            <w:pPr>
              <w:tabs>
                <w:tab w:val="right" w:pos="9180"/>
              </w:tabs>
              <w:jc w:val="center"/>
            </w:pPr>
          </w:p>
        </w:tc>
        <w:tc>
          <w:tcPr>
            <w:tcW w:w="1620" w:type="dxa"/>
            <w:tcBorders>
              <w:top w:val="single" w:sz="4" w:space="0" w:color="auto"/>
              <w:bottom w:val="single" w:sz="4" w:space="0" w:color="auto"/>
            </w:tcBorders>
          </w:tcPr>
          <w:p w14:paraId="0FF9482F" w14:textId="1ED9996C" w:rsidR="0034086E" w:rsidRPr="000D3DC5" w:rsidRDefault="0034086E" w:rsidP="001B1FEA">
            <w:pPr>
              <w:tabs>
                <w:tab w:val="decimal" w:pos="1044"/>
                <w:tab w:val="right" w:pos="9180"/>
              </w:tabs>
              <w:ind w:right="-18"/>
              <w:jc w:val="center"/>
            </w:pPr>
            <w:r>
              <w:t>202</w:t>
            </w:r>
            <w:r w:rsidR="008258F1">
              <w:t>1</w:t>
            </w:r>
          </w:p>
        </w:tc>
      </w:tr>
      <w:tr w:rsidR="0034086E" w:rsidRPr="000D3DC5" w14:paraId="01AA89C9" w14:textId="77777777" w:rsidTr="001B1FEA">
        <w:tc>
          <w:tcPr>
            <w:tcW w:w="4853" w:type="dxa"/>
            <w:gridSpan w:val="7"/>
          </w:tcPr>
          <w:p w14:paraId="2D71B4BD" w14:textId="77777777" w:rsidR="0034086E" w:rsidRPr="000D3DC5" w:rsidRDefault="0034086E" w:rsidP="001B1FEA">
            <w:r w:rsidRPr="000D3DC5">
              <w:t xml:space="preserve">Cash flows from </w:t>
            </w:r>
            <w:r>
              <w:t>operating</w:t>
            </w:r>
            <w:r w:rsidRPr="000D3DC5">
              <w:t xml:space="preserve"> activities:</w:t>
            </w:r>
          </w:p>
        </w:tc>
        <w:tc>
          <w:tcPr>
            <w:tcW w:w="1555" w:type="dxa"/>
          </w:tcPr>
          <w:p w14:paraId="7E2F8C4D" w14:textId="77777777" w:rsidR="0034086E" w:rsidRPr="000D3DC5" w:rsidRDefault="0034086E" w:rsidP="001B1FEA">
            <w:pPr>
              <w:tabs>
                <w:tab w:val="right" w:pos="9180"/>
              </w:tabs>
            </w:pPr>
          </w:p>
        </w:tc>
        <w:tc>
          <w:tcPr>
            <w:tcW w:w="1800" w:type="dxa"/>
            <w:tcBorders>
              <w:top w:val="single" w:sz="4" w:space="0" w:color="auto"/>
            </w:tcBorders>
          </w:tcPr>
          <w:p w14:paraId="0126576B" w14:textId="77777777" w:rsidR="0034086E" w:rsidRPr="000D3DC5" w:rsidRDefault="0034086E" w:rsidP="001B1FEA">
            <w:pPr>
              <w:tabs>
                <w:tab w:val="decimal" w:pos="1044"/>
                <w:tab w:val="decimal" w:pos="1332"/>
                <w:tab w:val="right" w:pos="9180"/>
              </w:tabs>
            </w:pPr>
          </w:p>
        </w:tc>
        <w:tc>
          <w:tcPr>
            <w:tcW w:w="360" w:type="dxa"/>
          </w:tcPr>
          <w:p w14:paraId="36F457A6" w14:textId="77777777" w:rsidR="0034086E" w:rsidRPr="000D3DC5" w:rsidRDefault="0034086E" w:rsidP="001B1FEA">
            <w:pPr>
              <w:tabs>
                <w:tab w:val="right" w:pos="9180"/>
              </w:tabs>
            </w:pPr>
          </w:p>
        </w:tc>
        <w:tc>
          <w:tcPr>
            <w:tcW w:w="1620" w:type="dxa"/>
          </w:tcPr>
          <w:p w14:paraId="56D3427D" w14:textId="77777777" w:rsidR="0034086E" w:rsidRPr="000D3DC5" w:rsidRDefault="0034086E" w:rsidP="001B1FEA">
            <w:pPr>
              <w:tabs>
                <w:tab w:val="decimal" w:pos="1044"/>
                <w:tab w:val="right" w:pos="9180"/>
              </w:tabs>
              <w:ind w:right="-18"/>
            </w:pPr>
          </w:p>
        </w:tc>
      </w:tr>
      <w:tr w:rsidR="0034086E" w:rsidRPr="000D3DC5" w14:paraId="387BEB8E" w14:textId="77777777" w:rsidTr="001B1FEA">
        <w:tc>
          <w:tcPr>
            <w:tcW w:w="378" w:type="dxa"/>
          </w:tcPr>
          <w:p w14:paraId="0674855E" w14:textId="77777777" w:rsidR="0034086E" w:rsidRPr="000D3DC5" w:rsidRDefault="0034086E" w:rsidP="001B1FEA"/>
        </w:tc>
        <w:tc>
          <w:tcPr>
            <w:tcW w:w="4475" w:type="dxa"/>
            <w:gridSpan w:val="6"/>
          </w:tcPr>
          <w:p w14:paraId="3F2D141C" w14:textId="77777777" w:rsidR="0034086E" w:rsidRPr="000D3DC5" w:rsidRDefault="0034086E" w:rsidP="001B1FEA">
            <w:r w:rsidRPr="000D3DC5">
              <w:t>Net loss</w:t>
            </w:r>
          </w:p>
        </w:tc>
        <w:tc>
          <w:tcPr>
            <w:tcW w:w="1555" w:type="dxa"/>
          </w:tcPr>
          <w:p w14:paraId="3F69400B" w14:textId="77777777" w:rsidR="0034086E" w:rsidRPr="000D3DC5" w:rsidRDefault="0034086E" w:rsidP="001B1FEA">
            <w:pPr>
              <w:tabs>
                <w:tab w:val="right" w:pos="9180"/>
              </w:tabs>
            </w:pPr>
          </w:p>
        </w:tc>
        <w:tc>
          <w:tcPr>
            <w:tcW w:w="1800" w:type="dxa"/>
          </w:tcPr>
          <w:p w14:paraId="43CAB44C" w14:textId="49980BAA" w:rsidR="0034086E" w:rsidRPr="000D3DC5" w:rsidRDefault="0034086E" w:rsidP="001B1FEA">
            <w:pPr>
              <w:tabs>
                <w:tab w:val="decimal" w:pos="1332"/>
                <w:tab w:val="right" w:pos="9180"/>
              </w:tabs>
            </w:pPr>
            <w:r w:rsidRPr="000D3DC5">
              <w:t>$</w:t>
            </w:r>
            <w:r w:rsidRPr="000D3DC5">
              <w:tab/>
            </w:r>
            <w:r w:rsidR="009B6B9A">
              <w:t>(4,6</w:t>
            </w:r>
            <w:r w:rsidR="00E451B0">
              <w:t>69,214</w:t>
            </w:r>
            <w:r w:rsidR="009B6B9A">
              <w:t>)</w:t>
            </w:r>
          </w:p>
        </w:tc>
        <w:tc>
          <w:tcPr>
            <w:tcW w:w="360" w:type="dxa"/>
          </w:tcPr>
          <w:p w14:paraId="52739A54" w14:textId="77777777" w:rsidR="0034086E" w:rsidRPr="000D3DC5" w:rsidRDefault="0034086E" w:rsidP="001B1FEA">
            <w:pPr>
              <w:tabs>
                <w:tab w:val="right" w:pos="9180"/>
              </w:tabs>
            </w:pPr>
          </w:p>
        </w:tc>
        <w:tc>
          <w:tcPr>
            <w:tcW w:w="1620" w:type="dxa"/>
          </w:tcPr>
          <w:p w14:paraId="37F476BC" w14:textId="615587C5" w:rsidR="0034086E" w:rsidRPr="000D3DC5" w:rsidRDefault="0034086E" w:rsidP="001B1FEA">
            <w:pPr>
              <w:tabs>
                <w:tab w:val="decimal" w:pos="1152"/>
                <w:tab w:val="right" w:pos="9180"/>
              </w:tabs>
            </w:pPr>
            <w:r>
              <w:t>$</w:t>
            </w:r>
            <w:r>
              <w:tab/>
              <w:t>(</w:t>
            </w:r>
            <w:r w:rsidR="008258F1">
              <w:t>2,876,811</w:t>
            </w:r>
            <w:r>
              <w:t>)</w:t>
            </w:r>
          </w:p>
        </w:tc>
      </w:tr>
      <w:tr w:rsidR="0034086E" w:rsidRPr="000D3DC5" w14:paraId="6B1090A9" w14:textId="77777777" w:rsidTr="001B1FEA">
        <w:tc>
          <w:tcPr>
            <w:tcW w:w="378" w:type="dxa"/>
          </w:tcPr>
          <w:p w14:paraId="05087796" w14:textId="77777777" w:rsidR="0034086E" w:rsidRPr="000D3DC5" w:rsidRDefault="0034086E" w:rsidP="001B1FEA"/>
        </w:tc>
        <w:tc>
          <w:tcPr>
            <w:tcW w:w="4475" w:type="dxa"/>
            <w:gridSpan w:val="6"/>
          </w:tcPr>
          <w:p w14:paraId="30E07688" w14:textId="77777777" w:rsidR="0034086E" w:rsidRPr="000D3DC5" w:rsidRDefault="0034086E" w:rsidP="001B1FEA">
            <w:r w:rsidRPr="000D3DC5">
              <w:t>Adjustments to reconcile net loss to net cash</w:t>
            </w:r>
          </w:p>
        </w:tc>
        <w:tc>
          <w:tcPr>
            <w:tcW w:w="1555" w:type="dxa"/>
          </w:tcPr>
          <w:p w14:paraId="2E300C5C" w14:textId="77777777" w:rsidR="0034086E" w:rsidRPr="000D3DC5" w:rsidRDefault="0034086E" w:rsidP="001B1FEA">
            <w:pPr>
              <w:tabs>
                <w:tab w:val="right" w:pos="9180"/>
              </w:tabs>
            </w:pPr>
          </w:p>
        </w:tc>
        <w:tc>
          <w:tcPr>
            <w:tcW w:w="1800" w:type="dxa"/>
          </w:tcPr>
          <w:p w14:paraId="0456EDCE" w14:textId="77777777" w:rsidR="0034086E" w:rsidRPr="000D3DC5" w:rsidRDefault="0034086E" w:rsidP="001B1FEA">
            <w:pPr>
              <w:tabs>
                <w:tab w:val="decimal" w:pos="1044"/>
                <w:tab w:val="right" w:pos="9180"/>
              </w:tabs>
            </w:pPr>
          </w:p>
        </w:tc>
        <w:tc>
          <w:tcPr>
            <w:tcW w:w="360" w:type="dxa"/>
          </w:tcPr>
          <w:p w14:paraId="15EDBD26" w14:textId="77777777" w:rsidR="0034086E" w:rsidRPr="000D3DC5" w:rsidRDefault="0034086E" w:rsidP="001B1FEA">
            <w:pPr>
              <w:tabs>
                <w:tab w:val="right" w:pos="9180"/>
              </w:tabs>
            </w:pPr>
          </w:p>
        </w:tc>
        <w:tc>
          <w:tcPr>
            <w:tcW w:w="1620" w:type="dxa"/>
          </w:tcPr>
          <w:p w14:paraId="5C7E0EF4" w14:textId="77777777" w:rsidR="0034086E" w:rsidRPr="000D3DC5" w:rsidRDefault="0034086E" w:rsidP="001B1FEA">
            <w:pPr>
              <w:tabs>
                <w:tab w:val="decimal" w:pos="1044"/>
                <w:tab w:val="right" w:pos="9180"/>
              </w:tabs>
            </w:pPr>
          </w:p>
        </w:tc>
      </w:tr>
      <w:tr w:rsidR="0034086E" w:rsidRPr="000D3DC5" w14:paraId="171AD0F1" w14:textId="77777777" w:rsidTr="001B1FEA">
        <w:tc>
          <w:tcPr>
            <w:tcW w:w="378" w:type="dxa"/>
          </w:tcPr>
          <w:p w14:paraId="758AA46B" w14:textId="77777777" w:rsidR="0034086E" w:rsidRPr="000D3DC5" w:rsidRDefault="0034086E" w:rsidP="001B1FEA"/>
        </w:tc>
        <w:tc>
          <w:tcPr>
            <w:tcW w:w="4475" w:type="dxa"/>
            <w:gridSpan w:val="6"/>
          </w:tcPr>
          <w:p w14:paraId="62D294FB" w14:textId="77777777" w:rsidR="0034086E" w:rsidRPr="000D3DC5" w:rsidRDefault="0034086E" w:rsidP="001B1FEA">
            <w:r w:rsidRPr="000D3DC5">
              <w:t xml:space="preserve">  used in operating activities:</w:t>
            </w:r>
          </w:p>
        </w:tc>
        <w:tc>
          <w:tcPr>
            <w:tcW w:w="1555" w:type="dxa"/>
          </w:tcPr>
          <w:p w14:paraId="43AA419E" w14:textId="77777777" w:rsidR="0034086E" w:rsidRPr="000D3DC5" w:rsidRDefault="0034086E" w:rsidP="001B1FEA">
            <w:pPr>
              <w:tabs>
                <w:tab w:val="right" w:pos="9180"/>
              </w:tabs>
            </w:pPr>
          </w:p>
        </w:tc>
        <w:tc>
          <w:tcPr>
            <w:tcW w:w="1800" w:type="dxa"/>
          </w:tcPr>
          <w:p w14:paraId="75A41B78" w14:textId="77777777" w:rsidR="0034086E" w:rsidRPr="000D3DC5" w:rsidRDefault="0034086E" w:rsidP="001B1FEA">
            <w:pPr>
              <w:tabs>
                <w:tab w:val="decimal" w:pos="1044"/>
                <w:tab w:val="right" w:pos="9180"/>
              </w:tabs>
            </w:pPr>
          </w:p>
        </w:tc>
        <w:tc>
          <w:tcPr>
            <w:tcW w:w="360" w:type="dxa"/>
          </w:tcPr>
          <w:p w14:paraId="33BEB8F7" w14:textId="77777777" w:rsidR="0034086E" w:rsidRPr="000D3DC5" w:rsidRDefault="0034086E" w:rsidP="001B1FEA">
            <w:pPr>
              <w:tabs>
                <w:tab w:val="right" w:pos="9180"/>
              </w:tabs>
            </w:pPr>
          </w:p>
        </w:tc>
        <w:tc>
          <w:tcPr>
            <w:tcW w:w="1620" w:type="dxa"/>
          </w:tcPr>
          <w:p w14:paraId="36CAA4A3" w14:textId="77777777" w:rsidR="0034086E" w:rsidRPr="000D3DC5" w:rsidRDefault="0034086E" w:rsidP="001B1FEA">
            <w:pPr>
              <w:tabs>
                <w:tab w:val="decimal" w:pos="1044"/>
                <w:tab w:val="right" w:pos="9180"/>
              </w:tabs>
            </w:pPr>
          </w:p>
        </w:tc>
      </w:tr>
      <w:tr w:rsidR="0034086E" w:rsidRPr="000D3DC5" w14:paraId="306FAF56" w14:textId="77777777" w:rsidTr="001B1FEA">
        <w:tc>
          <w:tcPr>
            <w:tcW w:w="378" w:type="dxa"/>
          </w:tcPr>
          <w:p w14:paraId="7ACE6B37" w14:textId="77777777" w:rsidR="0034086E" w:rsidRPr="000D3DC5" w:rsidRDefault="0034086E" w:rsidP="001B1FEA"/>
        </w:tc>
        <w:tc>
          <w:tcPr>
            <w:tcW w:w="425" w:type="dxa"/>
          </w:tcPr>
          <w:p w14:paraId="5BF409A0" w14:textId="77777777" w:rsidR="0034086E" w:rsidRPr="000D3DC5" w:rsidRDefault="0034086E" w:rsidP="001B1FEA"/>
        </w:tc>
        <w:tc>
          <w:tcPr>
            <w:tcW w:w="4050" w:type="dxa"/>
            <w:gridSpan w:val="5"/>
          </w:tcPr>
          <w:p w14:paraId="3C2227A7" w14:textId="77777777" w:rsidR="0034086E" w:rsidRPr="000D3DC5" w:rsidRDefault="0034086E" w:rsidP="001B1FEA">
            <w:r w:rsidRPr="000D3DC5">
              <w:t>Depreciation and amortization</w:t>
            </w:r>
          </w:p>
        </w:tc>
        <w:tc>
          <w:tcPr>
            <w:tcW w:w="1555" w:type="dxa"/>
          </w:tcPr>
          <w:p w14:paraId="0557F40F" w14:textId="77777777" w:rsidR="0034086E" w:rsidRPr="000D3DC5" w:rsidRDefault="0034086E" w:rsidP="001B1FEA">
            <w:pPr>
              <w:tabs>
                <w:tab w:val="right" w:pos="9180"/>
              </w:tabs>
            </w:pPr>
          </w:p>
        </w:tc>
        <w:tc>
          <w:tcPr>
            <w:tcW w:w="1800" w:type="dxa"/>
          </w:tcPr>
          <w:p w14:paraId="1A3A9461" w14:textId="4B309B46" w:rsidR="0034086E" w:rsidRPr="000D3DC5" w:rsidRDefault="0034086E" w:rsidP="001B1FEA">
            <w:pPr>
              <w:tabs>
                <w:tab w:val="decimal" w:pos="1332"/>
                <w:tab w:val="right" w:pos="9180"/>
              </w:tabs>
            </w:pPr>
            <w:r>
              <w:tab/>
            </w:r>
            <w:r w:rsidR="009B6B9A">
              <w:t>24,538</w:t>
            </w:r>
          </w:p>
        </w:tc>
        <w:tc>
          <w:tcPr>
            <w:tcW w:w="360" w:type="dxa"/>
          </w:tcPr>
          <w:p w14:paraId="545B182A" w14:textId="77777777" w:rsidR="0034086E" w:rsidRPr="000D3DC5" w:rsidRDefault="0034086E" w:rsidP="001B1FEA">
            <w:pPr>
              <w:tabs>
                <w:tab w:val="right" w:pos="9180"/>
              </w:tabs>
            </w:pPr>
          </w:p>
        </w:tc>
        <w:tc>
          <w:tcPr>
            <w:tcW w:w="1620" w:type="dxa"/>
          </w:tcPr>
          <w:p w14:paraId="45BAF5AC" w14:textId="09B13D98" w:rsidR="0034086E" w:rsidRPr="000D3DC5" w:rsidRDefault="0034086E" w:rsidP="001B1FEA">
            <w:pPr>
              <w:tabs>
                <w:tab w:val="decimal" w:pos="1152"/>
                <w:tab w:val="right" w:pos="9180"/>
              </w:tabs>
            </w:pPr>
            <w:r>
              <w:tab/>
            </w:r>
            <w:r w:rsidR="008258F1">
              <w:t>17,871</w:t>
            </w:r>
          </w:p>
        </w:tc>
      </w:tr>
      <w:tr w:rsidR="0034086E" w:rsidRPr="000D3DC5" w14:paraId="0ED456D7" w14:textId="77777777" w:rsidTr="001B1FEA">
        <w:tc>
          <w:tcPr>
            <w:tcW w:w="378" w:type="dxa"/>
          </w:tcPr>
          <w:p w14:paraId="47A646A4" w14:textId="77777777" w:rsidR="0034086E" w:rsidRPr="000D3DC5" w:rsidRDefault="0034086E" w:rsidP="001B1FEA"/>
        </w:tc>
        <w:tc>
          <w:tcPr>
            <w:tcW w:w="425" w:type="dxa"/>
          </w:tcPr>
          <w:p w14:paraId="50F0D798" w14:textId="77777777" w:rsidR="0034086E" w:rsidRPr="000D3DC5" w:rsidRDefault="0034086E" w:rsidP="001B1FEA"/>
        </w:tc>
        <w:tc>
          <w:tcPr>
            <w:tcW w:w="5605" w:type="dxa"/>
            <w:gridSpan w:val="6"/>
          </w:tcPr>
          <w:p w14:paraId="428BD024" w14:textId="77777777" w:rsidR="0034086E" w:rsidRDefault="0034086E" w:rsidP="001B1FEA">
            <w:r>
              <w:t>Stock-based compensation expense</w:t>
            </w:r>
          </w:p>
        </w:tc>
        <w:tc>
          <w:tcPr>
            <w:tcW w:w="1800" w:type="dxa"/>
          </w:tcPr>
          <w:p w14:paraId="08BCBA77" w14:textId="6443C29B" w:rsidR="0034086E" w:rsidRPr="000D3DC5" w:rsidRDefault="0034086E" w:rsidP="001B1FEA">
            <w:pPr>
              <w:tabs>
                <w:tab w:val="decimal" w:pos="1332"/>
                <w:tab w:val="right" w:pos="9180"/>
              </w:tabs>
            </w:pPr>
            <w:r>
              <w:tab/>
            </w:r>
            <w:r w:rsidR="009B6B9A">
              <w:t>412,329</w:t>
            </w:r>
          </w:p>
        </w:tc>
        <w:tc>
          <w:tcPr>
            <w:tcW w:w="360" w:type="dxa"/>
          </w:tcPr>
          <w:p w14:paraId="4B4A2259" w14:textId="77777777" w:rsidR="0034086E" w:rsidRPr="000D3DC5" w:rsidRDefault="0034086E" w:rsidP="001B1FEA">
            <w:pPr>
              <w:tabs>
                <w:tab w:val="right" w:pos="9180"/>
              </w:tabs>
            </w:pPr>
          </w:p>
        </w:tc>
        <w:tc>
          <w:tcPr>
            <w:tcW w:w="1620" w:type="dxa"/>
          </w:tcPr>
          <w:p w14:paraId="7614963B" w14:textId="7B6110AC" w:rsidR="0034086E" w:rsidRPr="000D3DC5" w:rsidRDefault="0034086E" w:rsidP="001B1FEA">
            <w:pPr>
              <w:tabs>
                <w:tab w:val="decimal" w:pos="1152"/>
                <w:tab w:val="right" w:pos="9180"/>
              </w:tabs>
            </w:pPr>
            <w:r>
              <w:tab/>
            </w:r>
            <w:r w:rsidR="008258F1">
              <w:t>1</w:t>
            </w:r>
            <w:r w:rsidR="00AB6F9C">
              <w:t>63,553</w:t>
            </w:r>
          </w:p>
        </w:tc>
      </w:tr>
      <w:tr w:rsidR="0034086E" w:rsidRPr="000D3DC5" w14:paraId="24DC3DF4" w14:textId="77777777" w:rsidTr="001B1FEA">
        <w:tc>
          <w:tcPr>
            <w:tcW w:w="378" w:type="dxa"/>
          </w:tcPr>
          <w:p w14:paraId="03141DE5" w14:textId="77777777" w:rsidR="0034086E" w:rsidRPr="000D3DC5" w:rsidRDefault="0034086E" w:rsidP="001B1FEA"/>
        </w:tc>
        <w:tc>
          <w:tcPr>
            <w:tcW w:w="425" w:type="dxa"/>
          </w:tcPr>
          <w:p w14:paraId="35CB9EFA" w14:textId="77777777" w:rsidR="0034086E" w:rsidRPr="000D3DC5" w:rsidRDefault="0034086E" w:rsidP="001B1FEA"/>
        </w:tc>
        <w:tc>
          <w:tcPr>
            <w:tcW w:w="5605" w:type="dxa"/>
            <w:gridSpan w:val="6"/>
          </w:tcPr>
          <w:p w14:paraId="5F9EACEB" w14:textId="77777777" w:rsidR="0034086E" w:rsidRDefault="0034086E" w:rsidP="001B1FEA">
            <w:r>
              <w:t>Gain on debt extinguishment</w:t>
            </w:r>
          </w:p>
        </w:tc>
        <w:tc>
          <w:tcPr>
            <w:tcW w:w="1800" w:type="dxa"/>
          </w:tcPr>
          <w:p w14:paraId="655CAAE1" w14:textId="5A926F25" w:rsidR="0034086E" w:rsidRDefault="0034086E" w:rsidP="001B1FEA">
            <w:pPr>
              <w:tabs>
                <w:tab w:val="decimal" w:pos="1332"/>
                <w:tab w:val="right" w:pos="9180"/>
              </w:tabs>
            </w:pPr>
            <w:r>
              <w:tab/>
            </w:r>
            <w:r w:rsidR="009B6B9A">
              <w:t>-</w:t>
            </w:r>
          </w:p>
        </w:tc>
        <w:tc>
          <w:tcPr>
            <w:tcW w:w="360" w:type="dxa"/>
          </w:tcPr>
          <w:p w14:paraId="2F146F14" w14:textId="77777777" w:rsidR="0034086E" w:rsidRPr="000D3DC5" w:rsidRDefault="0034086E" w:rsidP="001B1FEA">
            <w:pPr>
              <w:tabs>
                <w:tab w:val="right" w:pos="9180"/>
              </w:tabs>
            </w:pPr>
          </w:p>
        </w:tc>
        <w:tc>
          <w:tcPr>
            <w:tcW w:w="1620" w:type="dxa"/>
          </w:tcPr>
          <w:p w14:paraId="3DF616FA" w14:textId="3CEC4377" w:rsidR="0034086E" w:rsidRDefault="0034086E" w:rsidP="001B1FEA">
            <w:pPr>
              <w:tabs>
                <w:tab w:val="decimal" w:pos="1152"/>
                <w:tab w:val="right" w:pos="9180"/>
              </w:tabs>
            </w:pPr>
            <w:r>
              <w:tab/>
            </w:r>
            <w:r w:rsidR="008258F1">
              <w:t>(172,056)</w:t>
            </w:r>
          </w:p>
        </w:tc>
      </w:tr>
      <w:tr w:rsidR="0034086E" w:rsidRPr="000D3DC5" w14:paraId="15CBA7CC" w14:textId="77777777" w:rsidTr="001B1FEA">
        <w:tc>
          <w:tcPr>
            <w:tcW w:w="378" w:type="dxa"/>
          </w:tcPr>
          <w:p w14:paraId="304177E8" w14:textId="77777777" w:rsidR="0034086E" w:rsidRPr="000D3DC5" w:rsidRDefault="0034086E" w:rsidP="001B1FEA"/>
        </w:tc>
        <w:tc>
          <w:tcPr>
            <w:tcW w:w="425" w:type="dxa"/>
          </w:tcPr>
          <w:p w14:paraId="5AA1D6F2" w14:textId="77777777" w:rsidR="0034086E" w:rsidRPr="000D3DC5" w:rsidRDefault="0034086E" w:rsidP="001B1FEA"/>
        </w:tc>
        <w:tc>
          <w:tcPr>
            <w:tcW w:w="4050" w:type="dxa"/>
            <w:gridSpan w:val="5"/>
          </w:tcPr>
          <w:p w14:paraId="0DBFEFB0" w14:textId="77777777" w:rsidR="0034086E" w:rsidRPr="000D3DC5" w:rsidRDefault="0034086E" w:rsidP="001B1FEA">
            <w:r w:rsidRPr="000D3DC5">
              <w:t>Changes in assets and liabilities:</w:t>
            </w:r>
          </w:p>
        </w:tc>
        <w:tc>
          <w:tcPr>
            <w:tcW w:w="1555" w:type="dxa"/>
          </w:tcPr>
          <w:p w14:paraId="175AEA63" w14:textId="77777777" w:rsidR="0034086E" w:rsidRPr="000D3DC5" w:rsidRDefault="0034086E" w:rsidP="001B1FEA">
            <w:pPr>
              <w:tabs>
                <w:tab w:val="right" w:pos="9180"/>
              </w:tabs>
            </w:pPr>
          </w:p>
        </w:tc>
        <w:tc>
          <w:tcPr>
            <w:tcW w:w="1800" w:type="dxa"/>
          </w:tcPr>
          <w:p w14:paraId="15DE9B54" w14:textId="77777777" w:rsidR="0034086E" w:rsidRPr="000D3DC5" w:rsidRDefault="0034086E" w:rsidP="001B1FEA">
            <w:pPr>
              <w:tabs>
                <w:tab w:val="decimal" w:pos="1332"/>
                <w:tab w:val="right" w:pos="9180"/>
              </w:tabs>
            </w:pPr>
          </w:p>
        </w:tc>
        <w:tc>
          <w:tcPr>
            <w:tcW w:w="360" w:type="dxa"/>
          </w:tcPr>
          <w:p w14:paraId="17F9A44F" w14:textId="77777777" w:rsidR="0034086E" w:rsidRPr="000D3DC5" w:rsidRDefault="0034086E" w:rsidP="001B1FEA">
            <w:pPr>
              <w:tabs>
                <w:tab w:val="right" w:pos="9180"/>
              </w:tabs>
            </w:pPr>
          </w:p>
        </w:tc>
        <w:tc>
          <w:tcPr>
            <w:tcW w:w="1620" w:type="dxa"/>
          </w:tcPr>
          <w:p w14:paraId="5F21266A" w14:textId="77777777" w:rsidR="0034086E" w:rsidRPr="000D3DC5" w:rsidRDefault="0034086E" w:rsidP="001B1FEA">
            <w:pPr>
              <w:tabs>
                <w:tab w:val="decimal" w:pos="1152"/>
                <w:tab w:val="right" w:pos="9180"/>
              </w:tabs>
            </w:pPr>
          </w:p>
        </w:tc>
      </w:tr>
      <w:tr w:rsidR="0034086E" w:rsidRPr="000D3DC5" w14:paraId="2CF67C50" w14:textId="77777777" w:rsidTr="001B1FEA">
        <w:tc>
          <w:tcPr>
            <w:tcW w:w="378" w:type="dxa"/>
          </w:tcPr>
          <w:p w14:paraId="40F0F72E" w14:textId="77777777" w:rsidR="0034086E" w:rsidRPr="000D3DC5" w:rsidRDefault="0034086E" w:rsidP="001B1FEA"/>
        </w:tc>
        <w:tc>
          <w:tcPr>
            <w:tcW w:w="425" w:type="dxa"/>
          </w:tcPr>
          <w:p w14:paraId="774770C8" w14:textId="77777777" w:rsidR="0034086E" w:rsidRPr="000D3DC5" w:rsidRDefault="0034086E" w:rsidP="001B1FEA"/>
        </w:tc>
        <w:tc>
          <w:tcPr>
            <w:tcW w:w="385" w:type="dxa"/>
            <w:gridSpan w:val="2"/>
          </w:tcPr>
          <w:p w14:paraId="0ABE9707" w14:textId="77777777" w:rsidR="0034086E" w:rsidRPr="000D3DC5" w:rsidRDefault="0034086E" w:rsidP="001B1FEA"/>
        </w:tc>
        <w:tc>
          <w:tcPr>
            <w:tcW w:w="5220" w:type="dxa"/>
            <w:gridSpan w:val="4"/>
          </w:tcPr>
          <w:p w14:paraId="4CB4B073" w14:textId="77777777" w:rsidR="0034086E" w:rsidRPr="000D3DC5" w:rsidRDefault="0034086E" w:rsidP="001B1FEA">
            <w:pPr>
              <w:tabs>
                <w:tab w:val="right" w:pos="9180"/>
              </w:tabs>
            </w:pPr>
            <w:r>
              <w:t>Grant funds and other receivables</w:t>
            </w:r>
          </w:p>
        </w:tc>
        <w:tc>
          <w:tcPr>
            <w:tcW w:w="1800" w:type="dxa"/>
          </w:tcPr>
          <w:p w14:paraId="4AE1FB80" w14:textId="63BBACFF" w:rsidR="0034086E" w:rsidRDefault="0034086E" w:rsidP="001B1FEA">
            <w:pPr>
              <w:tabs>
                <w:tab w:val="decimal" w:pos="1332"/>
                <w:tab w:val="right" w:pos="9180"/>
              </w:tabs>
            </w:pPr>
            <w:r>
              <w:tab/>
            </w:r>
            <w:r w:rsidR="009B6B9A">
              <w:t>49,006</w:t>
            </w:r>
          </w:p>
        </w:tc>
        <w:tc>
          <w:tcPr>
            <w:tcW w:w="360" w:type="dxa"/>
          </w:tcPr>
          <w:p w14:paraId="5A7A4187" w14:textId="77777777" w:rsidR="0034086E" w:rsidRPr="000D3DC5" w:rsidRDefault="0034086E" w:rsidP="001B1FEA">
            <w:pPr>
              <w:tabs>
                <w:tab w:val="right" w:pos="9180"/>
              </w:tabs>
            </w:pPr>
          </w:p>
        </w:tc>
        <w:tc>
          <w:tcPr>
            <w:tcW w:w="1620" w:type="dxa"/>
          </w:tcPr>
          <w:p w14:paraId="1F30C4B1" w14:textId="237C8D59" w:rsidR="0034086E" w:rsidRDefault="0034086E" w:rsidP="001B1FEA">
            <w:pPr>
              <w:tabs>
                <w:tab w:val="decimal" w:pos="1152"/>
                <w:tab w:val="right" w:pos="9180"/>
              </w:tabs>
            </w:pPr>
            <w:r>
              <w:tab/>
            </w:r>
            <w:r w:rsidR="008258F1">
              <w:t>182,663</w:t>
            </w:r>
          </w:p>
        </w:tc>
      </w:tr>
      <w:tr w:rsidR="0034086E" w:rsidRPr="000D3DC5" w14:paraId="687F69F6" w14:textId="77777777" w:rsidTr="001B1FEA">
        <w:tc>
          <w:tcPr>
            <w:tcW w:w="378" w:type="dxa"/>
          </w:tcPr>
          <w:p w14:paraId="070BE3E1" w14:textId="77777777" w:rsidR="0034086E" w:rsidRPr="000D3DC5" w:rsidRDefault="0034086E" w:rsidP="001B1FEA"/>
        </w:tc>
        <w:tc>
          <w:tcPr>
            <w:tcW w:w="425" w:type="dxa"/>
          </w:tcPr>
          <w:p w14:paraId="6E31E7E8" w14:textId="77777777" w:rsidR="0034086E" w:rsidRPr="000D3DC5" w:rsidRDefault="0034086E" w:rsidP="001B1FEA"/>
        </w:tc>
        <w:tc>
          <w:tcPr>
            <w:tcW w:w="385" w:type="dxa"/>
            <w:gridSpan w:val="2"/>
          </w:tcPr>
          <w:p w14:paraId="0B9A9FD4" w14:textId="77777777" w:rsidR="0034086E" w:rsidRPr="000D3DC5" w:rsidRDefault="0034086E" w:rsidP="001B1FEA"/>
        </w:tc>
        <w:tc>
          <w:tcPr>
            <w:tcW w:w="5220" w:type="dxa"/>
            <w:gridSpan w:val="4"/>
          </w:tcPr>
          <w:p w14:paraId="45F234E6" w14:textId="77777777" w:rsidR="0034086E" w:rsidRPr="000D3DC5" w:rsidRDefault="0034086E" w:rsidP="001B1FEA">
            <w:pPr>
              <w:tabs>
                <w:tab w:val="right" w:pos="9180"/>
              </w:tabs>
            </w:pPr>
            <w:r w:rsidRPr="000D3DC5">
              <w:t xml:space="preserve">Prepaid expenses </w:t>
            </w:r>
            <w:r>
              <w:t>and other current assets</w:t>
            </w:r>
          </w:p>
        </w:tc>
        <w:tc>
          <w:tcPr>
            <w:tcW w:w="1800" w:type="dxa"/>
          </w:tcPr>
          <w:p w14:paraId="77E42DD3" w14:textId="3393290D" w:rsidR="0034086E" w:rsidRPr="000D3DC5" w:rsidRDefault="0034086E" w:rsidP="001B1FEA">
            <w:pPr>
              <w:tabs>
                <w:tab w:val="decimal" w:pos="1332"/>
                <w:tab w:val="right" w:pos="9180"/>
              </w:tabs>
            </w:pPr>
            <w:r>
              <w:tab/>
            </w:r>
            <w:r w:rsidR="009B6B9A">
              <w:t>(939,487)</w:t>
            </w:r>
          </w:p>
        </w:tc>
        <w:tc>
          <w:tcPr>
            <w:tcW w:w="360" w:type="dxa"/>
          </w:tcPr>
          <w:p w14:paraId="07BEE26E" w14:textId="77777777" w:rsidR="0034086E" w:rsidRPr="000D3DC5" w:rsidRDefault="0034086E" w:rsidP="001B1FEA">
            <w:pPr>
              <w:tabs>
                <w:tab w:val="right" w:pos="9180"/>
              </w:tabs>
            </w:pPr>
          </w:p>
        </w:tc>
        <w:tc>
          <w:tcPr>
            <w:tcW w:w="1620" w:type="dxa"/>
          </w:tcPr>
          <w:p w14:paraId="4101434B" w14:textId="655A7868" w:rsidR="0034086E" w:rsidRPr="000D3DC5" w:rsidRDefault="0034086E" w:rsidP="001B1FEA">
            <w:pPr>
              <w:tabs>
                <w:tab w:val="decimal" w:pos="1152"/>
                <w:tab w:val="right" w:pos="9180"/>
              </w:tabs>
            </w:pPr>
            <w:r>
              <w:tab/>
            </w:r>
            <w:r w:rsidR="00AB6F9C">
              <w:t>71,319</w:t>
            </w:r>
          </w:p>
        </w:tc>
      </w:tr>
      <w:tr w:rsidR="009B6B9A" w:rsidRPr="000D3DC5" w14:paraId="379CC29C" w14:textId="77777777" w:rsidTr="001B1FEA">
        <w:tc>
          <w:tcPr>
            <w:tcW w:w="378" w:type="dxa"/>
          </w:tcPr>
          <w:p w14:paraId="6D2739AC" w14:textId="77777777" w:rsidR="009B6B9A" w:rsidRPr="000D3DC5" w:rsidRDefault="009B6B9A" w:rsidP="001B1FEA"/>
        </w:tc>
        <w:tc>
          <w:tcPr>
            <w:tcW w:w="425" w:type="dxa"/>
          </w:tcPr>
          <w:p w14:paraId="14DC6DC1" w14:textId="77777777" w:rsidR="009B6B9A" w:rsidRPr="000D3DC5" w:rsidRDefault="009B6B9A" w:rsidP="001B1FEA"/>
        </w:tc>
        <w:tc>
          <w:tcPr>
            <w:tcW w:w="385" w:type="dxa"/>
            <w:gridSpan w:val="2"/>
          </w:tcPr>
          <w:p w14:paraId="676B38BD" w14:textId="77777777" w:rsidR="009B6B9A" w:rsidRPr="000D3DC5" w:rsidRDefault="009B6B9A" w:rsidP="001B1FEA"/>
        </w:tc>
        <w:tc>
          <w:tcPr>
            <w:tcW w:w="5220" w:type="dxa"/>
            <w:gridSpan w:val="4"/>
          </w:tcPr>
          <w:p w14:paraId="176C8A45" w14:textId="147A29C6" w:rsidR="009B6B9A" w:rsidRPr="000D3DC5" w:rsidRDefault="009B6B9A" w:rsidP="001B1FEA">
            <w:pPr>
              <w:tabs>
                <w:tab w:val="right" w:pos="9180"/>
              </w:tabs>
            </w:pPr>
            <w:r>
              <w:t>Deposits and other assets</w:t>
            </w:r>
          </w:p>
        </w:tc>
        <w:tc>
          <w:tcPr>
            <w:tcW w:w="1800" w:type="dxa"/>
          </w:tcPr>
          <w:p w14:paraId="3A014A37" w14:textId="330D77FA" w:rsidR="009B6B9A" w:rsidRDefault="009B6B9A" w:rsidP="001B1FEA">
            <w:pPr>
              <w:tabs>
                <w:tab w:val="decimal" w:pos="1332"/>
                <w:tab w:val="right" w:pos="9180"/>
              </w:tabs>
            </w:pPr>
            <w:r>
              <w:tab/>
              <w:t>(976,498)</w:t>
            </w:r>
          </w:p>
        </w:tc>
        <w:tc>
          <w:tcPr>
            <w:tcW w:w="360" w:type="dxa"/>
          </w:tcPr>
          <w:p w14:paraId="5E88EEF4" w14:textId="77777777" w:rsidR="009B6B9A" w:rsidRPr="000D3DC5" w:rsidRDefault="009B6B9A" w:rsidP="001B1FEA">
            <w:pPr>
              <w:tabs>
                <w:tab w:val="right" w:pos="9180"/>
              </w:tabs>
            </w:pPr>
          </w:p>
        </w:tc>
        <w:tc>
          <w:tcPr>
            <w:tcW w:w="1620" w:type="dxa"/>
          </w:tcPr>
          <w:p w14:paraId="4643F1B7" w14:textId="4C34B461" w:rsidR="009B6B9A" w:rsidRDefault="009B6B9A" w:rsidP="001B1FEA">
            <w:pPr>
              <w:tabs>
                <w:tab w:val="decimal" w:pos="1152"/>
                <w:tab w:val="right" w:pos="9180"/>
              </w:tabs>
            </w:pPr>
            <w:r>
              <w:tab/>
              <w:t>-</w:t>
            </w:r>
          </w:p>
        </w:tc>
      </w:tr>
      <w:tr w:rsidR="0034086E" w:rsidRPr="000D3DC5" w14:paraId="76275798" w14:textId="77777777" w:rsidTr="001B1FEA">
        <w:tc>
          <w:tcPr>
            <w:tcW w:w="378" w:type="dxa"/>
          </w:tcPr>
          <w:p w14:paraId="7B10FAC6" w14:textId="77777777" w:rsidR="0034086E" w:rsidRPr="000D3DC5" w:rsidRDefault="0034086E" w:rsidP="001B1FEA"/>
        </w:tc>
        <w:tc>
          <w:tcPr>
            <w:tcW w:w="425" w:type="dxa"/>
          </w:tcPr>
          <w:p w14:paraId="55717A29" w14:textId="77777777" w:rsidR="0034086E" w:rsidRPr="000D3DC5" w:rsidRDefault="0034086E" w:rsidP="001B1FEA"/>
        </w:tc>
        <w:tc>
          <w:tcPr>
            <w:tcW w:w="385" w:type="dxa"/>
            <w:gridSpan w:val="2"/>
          </w:tcPr>
          <w:p w14:paraId="7D685706" w14:textId="77777777" w:rsidR="0034086E" w:rsidRPr="000D3DC5" w:rsidRDefault="0034086E" w:rsidP="001B1FEA"/>
        </w:tc>
        <w:tc>
          <w:tcPr>
            <w:tcW w:w="5220" w:type="dxa"/>
            <w:gridSpan w:val="4"/>
          </w:tcPr>
          <w:p w14:paraId="26DF831B" w14:textId="77777777" w:rsidR="0034086E" w:rsidRPr="000D3DC5" w:rsidRDefault="0034086E" w:rsidP="001B1FEA">
            <w:pPr>
              <w:tabs>
                <w:tab w:val="right" w:pos="9180"/>
              </w:tabs>
            </w:pPr>
            <w:r>
              <w:t>Accounts payable and accrued expenses</w:t>
            </w:r>
          </w:p>
        </w:tc>
        <w:tc>
          <w:tcPr>
            <w:tcW w:w="1800" w:type="dxa"/>
          </w:tcPr>
          <w:p w14:paraId="67B57B72" w14:textId="6D3DC28E" w:rsidR="0034086E" w:rsidRDefault="0034086E" w:rsidP="001B1FEA">
            <w:pPr>
              <w:tabs>
                <w:tab w:val="decimal" w:pos="1332"/>
                <w:tab w:val="right" w:pos="9180"/>
              </w:tabs>
            </w:pPr>
            <w:r>
              <w:tab/>
            </w:r>
            <w:r w:rsidR="009B6B9A">
              <w:t>(2,</w:t>
            </w:r>
            <w:r w:rsidR="00E451B0">
              <w:t>067,492</w:t>
            </w:r>
            <w:r w:rsidR="009B6B9A">
              <w:t>)</w:t>
            </w:r>
          </w:p>
        </w:tc>
        <w:tc>
          <w:tcPr>
            <w:tcW w:w="360" w:type="dxa"/>
          </w:tcPr>
          <w:p w14:paraId="384DC00C" w14:textId="77777777" w:rsidR="0034086E" w:rsidRPr="000D3DC5" w:rsidRDefault="0034086E" w:rsidP="001B1FEA">
            <w:pPr>
              <w:tabs>
                <w:tab w:val="right" w:pos="9180"/>
              </w:tabs>
            </w:pPr>
          </w:p>
        </w:tc>
        <w:tc>
          <w:tcPr>
            <w:tcW w:w="1620" w:type="dxa"/>
          </w:tcPr>
          <w:p w14:paraId="19CD5AF6" w14:textId="085A94DD" w:rsidR="0034086E" w:rsidRDefault="0034086E" w:rsidP="001B1FEA">
            <w:pPr>
              <w:tabs>
                <w:tab w:val="decimal" w:pos="1152"/>
                <w:tab w:val="right" w:pos="9180"/>
              </w:tabs>
            </w:pPr>
            <w:r>
              <w:tab/>
            </w:r>
            <w:r w:rsidR="008258F1">
              <w:t>(266,105)</w:t>
            </w:r>
          </w:p>
        </w:tc>
      </w:tr>
      <w:tr w:rsidR="0034086E" w:rsidRPr="000D3DC5" w14:paraId="58C7AB9A" w14:textId="77777777" w:rsidTr="001B1FEA">
        <w:tc>
          <w:tcPr>
            <w:tcW w:w="378" w:type="dxa"/>
          </w:tcPr>
          <w:p w14:paraId="5E586651" w14:textId="77777777" w:rsidR="0034086E" w:rsidRPr="000D3DC5" w:rsidRDefault="0034086E" w:rsidP="001B1FEA"/>
        </w:tc>
        <w:tc>
          <w:tcPr>
            <w:tcW w:w="425" w:type="dxa"/>
          </w:tcPr>
          <w:p w14:paraId="005A1443" w14:textId="77777777" w:rsidR="0034086E" w:rsidRPr="000D3DC5" w:rsidRDefault="0034086E" w:rsidP="001B1FEA"/>
        </w:tc>
        <w:tc>
          <w:tcPr>
            <w:tcW w:w="385" w:type="dxa"/>
            <w:gridSpan w:val="2"/>
          </w:tcPr>
          <w:p w14:paraId="1AC7F1DC" w14:textId="77777777" w:rsidR="0034086E" w:rsidRPr="000D3DC5" w:rsidRDefault="0034086E" w:rsidP="001B1FEA"/>
        </w:tc>
        <w:tc>
          <w:tcPr>
            <w:tcW w:w="3665" w:type="dxa"/>
            <w:gridSpan w:val="3"/>
          </w:tcPr>
          <w:p w14:paraId="03963C26" w14:textId="77777777" w:rsidR="0034086E" w:rsidRPr="000D3DC5" w:rsidRDefault="0034086E" w:rsidP="001B1FEA">
            <w:r w:rsidRPr="000D3DC5">
              <w:t>Total adjustments</w:t>
            </w:r>
          </w:p>
        </w:tc>
        <w:tc>
          <w:tcPr>
            <w:tcW w:w="1555" w:type="dxa"/>
          </w:tcPr>
          <w:p w14:paraId="358E3AA6" w14:textId="77777777" w:rsidR="0034086E" w:rsidRPr="000D3DC5" w:rsidRDefault="0034086E" w:rsidP="001B1FEA">
            <w:pPr>
              <w:tabs>
                <w:tab w:val="right" w:pos="9180"/>
              </w:tabs>
            </w:pPr>
          </w:p>
        </w:tc>
        <w:tc>
          <w:tcPr>
            <w:tcW w:w="1800" w:type="dxa"/>
            <w:tcBorders>
              <w:top w:val="single" w:sz="4" w:space="0" w:color="auto"/>
              <w:bottom w:val="single" w:sz="4" w:space="0" w:color="auto"/>
            </w:tcBorders>
          </w:tcPr>
          <w:p w14:paraId="2C6CB8AA" w14:textId="4B73CAC1" w:rsidR="0034086E" w:rsidRPr="000D3DC5" w:rsidRDefault="0034086E" w:rsidP="001B1FEA">
            <w:pPr>
              <w:tabs>
                <w:tab w:val="decimal" w:pos="1332"/>
                <w:tab w:val="right" w:pos="9180"/>
              </w:tabs>
            </w:pPr>
            <w:r>
              <w:tab/>
            </w:r>
            <w:r w:rsidR="009B6B9A">
              <w:t>(3,</w:t>
            </w:r>
            <w:r w:rsidR="00E451B0">
              <w:t>497,604</w:t>
            </w:r>
            <w:r w:rsidR="009B6B9A">
              <w:t>)</w:t>
            </w:r>
          </w:p>
        </w:tc>
        <w:tc>
          <w:tcPr>
            <w:tcW w:w="360" w:type="dxa"/>
          </w:tcPr>
          <w:p w14:paraId="61F51ABC" w14:textId="77777777" w:rsidR="0034086E" w:rsidRPr="000D3DC5" w:rsidRDefault="0034086E" w:rsidP="001B1FEA">
            <w:pPr>
              <w:tabs>
                <w:tab w:val="right" w:pos="9180"/>
              </w:tabs>
            </w:pPr>
          </w:p>
        </w:tc>
        <w:tc>
          <w:tcPr>
            <w:tcW w:w="1620" w:type="dxa"/>
            <w:tcBorders>
              <w:top w:val="single" w:sz="4" w:space="0" w:color="auto"/>
              <w:bottom w:val="single" w:sz="4" w:space="0" w:color="auto"/>
            </w:tcBorders>
          </w:tcPr>
          <w:p w14:paraId="130F9B5B" w14:textId="787DA2B9" w:rsidR="0034086E" w:rsidRPr="000D3DC5" w:rsidRDefault="0034086E" w:rsidP="001B1FEA">
            <w:pPr>
              <w:tabs>
                <w:tab w:val="decimal" w:pos="1152"/>
                <w:tab w:val="right" w:pos="9180"/>
              </w:tabs>
            </w:pPr>
            <w:r>
              <w:tab/>
            </w:r>
            <w:r w:rsidR="008258F1">
              <w:t>(2,755)</w:t>
            </w:r>
          </w:p>
        </w:tc>
      </w:tr>
      <w:tr w:rsidR="0034086E" w:rsidRPr="000D3DC5" w14:paraId="6DD4D47A" w14:textId="77777777" w:rsidTr="001B1FEA">
        <w:tc>
          <w:tcPr>
            <w:tcW w:w="378" w:type="dxa"/>
          </w:tcPr>
          <w:p w14:paraId="7F0F1FF6" w14:textId="77777777" w:rsidR="0034086E" w:rsidRPr="000D3DC5" w:rsidRDefault="0034086E" w:rsidP="001B1FEA">
            <w:bookmarkStart w:id="14" w:name="_Hlk75513912"/>
          </w:p>
        </w:tc>
        <w:tc>
          <w:tcPr>
            <w:tcW w:w="4475" w:type="dxa"/>
            <w:gridSpan w:val="6"/>
          </w:tcPr>
          <w:p w14:paraId="024A2B97" w14:textId="77777777" w:rsidR="0034086E" w:rsidRPr="000D3DC5" w:rsidRDefault="0034086E" w:rsidP="001B1FEA">
            <w:r>
              <w:t>Net cash used in operating activities</w:t>
            </w:r>
          </w:p>
        </w:tc>
        <w:tc>
          <w:tcPr>
            <w:tcW w:w="1555" w:type="dxa"/>
          </w:tcPr>
          <w:p w14:paraId="7276DFD9" w14:textId="77777777" w:rsidR="0034086E" w:rsidRPr="000D3DC5" w:rsidRDefault="0034086E" w:rsidP="001B1FEA">
            <w:pPr>
              <w:tabs>
                <w:tab w:val="right" w:pos="9180"/>
              </w:tabs>
            </w:pPr>
          </w:p>
        </w:tc>
        <w:tc>
          <w:tcPr>
            <w:tcW w:w="1800" w:type="dxa"/>
            <w:tcBorders>
              <w:top w:val="single" w:sz="4" w:space="0" w:color="auto"/>
            </w:tcBorders>
          </w:tcPr>
          <w:p w14:paraId="5576772D" w14:textId="377700EF" w:rsidR="0034086E" w:rsidRDefault="0034086E" w:rsidP="001B1FEA">
            <w:pPr>
              <w:tabs>
                <w:tab w:val="decimal" w:pos="1332"/>
                <w:tab w:val="right" w:pos="9180"/>
              </w:tabs>
            </w:pPr>
            <w:r>
              <w:tab/>
            </w:r>
            <w:r w:rsidR="009B6B9A">
              <w:t>(8,166,818)</w:t>
            </w:r>
          </w:p>
        </w:tc>
        <w:tc>
          <w:tcPr>
            <w:tcW w:w="360" w:type="dxa"/>
          </w:tcPr>
          <w:p w14:paraId="3CC6E71E" w14:textId="77777777" w:rsidR="0034086E" w:rsidRPr="000D3DC5" w:rsidRDefault="0034086E" w:rsidP="001B1FEA">
            <w:pPr>
              <w:tabs>
                <w:tab w:val="right" w:pos="9180"/>
              </w:tabs>
            </w:pPr>
          </w:p>
        </w:tc>
        <w:tc>
          <w:tcPr>
            <w:tcW w:w="1620" w:type="dxa"/>
            <w:tcBorders>
              <w:top w:val="single" w:sz="4" w:space="0" w:color="auto"/>
            </w:tcBorders>
          </w:tcPr>
          <w:p w14:paraId="359D47B6" w14:textId="6ECB3900" w:rsidR="0034086E" w:rsidRDefault="0034086E" w:rsidP="001B1FEA">
            <w:pPr>
              <w:tabs>
                <w:tab w:val="decimal" w:pos="1152"/>
                <w:tab w:val="right" w:pos="9180"/>
              </w:tabs>
            </w:pPr>
            <w:r>
              <w:tab/>
              <w:t>(</w:t>
            </w:r>
            <w:r w:rsidR="008258F1">
              <w:t>2,879,566</w:t>
            </w:r>
            <w:r>
              <w:t>)</w:t>
            </w:r>
          </w:p>
        </w:tc>
      </w:tr>
      <w:bookmarkEnd w:id="14"/>
      <w:tr w:rsidR="0034086E" w:rsidRPr="000D3DC5" w14:paraId="6FC27E93" w14:textId="77777777" w:rsidTr="001B1FEA">
        <w:tc>
          <w:tcPr>
            <w:tcW w:w="378" w:type="dxa"/>
          </w:tcPr>
          <w:p w14:paraId="18E8317A" w14:textId="77777777" w:rsidR="0034086E" w:rsidRPr="000D3DC5" w:rsidRDefault="0034086E" w:rsidP="001B1FEA"/>
        </w:tc>
        <w:tc>
          <w:tcPr>
            <w:tcW w:w="425" w:type="dxa"/>
          </w:tcPr>
          <w:p w14:paraId="1EBED131" w14:textId="77777777" w:rsidR="0034086E" w:rsidRPr="000D3DC5" w:rsidRDefault="0034086E" w:rsidP="001B1FEA"/>
        </w:tc>
        <w:tc>
          <w:tcPr>
            <w:tcW w:w="789" w:type="dxa"/>
            <w:gridSpan w:val="3"/>
          </w:tcPr>
          <w:p w14:paraId="196BFD4D" w14:textId="77777777" w:rsidR="0034086E" w:rsidRPr="000D3DC5" w:rsidRDefault="0034086E" w:rsidP="001B1FEA"/>
        </w:tc>
        <w:tc>
          <w:tcPr>
            <w:tcW w:w="620" w:type="dxa"/>
          </w:tcPr>
          <w:p w14:paraId="5EE124CC" w14:textId="77777777" w:rsidR="0034086E" w:rsidRPr="000D3DC5" w:rsidRDefault="0034086E" w:rsidP="001B1FEA"/>
        </w:tc>
        <w:tc>
          <w:tcPr>
            <w:tcW w:w="2641" w:type="dxa"/>
          </w:tcPr>
          <w:p w14:paraId="7E4D9E4A" w14:textId="77777777" w:rsidR="0034086E" w:rsidRPr="000D3DC5" w:rsidRDefault="0034086E" w:rsidP="001B1FEA"/>
        </w:tc>
        <w:tc>
          <w:tcPr>
            <w:tcW w:w="1555" w:type="dxa"/>
          </w:tcPr>
          <w:p w14:paraId="02BE8A94" w14:textId="77777777" w:rsidR="0034086E" w:rsidRPr="000D3DC5" w:rsidRDefault="0034086E" w:rsidP="001B1FEA">
            <w:pPr>
              <w:tabs>
                <w:tab w:val="right" w:pos="9180"/>
              </w:tabs>
            </w:pPr>
          </w:p>
        </w:tc>
        <w:tc>
          <w:tcPr>
            <w:tcW w:w="1800" w:type="dxa"/>
          </w:tcPr>
          <w:p w14:paraId="62D6EF75" w14:textId="77777777" w:rsidR="0034086E" w:rsidRPr="000D3DC5" w:rsidRDefault="0034086E" w:rsidP="001B1FEA">
            <w:pPr>
              <w:tabs>
                <w:tab w:val="decimal" w:pos="1044"/>
                <w:tab w:val="decimal" w:pos="1332"/>
                <w:tab w:val="right" w:pos="9180"/>
              </w:tabs>
            </w:pPr>
          </w:p>
        </w:tc>
        <w:tc>
          <w:tcPr>
            <w:tcW w:w="360" w:type="dxa"/>
          </w:tcPr>
          <w:p w14:paraId="6AAD5556" w14:textId="77777777" w:rsidR="0034086E" w:rsidRPr="000D3DC5" w:rsidRDefault="0034086E" w:rsidP="001B1FEA">
            <w:pPr>
              <w:tabs>
                <w:tab w:val="right" w:pos="9180"/>
              </w:tabs>
            </w:pPr>
          </w:p>
        </w:tc>
        <w:tc>
          <w:tcPr>
            <w:tcW w:w="1620" w:type="dxa"/>
          </w:tcPr>
          <w:p w14:paraId="16AFC26D" w14:textId="77777777" w:rsidR="0034086E" w:rsidRPr="000D3DC5" w:rsidRDefault="0034086E" w:rsidP="001B1FEA">
            <w:pPr>
              <w:tabs>
                <w:tab w:val="decimal" w:pos="1044"/>
                <w:tab w:val="right" w:pos="9180"/>
              </w:tabs>
            </w:pPr>
          </w:p>
        </w:tc>
      </w:tr>
      <w:tr w:rsidR="0034086E" w:rsidRPr="000D3DC5" w14:paraId="150762DF" w14:textId="77777777" w:rsidTr="001B1FEA">
        <w:tc>
          <w:tcPr>
            <w:tcW w:w="4853" w:type="dxa"/>
            <w:gridSpan w:val="7"/>
          </w:tcPr>
          <w:p w14:paraId="137EC956" w14:textId="77777777" w:rsidR="0034086E" w:rsidRPr="000D3DC5" w:rsidRDefault="0034086E" w:rsidP="001B1FEA">
            <w:r>
              <w:t>Cash flows from investing activities</w:t>
            </w:r>
          </w:p>
        </w:tc>
        <w:tc>
          <w:tcPr>
            <w:tcW w:w="1555" w:type="dxa"/>
          </w:tcPr>
          <w:p w14:paraId="01FEAC82" w14:textId="77777777" w:rsidR="0034086E" w:rsidRPr="000D3DC5" w:rsidRDefault="0034086E" w:rsidP="001B1FEA">
            <w:pPr>
              <w:tabs>
                <w:tab w:val="right" w:pos="9180"/>
              </w:tabs>
            </w:pPr>
          </w:p>
        </w:tc>
        <w:tc>
          <w:tcPr>
            <w:tcW w:w="1800" w:type="dxa"/>
          </w:tcPr>
          <w:p w14:paraId="222C968C" w14:textId="77777777" w:rsidR="0034086E" w:rsidRPr="000D3DC5" w:rsidRDefault="0034086E" w:rsidP="001B1FEA">
            <w:pPr>
              <w:tabs>
                <w:tab w:val="decimal" w:pos="1332"/>
                <w:tab w:val="right" w:pos="9180"/>
              </w:tabs>
            </w:pPr>
          </w:p>
        </w:tc>
        <w:tc>
          <w:tcPr>
            <w:tcW w:w="360" w:type="dxa"/>
          </w:tcPr>
          <w:p w14:paraId="23984FDB" w14:textId="77777777" w:rsidR="0034086E" w:rsidRPr="000D3DC5" w:rsidRDefault="0034086E" w:rsidP="001B1FEA">
            <w:pPr>
              <w:tabs>
                <w:tab w:val="right" w:pos="9180"/>
              </w:tabs>
            </w:pPr>
          </w:p>
        </w:tc>
        <w:tc>
          <w:tcPr>
            <w:tcW w:w="1620" w:type="dxa"/>
          </w:tcPr>
          <w:p w14:paraId="253C4A9E" w14:textId="77777777" w:rsidR="0034086E" w:rsidRPr="000D3DC5" w:rsidRDefault="0034086E" w:rsidP="001B1FEA">
            <w:pPr>
              <w:tabs>
                <w:tab w:val="decimal" w:pos="1152"/>
                <w:tab w:val="right" w:pos="9180"/>
              </w:tabs>
            </w:pPr>
          </w:p>
        </w:tc>
      </w:tr>
      <w:tr w:rsidR="0034086E" w:rsidRPr="000D3DC5" w14:paraId="545137F2" w14:textId="77777777" w:rsidTr="001B1FEA">
        <w:tc>
          <w:tcPr>
            <w:tcW w:w="378" w:type="dxa"/>
          </w:tcPr>
          <w:p w14:paraId="5768C5D3" w14:textId="77777777" w:rsidR="0034086E" w:rsidRPr="000D3DC5" w:rsidRDefault="0034086E" w:rsidP="001B1FEA"/>
        </w:tc>
        <w:tc>
          <w:tcPr>
            <w:tcW w:w="4475" w:type="dxa"/>
            <w:gridSpan w:val="6"/>
          </w:tcPr>
          <w:p w14:paraId="697A0E0F" w14:textId="77777777" w:rsidR="0034086E" w:rsidRPr="000D3DC5" w:rsidRDefault="0034086E" w:rsidP="001B1FEA">
            <w:r>
              <w:t>Purchase of equipment</w:t>
            </w:r>
          </w:p>
        </w:tc>
        <w:tc>
          <w:tcPr>
            <w:tcW w:w="1555" w:type="dxa"/>
          </w:tcPr>
          <w:p w14:paraId="0A7A508F" w14:textId="77777777" w:rsidR="0034086E" w:rsidRPr="000D3DC5" w:rsidRDefault="0034086E" w:rsidP="001B1FEA">
            <w:pPr>
              <w:tabs>
                <w:tab w:val="right" w:pos="9180"/>
              </w:tabs>
            </w:pPr>
          </w:p>
        </w:tc>
        <w:tc>
          <w:tcPr>
            <w:tcW w:w="1800" w:type="dxa"/>
            <w:tcBorders>
              <w:bottom w:val="single" w:sz="4" w:space="0" w:color="auto"/>
            </w:tcBorders>
          </w:tcPr>
          <w:p w14:paraId="11714223" w14:textId="2B9DE0F6" w:rsidR="0034086E" w:rsidRDefault="0034086E" w:rsidP="001B1FEA">
            <w:pPr>
              <w:tabs>
                <w:tab w:val="decimal" w:pos="1332"/>
                <w:tab w:val="right" w:pos="9180"/>
              </w:tabs>
            </w:pPr>
            <w:r>
              <w:tab/>
            </w:r>
            <w:r w:rsidR="0085600A">
              <w:t>(82,383)</w:t>
            </w:r>
          </w:p>
        </w:tc>
        <w:tc>
          <w:tcPr>
            <w:tcW w:w="360" w:type="dxa"/>
          </w:tcPr>
          <w:p w14:paraId="4102F76E" w14:textId="77777777" w:rsidR="0034086E" w:rsidRPr="000D3DC5" w:rsidRDefault="0034086E" w:rsidP="001B1FEA">
            <w:pPr>
              <w:pStyle w:val="ListParagraph"/>
              <w:numPr>
                <w:ilvl w:val="0"/>
                <w:numId w:val="6"/>
              </w:numPr>
              <w:tabs>
                <w:tab w:val="right" w:pos="9180"/>
              </w:tabs>
            </w:pPr>
          </w:p>
        </w:tc>
        <w:tc>
          <w:tcPr>
            <w:tcW w:w="1620" w:type="dxa"/>
            <w:tcBorders>
              <w:bottom w:val="single" w:sz="4" w:space="0" w:color="auto"/>
            </w:tcBorders>
          </w:tcPr>
          <w:p w14:paraId="29DB1213" w14:textId="7FD6E31A" w:rsidR="0034086E" w:rsidRDefault="0034086E" w:rsidP="001B1FEA">
            <w:pPr>
              <w:tabs>
                <w:tab w:val="decimal" w:pos="1152"/>
                <w:tab w:val="right" w:pos="9180"/>
              </w:tabs>
            </w:pPr>
            <w:r>
              <w:tab/>
            </w:r>
            <w:r w:rsidR="008258F1">
              <w:t>(19,929)</w:t>
            </w:r>
          </w:p>
        </w:tc>
      </w:tr>
      <w:tr w:rsidR="0034086E" w:rsidRPr="000D3DC5" w14:paraId="5F6D8FEA" w14:textId="77777777" w:rsidTr="001B1FEA">
        <w:tc>
          <w:tcPr>
            <w:tcW w:w="378" w:type="dxa"/>
          </w:tcPr>
          <w:p w14:paraId="4ADC1EF9" w14:textId="77777777" w:rsidR="0034086E" w:rsidRPr="000D3DC5" w:rsidRDefault="0034086E" w:rsidP="001B1FEA"/>
        </w:tc>
        <w:tc>
          <w:tcPr>
            <w:tcW w:w="4475" w:type="dxa"/>
            <w:gridSpan w:val="6"/>
          </w:tcPr>
          <w:p w14:paraId="799D0B0C" w14:textId="77777777" w:rsidR="0034086E" w:rsidRPr="000D3DC5" w:rsidRDefault="0034086E" w:rsidP="001B1FEA">
            <w:r>
              <w:t>Net cash used in investing activities</w:t>
            </w:r>
          </w:p>
        </w:tc>
        <w:tc>
          <w:tcPr>
            <w:tcW w:w="1555" w:type="dxa"/>
          </w:tcPr>
          <w:p w14:paraId="18BDCE56" w14:textId="77777777" w:rsidR="0034086E" w:rsidRPr="000D3DC5" w:rsidRDefault="0034086E" w:rsidP="001B1FEA">
            <w:pPr>
              <w:tabs>
                <w:tab w:val="right" w:pos="9180"/>
              </w:tabs>
            </w:pPr>
          </w:p>
        </w:tc>
        <w:tc>
          <w:tcPr>
            <w:tcW w:w="1800" w:type="dxa"/>
            <w:tcBorders>
              <w:top w:val="single" w:sz="4" w:space="0" w:color="auto"/>
            </w:tcBorders>
          </w:tcPr>
          <w:p w14:paraId="44A18033" w14:textId="7781CF27" w:rsidR="0034086E" w:rsidRDefault="0034086E" w:rsidP="001B1FEA">
            <w:pPr>
              <w:tabs>
                <w:tab w:val="decimal" w:pos="1332"/>
                <w:tab w:val="right" w:pos="9180"/>
              </w:tabs>
            </w:pPr>
            <w:r>
              <w:tab/>
            </w:r>
            <w:r w:rsidR="00B91D47">
              <w:t>(82,383)</w:t>
            </w:r>
          </w:p>
        </w:tc>
        <w:tc>
          <w:tcPr>
            <w:tcW w:w="360" w:type="dxa"/>
          </w:tcPr>
          <w:p w14:paraId="02BFFEE5" w14:textId="77777777" w:rsidR="0034086E" w:rsidRPr="000D3DC5" w:rsidRDefault="0034086E" w:rsidP="001B1FEA">
            <w:pPr>
              <w:tabs>
                <w:tab w:val="right" w:pos="9180"/>
              </w:tabs>
            </w:pPr>
          </w:p>
        </w:tc>
        <w:tc>
          <w:tcPr>
            <w:tcW w:w="1620" w:type="dxa"/>
            <w:tcBorders>
              <w:top w:val="single" w:sz="4" w:space="0" w:color="auto"/>
            </w:tcBorders>
          </w:tcPr>
          <w:p w14:paraId="1AA24CEB" w14:textId="3BDD9F3D" w:rsidR="0034086E" w:rsidRDefault="0034086E" w:rsidP="001B1FEA">
            <w:pPr>
              <w:tabs>
                <w:tab w:val="decimal" w:pos="1152"/>
                <w:tab w:val="right" w:pos="9180"/>
              </w:tabs>
            </w:pPr>
            <w:r>
              <w:tab/>
            </w:r>
            <w:r w:rsidR="008258F1">
              <w:t>(19,929)</w:t>
            </w:r>
          </w:p>
        </w:tc>
      </w:tr>
      <w:tr w:rsidR="0034086E" w:rsidRPr="000D3DC5" w14:paraId="3C545F52" w14:textId="77777777" w:rsidTr="001B1FEA">
        <w:tc>
          <w:tcPr>
            <w:tcW w:w="378" w:type="dxa"/>
          </w:tcPr>
          <w:p w14:paraId="0936EBDD" w14:textId="77777777" w:rsidR="0034086E" w:rsidRPr="000D3DC5" w:rsidRDefault="0034086E" w:rsidP="001B1FEA"/>
        </w:tc>
        <w:tc>
          <w:tcPr>
            <w:tcW w:w="4475" w:type="dxa"/>
            <w:gridSpan w:val="6"/>
          </w:tcPr>
          <w:p w14:paraId="1B032753" w14:textId="77777777" w:rsidR="0034086E" w:rsidRDefault="0034086E" w:rsidP="001B1FEA"/>
        </w:tc>
        <w:tc>
          <w:tcPr>
            <w:tcW w:w="1555" w:type="dxa"/>
          </w:tcPr>
          <w:p w14:paraId="63084ACE" w14:textId="77777777" w:rsidR="0034086E" w:rsidRPr="000D3DC5" w:rsidRDefault="0034086E" w:rsidP="001B1FEA">
            <w:pPr>
              <w:tabs>
                <w:tab w:val="right" w:pos="9180"/>
              </w:tabs>
            </w:pPr>
          </w:p>
        </w:tc>
        <w:tc>
          <w:tcPr>
            <w:tcW w:w="1800" w:type="dxa"/>
          </w:tcPr>
          <w:p w14:paraId="502AAEC1" w14:textId="77777777" w:rsidR="0034086E" w:rsidRDefault="0034086E" w:rsidP="001B1FEA">
            <w:pPr>
              <w:tabs>
                <w:tab w:val="decimal" w:pos="1332"/>
                <w:tab w:val="right" w:pos="9180"/>
              </w:tabs>
            </w:pPr>
          </w:p>
        </w:tc>
        <w:tc>
          <w:tcPr>
            <w:tcW w:w="360" w:type="dxa"/>
          </w:tcPr>
          <w:p w14:paraId="107F0DDD" w14:textId="77777777" w:rsidR="0034086E" w:rsidRPr="000D3DC5" w:rsidRDefault="0034086E" w:rsidP="001B1FEA">
            <w:pPr>
              <w:tabs>
                <w:tab w:val="right" w:pos="9180"/>
              </w:tabs>
            </w:pPr>
          </w:p>
        </w:tc>
        <w:tc>
          <w:tcPr>
            <w:tcW w:w="1620" w:type="dxa"/>
          </w:tcPr>
          <w:p w14:paraId="75439267" w14:textId="77777777" w:rsidR="0034086E" w:rsidRDefault="0034086E" w:rsidP="001B1FEA">
            <w:pPr>
              <w:tabs>
                <w:tab w:val="decimal" w:pos="1152"/>
                <w:tab w:val="right" w:pos="9180"/>
              </w:tabs>
            </w:pPr>
          </w:p>
        </w:tc>
      </w:tr>
      <w:tr w:rsidR="0034086E" w:rsidRPr="000D3DC5" w14:paraId="550BA28F" w14:textId="77777777" w:rsidTr="001B1FEA">
        <w:tc>
          <w:tcPr>
            <w:tcW w:w="4853" w:type="dxa"/>
            <w:gridSpan w:val="7"/>
          </w:tcPr>
          <w:p w14:paraId="0BD9A7D5" w14:textId="77777777" w:rsidR="0034086E" w:rsidRPr="000D3DC5" w:rsidRDefault="0034086E" w:rsidP="001B1FEA">
            <w:r w:rsidRPr="000D3DC5">
              <w:t>Cash flows from financing activities:</w:t>
            </w:r>
          </w:p>
        </w:tc>
        <w:tc>
          <w:tcPr>
            <w:tcW w:w="1555" w:type="dxa"/>
          </w:tcPr>
          <w:p w14:paraId="38083E17" w14:textId="77777777" w:rsidR="0034086E" w:rsidRPr="000D3DC5" w:rsidRDefault="0034086E" w:rsidP="001B1FEA">
            <w:pPr>
              <w:tabs>
                <w:tab w:val="right" w:pos="9180"/>
              </w:tabs>
            </w:pPr>
          </w:p>
        </w:tc>
        <w:tc>
          <w:tcPr>
            <w:tcW w:w="1800" w:type="dxa"/>
          </w:tcPr>
          <w:p w14:paraId="2F42DC89" w14:textId="77777777" w:rsidR="0034086E" w:rsidRPr="000D3DC5" w:rsidRDefault="0034086E" w:rsidP="001B1FEA">
            <w:pPr>
              <w:tabs>
                <w:tab w:val="decimal" w:pos="1044"/>
                <w:tab w:val="decimal" w:pos="1332"/>
                <w:tab w:val="right" w:pos="9180"/>
              </w:tabs>
            </w:pPr>
          </w:p>
        </w:tc>
        <w:tc>
          <w:tcPr>
            <w:tcW w:w="360" w:type="dxa"/>
          </w:tcPr>
          <w:p w14:paraId="331347FD" w14:textId="77777777" w:rsidR="0034086E" w:rsidRPr="000D3DC5" w:rsidRDefault="0034086E" w:rsidP="001B1FEA">
            <w:pPr>
              <w:tabs>
                <w:tab w:val="right" w:pos="9180"/>
              </w:tabs>
            </w:pPr>
          </w:p>
        </w:tc>
        <w:tc>
          <w:tcPr>
            <w:tcW w:w="1620" w:type="dxa"/>
          </w:tcPr>
          <w:p w14:paraId="05BD950C" w14:textId="77777777" w:rsidR="0034086E" w:rsidRPr="000D3DC5" w:rsidRDefault="0034086E" w:rsidP="001B1FEA">
            <w:pPr>
              <w:tabs>
                <w:tab w:val="decimal" w:pos="1044"/>
                <w:tab w:val="right" w:pos="9180"/>
              </w:tabs>
            </w:pPr>
          </w:p>
        </w:tc>
      </w:tr>
      <w:tr w:rsidR="0034086E" w:rsidRPr="000D3DC5" w14:paraId="367BC5F9" w14:textId="77777777" w:rsidTr="001B1FEA">
        <w:tc>
          <w:tcPr>
            <w:tcW w:w="378" w:type="dxa"/>
          </w:tcPr>
          <w:p w14:paraId="3A682071" w14:textId="77777777" w:rsidR="0034086E" w:rsidRPr="000D3DC5" w:rsidRDefault="0034086E" w:rsidP="001B1FEA"/>
        </w:tc>
        <w:tc>
          <w:tcPr>
            <w:tcW w:w="4475" w:type="dxa"/>
            <w:gridSpan w:val="6"/>
          </w:tcPr>
          <w:p w14:paraId="47B15662" w14:textId="77777777" w:rsidR="0034086E" w:rsidRDefault="0034086E" w:rsidP="001B1FEA">
            <w:r>
              <w:t>Net proceeds from sale of common stock</w:t>
            </w:r>
          </w:p>
        </w:tc>
        <w:tc>
          <w:tcPr>
            <w:tcW w:w="1555" w:type="dxa"/>
          </w:tcPr>
          <w:p w14:paraId="794BC471" w14:textId="77777777" w:rsidR="0034086E" w:rsidRPr="000D3DC5" w:rsidRDefault="0034086E" w:rsidP="001B1FEA">
            <w:pPr>
              <w:tabs>
                <w:tab w:val="right" w:pos="9180"/>
              </w:tabs>
            </w:pPr>
          </w:p>
        </w:tc>
        <w:tc>
          <w:tcPr>
            <w:tcW w:w="1800" w:type="dxa"/>
          </w:tcPr>
          <w:p w14:paraId="6ABC10E5" w14:textId="21E52933" w:rsidR="0034086E" w:rsidRDefault="0034086E" w:rsidP="001B1FEA">
            <w:pPr>
              <w:tabs>
                <w:tab w:val="decimal" w:pos="1332"/>
                <w:tab w:val="right" w:pos="9180"/>
              </w:tabs>
            </w:pPr>
            <w:r>
              <w:tab/>
            </w:r>
            <w:r w:rsidR="00B91D47">
              <w:t>27,727,194</w:t>
            </w:r>
          </w:p>
        </w:tc>
        <w:tc>
          <w:tcPr>
            <w:tcW w:w="360" w:type="dxa"/>
          </w:tcPr>
          <w:p w14:paraId="4BE1061F" w14:textId="77777777" w:rsidR="0034086E" w:rsidRPr="000D3DC5" w:rsidRDefault="0034086E" w:rsidP="001B1FEA">
            <w:pPr>
              <w:pStyle w:val="ListParagraph"/>
              <w:numPr>
                <w:ilvl w:val="0"/>
                <w:numId w:val="6"/>
              </w:numPr>
              <w:tabs>
                <w:tab w:val="right" w:pos="9180"/>
              </w:tabs>
            </w:pPr>
          </w:p>
        </w:tc>
        <w:tc>
          <w:tcPr>
            <w:tcW w:w="1620" w:type="dxa"/>
          </w:tcPr>
          <w:p w14:paraId="12B4A071" w14:textId="4BD5F9C9" w:rsidR="0034086E" w:rsidRDefault="0034086E" w:rsidP="001B1FEA">
            <w:pPr>
              <w:tabs>
                <w:tab w:val="decimal" w:pos="1152"/>
                <w:tab w:val="right" w:pos="9180"/>
              </w:tabs>
            </w:pPr>
            <w:r>
              <w:tab/>
            </w:r>
            <w:r w:rsidR="008258F1">
              <w:t>9,408,920</w:t>
            </w:r>
          </w:p>
        </w:tc>
      </w:tr>
      <w:tr w:rsidR="0034086E" w:rsidRPr="000D3DC5" w14:paraId="6CB12E1F" w14:textId="77777777" w:rsidTr="001B1FEA">
        <w:tc>
          <w:tcPr>
            <w:tcW w:w="378" w:type="dxa"/>
          </w:tcPr>
          <w:p w14:paraId="78A24E06" w14:textId="77777777" w:rsidR="0034086E" w:rsidRPr="000D3DC5" w:rsidRDefault="0034086E" w:rsidP="001B1FEA"/>
        </w:tc>
        <w:tc>
          <w:tcPr>
            <w:tcW w:w="4475" w:type="dxa"/>
            <w:gridSpan w:val="6"/>
          </w:tcPr>
          <w:p w14:paraId="05983677" w14:textId="77777777" w:rsidR="0034086E" w:rsidRDefault="0034086E" w:rsidP="001B1FEA">
            <w:r>
              <w:t>Net proceeds from warrant exercises</w:t>
            </w:r>
          </w:p>
        </w:tc>
        <w:tc>
          <w:tcPr>
            <w:tcW w:w="1555" w:type="dxa"/>
          </w:tcPr>
          <w:p w14:paraId="3B6E377E" w14:textId="77777777" w:rsidR="0034086E" w:rsidRPr="000D3DC5" w:rsidRDefault="0034086E" w:rsidP="001B1FEA">
            <w:pPr>
              <w:tabs>
                <w:tab w:val="right" w:pos="9180"/>
              </w:tabs>
            </w:pPr>
          </w:p>
        </w:tc>
        <w:tc>
          <w:tcPr>
            <w:tcW w:w="1800" w:type="dxa"/>
          </w:tcPr>
          <w:p w14:paraId="0E53A276" w14:textId="788C5E42" w:rsidR="0034086E" w:rsidRDefault="0034086E" w:rsidP="001B1FEA">
            <w:pPr>
              <w:tabs>
                <w:tab w:val="decimal" w:pos="1332"/>
                <w:tab w:val="right" w:pos="9180"/>
              </w:tabs>
            </w:pPr>
            <w:r>
              <w:tab/>
            </w:r>
            <w:r w:rsidR="00B91D47">
              <w:t>591</w:t>
            </w:r>
          </w:p>
        </w:tc>
        <w:tc>
          <w:tcPr>
            <w:tcW w:w="360" w:type="dxa"/>
          </w:tcPr>
          <w:p w14:paraId="398C397F" w14:textId="77777777" w:rsidR="0034086E" w:rsidRPr="000D3DC5" w:rsidRDefault="0034086E" w:rsidP="00592D98">
            <w:pPr>
              <w:tabs>
                <w:tab w:val="right" w:pos="9180"/>
              </w:tabs>
            </w:pPr>
          </w:p>
        </w:tc>
        <w:tc>
          <w:tcPr>
            <w:tcW w:w="1620" w:type="dxa"/>
          </w:tcPr>
          <w:p w14:paraId="5386928E" w14:textId="1D9EBC64" w:rsidR="0034086E" w:rsidRDefault="0034086E" w:rsidP="001B1FEA">
            <w:pPr>
              <w:tabs>
                <w:tab w:val="decimal" w:pos="1152"/>
                <w:tab w:val="right" w:pos="9180"/>
              </w:tabs>
            </w:pPr>
            <w:r>
              <w:tab/>
            </w:r>
            <w:r w:rsidR="008258F1">
              <w:t>3,174,156</w:t>
            </w:r>
          </w:p>
        </w:tc>
      </w:tr>
      <w:tr w:rsidR="0034086E" w:rsidRPr="000D3DC5" w14:paraId="0BBA5B8C" w14:textId="77777777" w:rsidTr="001B1FEA">
        <w:tc>
          <w:tcPr>
            <w:tcW w:w="378" w:type="dxa"/>
          </w:tcPr>
          <w:p w14:paraId="44DE5D93" w14:textId="77777777" w:rsidR="0034086E" w:rsidRPr="000D3DC5" w:rsidRDefault="0034086E" w:rsidP="001B1FEA"/>
        </w:tc>
        <w:tc>
          <w:tcPr>
            <w:tcW w:w="4475" w:type="dxa"/>
            <w:gridSpan w:val="6"/>
          </w:tcPr>
          <w:p w14:paraId="21B8A3BA" w14:textId="77777777" w:rsidR="0034086E" w:rsidRDefault="0034086E" w:rsidP="001B1FEA">
            <w:r>
              <w:t>Repurchase of preferred stock</w:t>
            </w:r>
          </w:p>
        </w:tc>
        <w:tc>
          <w:tcPr>
            <w:tcW w:w="1555" w:type="dxa"/>
          </w:tcPr>
          <w:p w14:paraId="436DC972" w14:textId="77777777" w:rsidR="0034086E" w:rsidRPr="000D3DC5" w:rsidRDefault="0034086E" w:rsidP="001B1FEA">
            <w:pPr>
              <w:tabs>
                <w:tab w:val="right" w:pos="9180"/>
              </w:tabs>
            </w:pPr>
          </w:p>
        </w:tc>
        <w:tc>
          <w:tcPr>
            <w:tcW w:w="1800" w:type="dxa"/>
          </w:tcPr>
          <w:p w14:paraId="65D60110" w14:textId="3C09016A" w:rsidR="0034086E" w:rsidRDefault="0034086E" w:rsidP="001B1FEA">
            <w:pPr>
              <w:tabs>
                <w:tab w:val="decimal" w:pos="1332"/>
                <w:tab w:val="right" w:pos="9180"/>
              </w:tabs>
            </w:pPr>
            <w:r>
              <w:tab/>
            </w:r>
            <w:r w:rsidR="00B91D47">
              <w:t>-</w:t>
            </w:r>
          </w:p>
        </w:tc>
        <w:tc>
          <w:tcPr>
            <w:tcW w:w="360" w:type="dxa"/>
          </w:tcPr>
          <w:p w14:paraId="5DF3BD2B" w14:textId="77777777" w:rsidR="0034086E" w:rsidRPr="000D3DC5" w:rsidRDefault="0034086E" w:rsidP="001B1FEA">
            <w:pPr>
              <w:pStyle w:val="ListParagraph"/>
              <w:numPr>
                <w:ilvl w:val="0"/>
                <w:numId w:val="6"/>
              </w:numPr>
              <w:tabs>
                <w:tab w:val="right" w:pos="9180"/>
              </w:tabs>
            </w:pPr>
          </w:p>
        </w:tc>
        <w:tc>
          <w:tcPr>
            <w:tcW w:w="1620" w:type="dxa"/>
          </w:tcPr>
          <w:p w14:paraId="6AAD0C36" w14:textId="54006731" w:rsidR="0034086E" w:rsidRDefault="0034086E" w:rsidP="001B1FEA">
            <w:pPr>
              <w:tabs>
                <w:tab w:val="decimal" w:pos="1152"/>
                <w:tab w:val="right" w:pos="9180"/>
              </w:tabs>
            </w:pPr>
            <w:r>
              <w:tab/>
            </w:r>
            <w:r w:rsidR="008258F1">
              <w:t>(1,000)</w:t>
            </w:r>
          </w:p>
        </w:tc>
      </w:tr>
      <w:tr w:rsidR="0034086E" w:rsidRPr="000D3DC5" w14:paraId="6522A08C" w14:textId="77777777" w:rsidTr="001B1FEA">
        <w:tc>
          <w:tcPr>
            <w:tcW w:w="378" w:type="dxa"/>
          </w:tcPr>
          <w:p w14:paraId="0756BADE" w14:textId="77777777" w:rsidR="0034086E" w:rsidRPr="000D3DC5" w:rsidRDefault="0034086E" w:rsidP="001B1FEA"/>
        </w:tc>
        <w:tc>
          <w:tcPr>
            <w:tcW w:w="4475" w:type="dxa"/>
            <w:gridSpan w:val="6"/>
          </w:tcPr>
          <w:p w14:paraId="254B822F" w14:textId="77777777" w:rsidR="0034086E" w:rsidRPr="00E0298C" w:rsidRDefault="0034086E" w:rsidP="001B1FEA">
            <w:r w:rsidRPr="00E0298C">
              <w:t>Principal repayment of note payable</w:t>
            </w:r>
          </w:p>
        </w:tc>
        <w:tc>
          <w:tcPr>
            <w:tcW w:w="1555" w:type="dxa"/>
          </w:tcPr>
          <w:p w14:paraId="5CCE0D01" w14:textId="77777777" w:rsidR="0034086E" w:rsidRPr="00E0298C" w:rsidRDefault="0034086E" w:rsidP="001B1FEA">
            <w:pPr>
              <w:tabs>
                <w:tab w:val="right" w:pos="9180"/>
              </w:tabs>
            </w:pPr>
          </w:p>
        </w:tc>
        <w:tc>
          <w:tcPr>
            <w:tcW w:w="1800" w:type="dxa"/>
            <w:tcBorders>
              <w:bottom w:val="single" w:sz="4" w:space="0" w:color="auto"/>
            </w:tcBorders>
          </w:tcPr>
          <w:p w14:paraId="67D5C796" w14:textId="408807AA" w:rsidR="0034086E" w:rsidRPr="00E0298C" w:rsidRDefault="0034086E" w:rsidP="001B1FEA">
            <w:pPr>
              <w:tabs>
                <w:tab w:val="decimal" w:pos="1332"/>
                <w:tab w:val="right" w:pos="9180"/>
              </w:tabs>
            </w:pPr>
            <w:r w:rsidRPr="00E0298C">
              <w:tab/>
            </w:r>
            <w:r w:rsidR="00B91D47">
              <w:t>-</w:t>
            </w:r>
          </w:p>
        </w:tc>
        <w:tc>
          <w:tcPr>
            <w:tcW w:w="360" w:type="dxa"/>
          </w:tcPr>
          <w:p w14:paraId="0F56B8BC" w14:textId="77777777" w:rsidR="0034086E" w:rsidRPr="00E0298C" w:rsidRDefault="0034086E" w:rsidP="001B1FEA">
            <w:pPr>
              <w:pStyle w:val="ListParagraph"/>
              <w:numPr>
                <w:ilvl w:val="0"/>
                <w:numId w:val="6"/>
              </w:numPr>
              <w:tabs>
                <w:tab w:val="right" w:pos="9180"/>
              </w:tabs>
            </w:pPr>
          </w:p>
        </w:tc>
        <w:tc>
          <w:tcPr>
            <w:tcW w:w="1620" w:type="dxa"/>
            <w:tcBorders>
              <w:bottom w:val="single" w:sz="4" w:space="0" w:color="auto"/>
            </w:tcBorders>
          </w:tcPr>
          <w:p w14:paraId="0CF9C5B6" w14:textId="36E75382" w:rsidR="0034086E" w:rsidRDefault="0034086E" w:rsidP="001B1FEA">
            <w:pPr>
              <w:tabs>
                <w:tab w:val="decimal" w:pos="1152"/>
                <w:tab w:val="right" w:pos="9180"/>
              </w:tabs>
            </w:pPr>
            <w:r w:rsidRPr="00E0298C">
              <w:tab/>
            </w:r>
            <w:r>
              <w:t>(</w:t>
            </w:r>
            <w:r w:rsidR="008258F1">
              <w:t>27,864</w:t>
            </w:r>
            <w:r>
              <w:t>)</w:t>
            </w:r>
          </w:p>
        </w:tc>
      </w:tr>
      <w:tr w:rsidR="0034086E" w:rsidRPr="000D3DC5" w14:paraId="4549E0DD" w14:textId="77777777" w:rsidTr="001B1FEA">
        <w:tc>
          <w:tcPr>
            <w:tcW w:w="378" w:type="dxa"/>
          </w:tcPr>
          <w:p w14:paraId="7C75F4FF" w14:textId="77777777" w:rsidR="0034086E" w:rsidRPr="000D3DC5" w:rsidRDefault="0034086E" w:rsidP="001B1FEA"/>
        </w:tc>
        <w:tc>
          <w:tcPr>
            <w:tcW w:w="4475" w:type="dxa"/>
            <w:gridSpan w:val="6"/>
          </w:tcPr>
          <w:p w14:paraId="5444C82E" w14:textId="77777777" w:rsidR="0034086E" w:rsidRDefault="0034086E" w:rsidP="001B1FEA">
            <w:r>
              <w:t>Net cash provided by financing activities</w:t>
            </w:r>
          </w:p>
        </w:tc>
        <w:tc>
          <w:tcPr>
            <w:tcW w:w="1555" w:type="dxa"/>
          </w:tcPr>
          <w:p w14:paraId="6DC07C20" w14:textId="77777777" w:rsidR="0034086E" w:rsidRPr="000D3DC5" w:rsidRDefault="0034086E" w:rsidP="001B1FEA">
            <w:pPr>
              <w:tabs>
                <w:tab w:val="right" w:pos="9180"/>
              </w:tabs>
            </w:pPr>
          </w:p>
        </w:tc>
        <w:tc>
          <w:tcPr>
            <w:tcW w:w="1800" w:type="dxa"/>
            <w:tcBorders>
              <w:top w:val="single" w:sz="4" w:space="0" w:color="auto"/>
            </w:tcBorders>
          </w:tcPr>
          <w:p w14:paraId="0C66DBA7" w14:textId="0ED53B11" w:rsidR="0034086E" w:rsidRDefault="0034086E" w:rsidP="001B1FEA">
            <w:pPr>
              <w:tabs>
                <w:tab w:val="decimal" w:pos="1332"/>
                <w:tab w:val="right" w:pos="9180"/>
              </w:tabs>
            </w:pPr>
            <w:r>
              <w:tab/>
            </w:r>
            <w:r w:rsidR="00B91D47">
              <w:t>27,</w:t>
            </w:r>
            <w:r w:rsidR="00B62EFB">
              <w:t>727</w:t>
            </w:r>
            <w:r w:rsidR="00B91D47">
              <w:t>,785</w:t>
            </w:r>
          </w:p>
        </w:tc>
        <w:tc>
          <w:tcPr>
            <w:tcW w:w="360" w:type="dxa"/>
          </w:tcPr>
          <w:p w14:paraId="61054B3D" w14:textId="77777777" w:rsidR="0034086E" w:rsidRPr="000D3DC5" w:rsidRDefault="0034086E" w:rsidP="001B1FEA">
            <w:pPr>
              <w:pStyle w:val="ListParagraph"/>
              <w:numPr>
                <w:ilvl w:val="0"/>
                <w:numId w:val="6"/>
              </w:numPr>
              <w:tabs>
                <w:tab w:val="right" w:pos="9180"/>
              </w:tabs>
            </w:pPr>
          </w:p>
        </w:tc>
        <w:tc>
          <w:tcPr>
            <w:tcW w:w="1620" w:type="dxa"/>
            <w:tcBorders>
              <w:top w:val="single" w:sz="4" w:space="0" w:color="auto"/>
            </w:tcBorders>
          </w:tcPr>
          <w:p w14:paraId="23245E7F" w14:textId="596BBC79" w:rsidR="0034086E" w:rsidRDefault="0034086E" w:rsidP="001B1FEA">
            <w:pPr>
              <w:tabs>
                <w:tab w:val="decimal" w:pos="1152"/>
                <w:tab w:val="right" w:pos="9180"/>
              </w:tabs>
            </w:pPr>
            <w:r>
              <w:tab/>
              <w:t>1</w:t>
            </w:r>
            <w:r w:rsidR="008258F1">
              <w:t>2,554,212</w:t>
            </w:r>
          </w:p>
        </w:tc>
      </w:tr>
      <w:tr w:rsidR="0034086E" w:rsidRPr="000D3DC5" w14:paraId="6DDC34F3" w14:textId="77777777" w:rsidTr="001B1FEA">
        <w:tc>
          <w:tcPr>
            <w:tcW w:w="378" w:type="dxa"/>
          </w:tcPr>
          <w:p w14:paraId="3E445700" w14:textId="77777777" w:rsidR="0034086E" w:rsidRPr="000D3DC5" w:rsidRDefault="0034086E" w:rsidP="001B1FEA"/>
        </w:tc>
        <w:tc>
          <w:tcPr>
            <w:tcW w:w="425" w:type="dxa"/>
          </w:tcPr>
          <w:p w14:paraId="5ECA773C" w14:textId="77777777" w:rsidR="0034086E" w:rsidRPr="000D3DC5" w:rsidRDefault="0034086E" w:rsidP="001B1FEA"/>
        </w:tc>
        <w:tc>
          <w:tcPr>
            <w:tcW w:w="789" w:type="dxa"/>
            <w:gridSpan w:val="3"/>
          </w:tcPr>
          <w:p w14:paraId="184D29A4" w14:textId="77777777" w:rsidR="0034086E" w:rsidRPr="000D3DC5" w:rsidRDefault="0034086E" w:rsidP="001B1FEA"/>
        </w:tc>
        <w:tc>
          <w:tcPr>
            <w:tcW w:w="620" w:type="dxa"/>
          </w:tcPr>
          <w:p w14:paraId="6343412F" w14:textId="77777777" w:rsidR="0034086E" w:rsidRPr="000D3DC5" w:rsidRDefault="0034086E" w:rsidP="001B1FEA"/>
        </w:tc>
        <w:tc>
          <w:tcPr>
            <w:tcW w:w="2641" w:type="dxa"/>
          </w:tcPr>
          <w:p w14:paraId="2628824A" w14:textId="77777777" w:rsidR="0034086E" w:rsidRPr="000D3DC5" w:rsidRDefault="0034086E" w:rsidP="001B1FEA"/>
        </w:tc>
        <w:tc>
          <w:tcPr>
            <w:tcW w:w="1555" w:type="dxa"/>
          </w:tcPr>
          <w:p w14:paraId="7B1B1F08" w14:textId="77777777" w:rsidR="0034086E" w:rsidRPr="000D3DC5" w:rsidRDefault="0034086E" w:rsidP="001B1FEA">
            <w:pPr>
              <w:tabs>
                <w:tab w:val="right" w:pos="9180"/>
              </w:tabs>
            </w:pPr>
          </w:p>
        </w:tc>
        <w:tc>
          <w:tcPr>
            <w:tcW w:w="1800" w:type="dxa"/>
            <w:tcBorders>
              <w:top w:val="single" w:sz="4" w:space="0" w:color="auto"/>
            </w:tcBorders>
          </w:tcPr>
          <w:p w14:paraId="5A82610D" w14:textId="77777777" w:rsidR="0034086E" w:rsidRPr="000D3DC5" w:rsidRDefault="0034086E" w:rsidP="001B1FEA">
            <w:pPr>
              <w:tabs>
                <w:tab w:val="decimal" w:pos="1332"/>
                <w:tab w:val="right" w:pos="9180"/>
              </w:tabs>
            </w:pPr>
          </w:p>
        </w:tc>
        <w:tc>
          <w:tcPr>
            <w:tcW w:w="360" w:type="dxa"/>
          </w:tcPr>
          <w:p w14:paraId="56D22655" w14:textId="77777777" w:rsidR="0034086E" w:rsidRPr="000D3DC5" w:rsidRDefault="0034086E" w:rsidP="001B1FEA">
            <w:pPr>
              <w:tabs>
                <w:tab w:val="right" w:pos="9180"/>
              </w:tabs>
            </w:pPr>
          </w:p>
        </w:tc>
        <w:tc>
          <w:tcPr>
            <w:tcW w:w="1620" w:type="dxa"/>
            <w:tcBorders>
              <w:top w:val="single" w:sz="4" w:space="0" w:color="auto"/>
            </w:tcBorders>
          </w:tcPr>
          <w:p w14:paraId="57157952" w14:textId="77777777" w:rsidR="0034086E" w:rsidRPr="000D3DC5" w:rsidRDefault="0034086E" w:rsidP="001B1FEA">
            <w:pPr>
              <w:tabs>
                <w:tab w:val="decimal" w:pos="1044"/>
                <w:tab w:val="right" w:pos="9180"/>
              </w:tabs>
            </w:pPr>
          </w:p>
        </w:tc>
      </w:tr>
      <w:tr w:rsidR="0034086E" w:rsidRPr="000D3DC5" w14:paraId="39A7886F" w14:textId="77777777" w:rsidTr="001B1FEA">
        <w:tc>
          <w:tcPr>
            <w:tcW w:w="6408" w:type="dxa"/>
            <w:gridSpan w:val="8"/>
          </w:tcPr>
          <w:p w14:paraId="33E83947" w14:textId="77777777" w:rsidR="0034086E" w:rsidRPr="000D3DC5" w:rsidRDefault="0034086E" w:rsidP="001B1FEA">
            <w:pPr>
              <w:tabs>
                <w:tab w:val="right" w:pos="9180"/>
              </w:tabs>
            </w:pPr>
            <w:r w:rsidRPr="000D3DC5">
              <w:t xml:space="preserve">Net </w:t>
            </w:r>
            <w:r>
              <w:t>increase</w:t>
            </w:r>
            <w:r w:rsidRPr="000D3DC5">
              <w:t xml:space="preserve"> in cash and cash equivalents</w:t>
            </w:r>
          </w:p>
        </w:tc>
        <w:tc>
          <w:tcPr>
            <w:tcW w:w="1800" w:type="dxa"/>
          </w:tcPr>
          <w:p w14:paraId="6EEA1AF4" w14:textId="776AD10B" w:rsidR="0034086E" w:rsidRPr="000D3DC5" w:rsidRDefault="0034086E" w:rsidP="001B1FEA">
            <w:pPr>
              <w:tabs>
                <w:tab w:val="decimal" w:pos="1332"/>
                <w:tab w:val="right" w:pos="9180"/>
              </w:tabs>
            </w:pPr>
            <w:r>
              <w:tab/>
            </w:r>
            <w:r w:rsidR="00B91D47">
              <w:t>19,478,584</w:t>
            </w:r>
          </w:p>
        </w:tc>
        <w:tc>
          <w:tcPr>
            <w:tcW w:w="360" w:type="dxa"/>
          </w:tcPr>
          <w:p w14:paraId="2618EB64" w14:textId="77777777" w:rsidR="0034086E" w:rsidRPr="000D3DC5" w:rsidRDefault="0034086E" w:rsidP="001B1FEA">
            <w:pPr>
              <w:tabs>
                <w:tab w:val="right" w:pos="9180"/>
              </w:tabs>
            </w:pPr>
          </w:p>
        </w:tc>
        <w:tc>
          <w:tcPr>
            <w:tcW w:w="1620" w:type="dxa"/>
          </w:tcPr>
          <w:p w14:paraId="250B32C5" w14:textId="2767C7AA" w:rsidR="0034086E" w:rsidRPr="000D3DC5" w:rsidRDefault="0034086E" w:rsidP="001B1FEA">
            <w:pPr>
              <w:tabs>
                <w:tab w:val="decimal" w:pos="1152"/>
                <w:tab w:val="right" w:pos="9180"/>
              </w:tabs>
            </w:pPr>
            <w:r>
              <w:tab/>
            </w:r>
            <w:r w:rsidR="008258F1">
              <w:t>9,654,717</w:t>
            </w:r>
          </w:p>
        </w:tc>
      </w:tr>
      <w:tr w:rsidR="0034086E" w:rsidRPr="000D3DC5" w14:paraId="65DD2480" w14:textId="77777777" w:rsidTr="001B1FEA">
        <w:tc>
          <w:tcPr>
            <w:tcW w:w="6408" w:type="dxa"/>
            <w:gridSpan w:val="8"/>
          </w:tcPr>
          <w:p w14:paraId="6B29CE22" w14:textId="77777777" w:rsidR="0034086E" w:rsidRPr="000D3DC5" w:rsidRDefault="0034086E" w:rsidP="001B1FEA">
            <w:pPr>
              <w:tabs>
                <w:tab w:val="right" w:pos="9180"/>
              </w:tabs>
            </w:pPr>
            <w:r w:rsidRPr="000D3DC5">
              <w:t>Cash and cash equivalents at beginning of period</w:t>
            </w:r>
          </w:p>
        </w:tc>
        <w:tc>
          <w:tcPr>
            <w:tcW w:w="1800" w:type="dxa"/>
            <w:tcBorders>
              <w:bottom w:val="single" w:sz="4" w:space="0" w:color="auto"/>
            </w:tcBorders>
          </w:tcPr>
          <w:p w14:paraId="3DD5D6F4" w14:textId="3D53E22E" w:rsidR="0034086E" w:rsidRPr="000D3DC5" w:rsidRDefault="0034086E" w:rsidP="001B1FEA">
            <w:pPr>
              <w:tabs>
                <w:tab w:val="decimal" w:pos="1332"/>
                <w:tab w:val="right" w:pos="9180"/>
              </w:tabs>
            </w:pPr>
            <w:r>
              <w:tab/>
            </w:r>
            <w:r w:rsidR="00B91D47">
              <w:t>11,423,870</w:t>
            </w:r>
          </w:p>
        </w:tc>
        <w:tc>
          <w:tcPr>
            <w:tcW w:w="360" w:type="dxa"/>
          </w:tcPr>
          <w:p w14:paraId="4FA417FF" w14:textId="77777777" w:rsidR="0034086E" w:rsidRPr="000D3DC5" w:rsidRDefault="0034086E" w:rsidP="001B1FEA">
            <w:pPr>
              <w:tabs>
                <w:tab w:val="right" w:pos="9180"/>
              </w:tabs>
            </w:pPr>
          </w:p>
        </w:tc>
        <w:tc>
          <w:tcPr>
            <w:tcW w:w="1620" w:type="dxa"/>
            <w:tcBorders>
              <w:bottom w:val="single" w:sz="4" w:space="0" w:color="auto"/>
            </w:tcBorders>
          </w:tcPr>
          <w:p w14:paraId="653964CE" w14:textId="4C56A828" w:rsidR="0034086E" w:rsidRPr="000D3DC5" w:rsidRDefault="0034086E" w:rsidP="001B1FEA">
            <w:pPr>
              <w:tabs>
                <w:tab w:val="decimal" w:pos="1152"/>
                <w:tab w:val="right" w:pos="9180"/>
              </w:tabs>
            </w:pPr>
            <w:r>
              <w:tab/>
            </w:r>
            <w:r w:rsidR="008258F1">
              <w:t>9,883,796</w:t>
            </w:r>
          </w:p>
        </w:tc>
      </w:tr>
      <w:tr w:rsidR="0034086E" w:rsidRPr="000D3DC5" w14:paraId="25E5F1AC" w14:textId="77777777" w:rsidTr="001B1FEA">
        <w:tc>
          <w:tcPr>
            <w:tcW w:w="378" w:type="dxa"/>
          </w:tcPr>
          <w:p w14:paraId="6FCE3164" w14:textId="77777777" w:rsidR="0034086E" w:rsidRPr="000D3DC5" w:rsidRDefault="0034086E" w:rsidP="001B1FEA"/>
        </w:tc>
        <w:tc>
          <w:tcPr>
            <w:tcW w:w="620" w:type="dxa"/>
            <w:gridSpan w:val="2"/>
          </w:tcPr>
          <w:p w14:paraId="5449C2F0" w14:textId="77777777" w:rsidR="0034086E" w:rsidRPr="000D3DC5" w:rsidRDefault="0034086E" w:rsidP="001B1FEA"/>
        </w:tc>
        <w:tc>
          <w:tcPr>
            <w:tcW w:w="594" w:type="dxa"/>
            <w:gridSpan w:val="2"/>
          </w:tcPr>
          <w:p w14:paraId="2CC84389" w14:textId="77777777" w:rsidR="0034086E" w:rsidRPr="000D3DC5" w:rsidRDefault="0034086E" w:rsidP="001B1FEA"/>
        </w:tc>
        <w:tc>
          <w:tcPr>
            <w:tcW w:w="620" w:type="dxa"/>
          </w:tcPr>
          <w:p w14:paraId="19D3AA26" w14:textId="77777777" w:rsidR="0034086E" w:rsidRPr="000D3DC5" w:rsidRDefault="0034086E" w:rsidP="001B1FEA"/>
        </w:tc>
        <w:tc>
          <w:tcPr>
            <w:tcW w:w="2641" w:type="dxa"/>
          </w:tcPr>
          <w:p w14:paraId="6833434D" w14:textId="77777777" w:rsidR="0034086E" w:rsidRPr="000D3DC5" w:rsidRDefault="0034086E" w:rsidP="001B1FEA"/>
        </w:tc>
        <w:tc>
          <w:tcPr>
            <w:tcW w:w="1555" w:type="dxa"/>
          </w:tcPr>
          <w:p w14:paraId="11A9D677" w14:textId="77777777" w:rsidR="0034086E" w:rsidRPr="000D3DC5" w:rsidRDefault="0034086E" w:rsidP="001B1FEA">
            <w:pPr>
              <w:tabs>
                <w:tab w:val="right" w:pos="9180"/>
              </w:tabs>
            </w:pPr>
          </w:p>
        </w:tc>
        <w:tc>
          <w:tcPr>
            <w:tcW w:w="1800" w:type="dxa"/>
            <w:tcBorders>
              <w:top w:val="single" w:sz="4" w:space="0" w:color="auto"/>
            </w:tcBorders>
          </w:tcPr>
          <w:p w14:paraId="3B953F84" w14:textId="77777777" w:rsidR="0034086E" w:rsidRPr="000D3DC5" w:rsidRDefault="0034086E" w:rsidP="001B1FEA">
            <w:pPr>
              <w:tabs>
                <w:tab w:val="decimal" w:pos="1044"/>
                <w:tab w:val="right" w:pos="9180"/>
              </w:tabs>
            </w:pPr>
          </w:p>
        </w:tc>
        <w:tc>
          <w:tcPr>
            <w:tcW w:w="360" w:type="dxa"/>
          </w:tcPr>
          <w:p w14:paraId="67B26BD7" w14:textId="77777777" w:rsidR="0034086E" w:rsidRPr="000D3DC5" w:rsidRDefault="0034086E" w:rsidP="001B1FEA">
            <w:pPr>
              <w:tabs>
                <w:tab w:val="right" w:pos="9180"/>
              </w:tabs>
            </w:pPr>
          </w:p>
        </w:tc>
        <w:tc>
          <w:tcPr>
            <w:tcW w:w="1620" w:type="dxa"/>
            <w:tcBorders>
              <w:top w:val="single" w:sz="4" w:space="0" w:color="auto"/>
            </w:tcBorders>
          </w:tcPr>
          <w:p w14:paraId="42DFFC7C" w14:textId="77777777" w:rsidR="0034086E" w:rsidRPr="000D3DC5" w:rsidRDefault="0034086E" w:rsidP="001B1FEA">
            <w:pPr>
              <w:tabs>
                <w:tab w:val="decimal" w:pos="1044"/>
                <w:tab w:val="right" w:pos="9180"/>
              </w:tabs>
            </w:pPr>
          </w:p>
        </w:tc>
      </w:tr>
      <w:tr w:rsidR="0034086E" w:rsidRPr="000D3DC5" w14:paraId="3964D5D4" w14:textId="77777777" w:rsidTr="001B1FEA">
        <w:tc>
          <w:tcPr>
            <w:tcW w:w="6408" w:type="dxa"/>
            <w:gridSpan w:val="8"/>
          </w:tcPr>
          <w:p w14:paraId="0175180C" w14:textId="77777777" w:rsidR="0034086E" w:rsidRPr="000D3DC5" w:rsidRDefault="0034086E" w:rsidP="001B1FEA">
            <w:pPr>
              <w:tabs>
                <w:tab w:val="right" w:pos="9180"/>
              </w:tabs>
            </w:pPr>
            <w:r w:rsidRPr="000D3DC5">
              <w:t>Cash and cash equivalents at end of period</w:t>
            </w:r>
          </w:p>
        </w:tc>
        <w:tc>
          <w:tcPr>
            <w:tcW w:w="1800" w:type="dxa"/>
            <w:tcBorders>
              <w:bottom w:val="double" w:sz="4" w:space="0" w:color="auto"/>
            </w:tcBorders>
          </w:tcPr>
          <w:p w14:paraId="04283F8F" w14:textId="1B852C3B" w:rsidR="0034086E" w:rsidRPr="000D3DC5" w:rsidRDefault="0034086E" w:rsidP="001B1FEA">
            <w:pPr>
              <w:tabs>
                <w:tab w:val="decimal" w:pos="1332"/>
                <w:tab w:val="right" w:pos="9180"/>
              </w:tabs>
            </w:pPr>
            <w:r>
              <w:t>$</w:t>
            </w:r>
            <w:r>
              <w:tab/>
            </w:r>
            <w:r w:rsidR="00B91D47">
              <w:t>30,902,454</w:t>
            </w:r>
          </w:p>
        </w:tc>
        <w:tc>
          <w:tcPr>
            <w:tcW w:w="360" w:type="dxa"/>
          </w:tcPr>
          <w:p w14:paraId="171AF119" w14:textId="77777777" w:rsidR="0034086E" w:rsidRPr="000D3DC5" w:rsidRDefault="0034086E" w:rsidP="001B1FEA">
            <w:pPr>
              <w:tabs>
                <w:tab w:val="right" w:pos="9180"/>
              </w:tabs>
            </w:pPr>
          </w:p>
        </w:tc>
        <w:tc>
          <w:tcPr>
            <w:tcW w:w="1620" w:type="dxa"/>
            <w:tcBorders>
              <w:bottom w:val="double" w:sz="4" w:space="0" w:color="auto"/>
            </w:tcBorders>
          </w:tcPr>
          <w:p w14:paraId="7FA00821" w14:textId="31ABA054" w:rsidR="0034086E" w:rsidRPr="000D3DC5" w:rsidRDefault="0034086E" w:rsidP="001B1FEA">
            <w:pPr>
              <w:tabs>
                <w:tab w:val="decimal" w:pos="1152"/>
                <w:tab w:val="right" w:pos="9180"/>
              </w:tabs>
            </w:pPr>
            <w:r>
              <w:t>$</w:t>
            </w:r>
            <w:r>
              <w:tab/>
            </w:r>
            <w:r w:rsidR="00592D98">
              <w:t>19,538,513</w:t>
            </w:r>
          </w:p>
        </w:tc>
      </w:tr>
      <w:tr w:rsidR="0034086E" w:rsidRPr="000D3DC5" w14:paraId="22EC4E82" w14:textId="77777777" w:rsidTr="001B1FEA">
        <w:tc>
          <w:tcPr>
            <w:tcW w:w="378" w:type="dxa"/>
          </w:tcPr>
          <w:p w14:paraId="6C6BEB06" w14:textId="77777777" w:rsidR="0034086E" w:rsidRPr="000D3DC5" w:rsidRDefault="0034086E" w:rsidP="001B1FEA"/>
        </w:tc>
        <w:tc>
          <w:tcPr>
            <w:tcW w:w="620" w:type="dxa"/>
            <w:gridSpan w:val="2"/>
          </w:tcPr>
          <w:p w14:paraId="03242A30" w14:textId="77777777" w:rsidR="0034086E" w:rsidRPr="000D3DC5" w:rsidRDefault="0034086E" w:rsidP="001B1FEA"/>
        </w:tc>
        <w:tc>
          <w:tcPr>
            <w:tcW w:w="594" w:type="dxa"/>
            <w:gridSpan w:val="2"/>
          </w:tcPr>
          <w:p w14:paraId="1D732139" w14:textId="77777777" w:rsidR="0034086E" w:rsidRPr="000D3DC5" w:rsidRDefault="0034086E" w:rsidP="001B1FEA"/>
        </w:tc>
        <w:tc>
          <w:tcPr>
            <w:tcW w:w="620" w:type="dxa"/>
          </w:tcPr>
          <w:p w14:paraId="64CE3A82" w14:textId="77777777" w:rsidR="0034086E" w:rsidRPr="000D3DC5" w:rsidRDefault="0034086E" w:rsidP="001B1FEA"/>
        </w:tc>
        <w:tc>
          <w:tcPr>
            <w:tcW w:w="2641" w:type="dxa"/>
          </w:tcPr>
          <w:p w14:paraId="56A783E9" w14:textId="77777777" w:rsidR="0034086E" w:rsidRPr="000D3DC5" w:rsidRDefault="0034086E" w:rsidP="001B1FEA"/>
        </w:tc>
        <w:tc>
          <w:tcPr>
            <w:tcW w:w="1555" w:type="dxa"/>
          </w:tcPr>
          <w:p w14:paraId="737C770E" w14:textId="77777777" w:rsidR="0034086E" w:rsidRPr="000D3DC5" w:rsidRDefault="0034086E" w:rsidP="001B1FEA">
            <w:pPr>
              <w:tabs>
                <w:tab w:val="right" w:pos="9180"/>
              </w:tabs>
            </w:pPr>
          </w:p>
        </w:tc>
        <w:tc>
          <w:tcPr>
            <w:tcW w:w="1800" w:type="dxa"/>
          </w:tcPr>
          <w:p w14:paraId="08F04621" w14:textId="77777777" w:rsidR="0034086E" w:rsidRPr="000D3DC5" w:rsidRDefault="0034086E" w:rsidP="001B1FEA">
            <w:pPr>
              <w:tabs>
                <w:tab w:val="decimal" w:pos="1044"/>
                <w:tab w:val="right" w:pos="9180"/>
              </w:tabs>
            </w:pPr>
          </w:p>
        </w:tc>
        <w:tc>
          <w:tcPr>
            <w:tcW w:w="360" w:type="dxa"/>
          </w:tcPr>
          <w:p w14:paraId="04BF2527" w14:textId="77777777" w:rsidR="0034086E" w:rsidRPr="000D3DC5" w:rsidRDefault="0034086E" w:rsidP="001B1FEA">
            <w:pPr>
              <w:tabs>
                <w:tab w:val="right" w:pos="9180"/>
              </w:tabs>
            </w:pPr>
          </w:p>
        </w:tc>
        <w:tc>
          <w:tcPr>
            <w:tcW w:w="1620" w:type="dxa"/>
          </w:tcPr>
          <w:p w14:paraId="3400EF62" w14:textId="77777777" w:rsidR="0034086E" w:rsidRPr="000D3DC5" w:rsidRDefault="0034086E" w:rsidP="001B1FEA">
            <w:pPr>
              <w:tabs>
                <w:tab w:val="right" w:pos="9180"/>
              </w:tabs>
            </w:pPr>
          </w:p>
        </w:tc>
      </w:tr>
    </w:tbl>
    <w:p w14:paraId="5E8C84C7" w14:textId="77777777" w:rsidR="0034086E" w:rsidRDefault="0034086E" w:rsidP="0034086E"/>
    <w:p w14:paraId="4FCE9EEF" w14:textId="77777777" w:rsidR="0034086E" w:rsidRDefault="0034086E" w:rsidP="0034086E">
      <w:r w:rsidRPr="000D3DC5">
        <w:t xml:space="preserve">Supplemental disclosure of </w:t>
      </w:r>
      <w:r>
        <w:t>non-cash financing activities</w:t>
      </w:r>
      <w:r w:rsidRPr="000D3DC5">
        <w:t>:</w:t>
      </w:r>
    </w:p>
    <w:p w14:paraId="4A40C351" w14:textId="551E43A2" w:rsidR="0034086E" w:rsidRDefault="0034086E" w:rsidP="00282224">
      <w:pPr>
        <w:ind w:left="360"/>
      </w:pPr>
      <w:r>
        <w:t xml:space="preserve">During the six months ended June 30, 2021, </w:t>
      </w:r>
      <w:r w:rsidR="0044760B">
        <w:t xml:space="preserve">we issued </w:t>
      </w:r>
      <w:r>
        <w:t>145,866 shares of common stock upon the cashless exercise of 188,668 stock purchase warrants, and $172,056 of principal and accrued interest was extinguished upon loan forgiveness by the lender</w:t>
      </w:r>
      <w:r w:rsidR="00282224">
        <w:t>.</w:t>
      </w:r>
    </w:p>
    <w:p w14:paraId="3191E905" w14:textId="77777777" w:rsidR="0034086E" w:rsidRDefault="0034086E" w:rsidP="0034086E"/>
    <w:p w14:paraId="7782D556" w14:textId="7107646B" w:rsidR="002D627A" w:rsidRDefault="002D627A" w:rsidP="002D627A">
      <w:pPr>
        <w:tabs>
          <w:tab w:val="left" w:pos="1080"/>
          <w:tab w:val="left" w:pos="1260"/>
          <w:tab w:val="left" w:pos="2340"/>
          <w:tab w:val="right" w:pos="9180"/>
        </w:tabs>
        <w:ind w:right="-360"/>
      </w:pPr>
    </w:p>
    <w:p w14:paraId="43A45D00" w14:textId="139093DB" w:rsidR="0034086E" w:rsidRDefault="0034086E" w:rsidP="002D627A">
      <w:pPr>
        <w:tabs>
          <w:tab w:val="left" w:pos="1080"/>
          <w:tab w:val="left" w:pos="1260"/>
          <w:tab w:val="left" w:pos="2340"/>
          <w:tab w:val="right" w:pos="9180"/>
        </w:tabs>
        <w:ind w:right="-360"/>
      </w:pPr>
    </w:p>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67D11F2C" w:rsidR="00277F5A" w:rsidRDefault="0074675D" w:rsidP="00277F5A">
      <w:pPr>
        <w:jc w:val="center"/>
        <w:rPr>
          <w:b/>
        </w:rPr>
      </w:pPr>
      <w:r>
        <w:rPr>
          <w:b/>
        </w:rPr>
        <w:t>June</w:t>
      </w:r>
      <w:r w:rsidR="00F415DC">
        <w:rPr>
          <w:b/>
        </w:rPr>
        <w:t xml:space="preserve"> 3</w:t>
      </w:r>
      <w:r>
        <w:rPr>
          <w:b/>
        </w:rPr>
        <w:t>0</w:t>
      </w:r>
      <w:r w:rsidR="00277F5A" w:rsidRPr="001C6303">
        <w:rPr>
          <w:b/>
        </w:rPr>
        <w:t>, 20</w:t>
      </w:r>
      <w:r w:rsidR="00CE1FF4">
        <w:rPr>
          <w:b/>
        </w:rPr>
        <w:t>2</w:t>
      </w:r>
      <w:r w:rsidR="00A83961">
        <w:rPr>
          <w:b/>
        </w:rPr>
        <w:t>2</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462CF569" w:rsidR="00277F5A" w:rsidRPr="001C6303" w:rsidRDefault="00277F5A" w:rsidP="000A55AE">
      <w:pPr>
        <w:pStyle w:val="ListNumbering"/>
        <w:spacing w:after="0"/>
      </w:pPr>
      <w:r w:rsidRPr="001C6303">
        <w:t>1.</w:t>
      </w:r>
      <w:r w:rsidRPr="001C6303">
        <w:tab/>
      </w:r>
      <w:r w:rsidR="00282224">
        <w:t>Nature</w:t>
      </w:r>
      <w:r w:rsidRPr="001C6303">
        <w:t xml:space="preserve"> of </w:t>
      </w:r>
      <w:r w:rsidR="0034148D">
        <w:t>Business</w:t>
      </w:r>
      <w:r w:rsidRPr="001C6303">
        <w:t xml:space="preserve"> </w:t>
      </w:r>
    </w:p>
    <w:p w14:paraId="24E71BAC" w14:textId="77777777" w:rsidR="000A55AE" w:rsidRDefault="000A55AE" w:rsidP="000A55AE"/>
    <w:p w14:paraId="1D0F11CD" w14:textId="53DF0F68" w:rsidR="00146FFE" w:rsidRDefault="00A83961" w:rsidP="00A83961">
      <w:bookmarkStart w:id="15" w:name="_Hlk53502872"/>
      <w:proofErr w:type="spellStart"/>
      <w:r w:rsidRPr="00A83961">
        <w:t>GeoVax</w:t>
      </w:r>
      <w:proofErr w:type="spellEnd"/>
      <w:r w:rsidRPr="00A83961">
        <w:t xml:space="preserve"> Labs, Inc</w:t>
      </w:r>
      <w:r w:rsidR="00146FFE">
        <w:t>., headquartered in</w:t>
      </w:r>
      <w:r w:rsidR="001C1459">
        <w:t xml:space="preserve"> the</w:t>
      </w:r>
      <w:r w:rsidR="00146FFE">
        <w:t xml:space="preserve"> Atlanta, Georgia</w:t>
      </w:r>
      <w:r w:rsidR="001C1459">
        <w:t xml:space="preserve"> metropolitan area</w:t>
      </w:r>
      <w:r w:rsidR="00146FFE">
        <w:t>,</w:t>
      </w:r>
      <w:r w:rsidRPr="00A83961">
        <w:t xml:space="preserve"> is a clinical-stage biotechnology company</w:t>
      </w:r>
      <w:r w:rsidR="003900DF">
        <w:t xml:space="preserve"> incorporated under the laws of the State of Delaware. </w:t>
      </w:r>
      <w:proofErr w:type="spellStart"/>
      <w:r w:rsidR="003900DF">
        <w:t>GeoVax</w:t>
      </w:r>
      <w:proofErr w:type="spellEnd"/>
      <w:r w:rsidR="003900DF">
        <w:t xml:space="preserve"> Labs, Inc. and its </w:t>
      </w:r>
      <w:r w:rsidR="005570D6">
        <w:t xml:space="preserve">wholly owned </w:t>
      </w:r>
      <w:r w:rsidR="003900DF">
        <w:t xml:space="preserve">subsidiary, </w:t>
      </w:r>
      <w:proofErr w:type="spellStart"/>
      <w:r w:rsidR="003900DF">
        <w:t>GeoVax</w:t>
      </w:r>
      <w:proofErr w:type="spellEnd"/>
      <w:r w:rsidR="003900DF">
        <w:t xml:space="preserve">, Inc., a Georgia corporation, are collectively referred to as </w:t>
      </w:r>
      <w:r w:rsidR="00957C9A">
        <w:t>“</w:t>
      </w:r>
      <w:proofErr w:type="spellStart"/>
      <w:r w:rsidR="00957C9A">
        <w:t>GeoVax</w:t>
      </w:r>
      <w:proofErr w:type="spellEnd"/>
      <w:r w:rsidR="00957C9A">
        <w:t xml:space="preserve">” or </w:t>
      </w:r>
      <w:r w:rsidR="003900DF">
        <w:t>the “Company”</w:t>
      </w:r>
      <w:r w:rsidR="00957C9A">
        <w:t>.</w:t>
      </w:r>
    </w:p>
    <w:p w14:paraId="0C514768" w14:textId="77777777" w:rsidR="00146FFE" w:rsidRDefault="00146FFE" w:rsidP="00A83961"/>
    <w:p w14:paraId="062FDF71" w14:textId="463BA203" w:rsidR="00A83961" w:rsidRPr="00A83961" w:rsidRDefault="00957C9A" w:rsidP="00A83961">
      <w:r>
        <w:t xml:space="preserve">The Company is focused on </w:t>
      </w:r>
      <w:r w:rsidR="00A83961" w:rsidRPr="00A83961">
        <w:t xml:space="preserve">developing immunotherapies and vaccines against infectious diseases and cancers using novel vector vaccine platforms. </w:t>
      </w:r>
      <w:proofErr w:type="spellStart"/>
      <w:r w:rsidR="00A83961" w:rsidRPr="00A83961">
        <w:rPr>
          <w:bCs/>
        </w:rPr>
        <w:t>GeoVax’s</w:t>
      </w:r>
      <w:proofErr w:type="spellEnd"/>
      <w:r w:rsidR="00A83961" w:rsidRPr="00A83961">
        <w:rPr>
          <w:bCs/>
        </w:rPr>
        <w:t xml:space="preserve"> product pipeline includes ongoing human clinical trials in COVID-19 and </w:t>
      </w:r>
      <w:r w:rsidR="00A83961" w:rsidRPr="00A83961">
        <w:t xml:space="preserve">head and neck cancer. Additional research and development programs include preventive vaccines against Zika Virus, hemorrhagic fever viruses (Ebola, Sudan, Marburg, and Lassa) and malaria, as well as immunotherapies for solid tumors. </w:t>
      </w:r>
    </w:p>
    <w:bookmarkEnd w:id="15"/>
    <w:p w14:paraId="19A94C94" w14:textId="77777777" w:rsidR="000A55AE" w:rsidRPr="000A55AE" w:rsidRDefault="000A55AE" w:rsidP="000A55AE"/>
    <w:p w14:paraId="1D261932" w14:textId="1D7964AA" w:rsidR="001939DD" w:rsidRPr="00161492" w:rsidRDefault="001939DD" w:rsidP="000A55AE">
      <w:pPr>
        <w:pStyle w:val="ListNumbering"/>
        <w:spacing w:after="0"/>
      </w:pPr>
      <w:r>
        <w:t>2</w:t>
      </w:r>
      <w:r w:rsidRPr="001C6303">
        <w:t>.</w:t>
      </w:r>
      <w:r w:rsidRPr="001C6303">
        <w:tab/>
      </w:r>
      <w:r w:rsidR="00307685">
        <w:t>Summary of Significant Accounting Policies</w:t>
      </w:r>
    </w:p>
    <w:p w14:paraId="6F4D8B74" w14:textId="530F58C8" w:rsidR="000A55AE" w:rsidRDefault="000A55AE" w:rsidP="000A55AE">
      <w:pPr>
        <w:pStyle w:val="BodyText"/>
        <w:spacing w:after="0"/>
      </w:pPr>
    </w:p>
    <w:p w14:paraId="0ECDDBA8" w14:textId="7BCE9A45" w:rsidR="003463A0" w:rsidRDefault="003463A0" w:rsidP="000A55AE">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2021</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ations and financial position. During the six months ended June 30, 2022, t</w:t>
      </w:r>
      <w:r w:rsidRPr="001C6303">
        <w:t xml:space="preserve">here have been no material changes to, or in the application of, the accounting policies previously identified </w:t>
      </w:r>
      <w:r>
        <w:t>and described in the Form 10-K</w:t>
      </w:r>
      <w:r w:rsidR="009701F2">
        <w:t>.</w:t>
      </w:r>
    </w:p>
    <w:p w14:paraId="18A6068E" w14:textId="77777777" w:rsidR="003463A0" w:rsidRDefault="003463A0" w:rsidP="000A55AE">
      <w:pPr>
        <w:pStyle w:val="BodyText"/>
        <w:spacing w:after="0"/>
      </w:pPr>
    </w:p>
    <w:p w14:paraId="47F5FC58" w14:textId="717B1F25" w:rsidR="000F6A1C" w:rsidRPr="000F6A1C" w:rsidRDefault="00307685" w:rsidP="000F6A1C">
      <w:pPr>
        <w:pStyle w:val="BodyText"/>
        <w:spacing w:after="0"/>
        <w:rPr>
          <w:i/>
          <w:iCs/>
        </w:rPr>
      </w:pPr>
      <w:r w:rsidRPr="00307685">
        <w:rPr>
          <w:i/>
          <w:iCs/>
        </w:rPr>
        <w:t>Basis of Presentation</w:t>
      </w:r>
      <w:r>
        <w:rPr>
          <w:i/>
          <w:iCs/>
        </w:rPr>
        <w:t xml:space="preserve"> – </w:t>
      </w:r>
      <w:r w:rsidR="000F6A1C" w:rsidRPr="00A840E6">
        <w:t>The accompanying</w:t>
      </w:r>
      <w:r w:rsidR="000F6A1C" w:rsidRPr="001C6303">
        <w:t xml:space="preserve"> </w:t>
      </w:r>
      <w:r w:rsidR="000F6A1C">
        <w:t xml:space="preserve">condensed consolidated </w:t>
      </w:r>
      <w:r w:rsidR="000F6A1C" w:rsidRPr="001C6303">
        <w:t>financial statements</w:t>
      </w:r>
      <w:r w:rsidR="000F6A1C">
        <w:t xml:space="preserve"> include the accounts of </w:t>
      </w:r>
      <w:proofErr w:type="spellStart"/>
      <w:r w:rsidR="005570D6">
        <w:t>GeoVax</w:t>
      </w:r>
      <w:proofErr w:type="spellEnd"/>
      <w:r w:rsidR="005570D6">
        <w:t xml:space="preserve"> Labs, Inc. and</w:t>
      </w:r>
      <w:r w:rsidR="000F6A1C">
        <w:t xml:space="preserve"> </w:t>
      </w:r>
      <w:proofErr w:type="spellStart"/>
      <w:r w:rsidR="000F6A1C">
        <w:t>GeoVax</w:t>
      </w:r>
      <w:proofErr w:type="spellEnd"/>
      <w:r w:rsidR="000F6A1C">
        <w:t xml:space="preserve">, Inc. All intercompany transactions have been eliminated in consolidation. </w:t>
      </w:r>
      <w:r w:rsidR="005024A5" w:rsidRPr="00A840E6">
        <w:t xml:space="preserve">The </w:t>
      </w:r>
      <w:r w:rsidR="005024A5" w:rsidRPr="001C6303">
        <w:t xml:space="preserve">financial statements are unaudited, but include all adjustments, consisting of normal recurring entries, which we believe to be necessary for a fair presentation of </w:t>
      </w:r>
      <w:r w:rsidR="00306812">
        <w:t>interim</w:t>
      </w:r>
      <w:r w:rsidR="005024A5" w:rsidRPr="001C6303">
        <w:t xml:space="preserve"> periods presented.</w:t>
      </w:r>
      <w:r w:rsidR="007E7A7F">
        <w:t xml:space="preserve"> </w:t>
      </w:r>
      <w:r w:rsidR="005024A5" w:rsidRPr="001C6303">
        <w:t xml:space="preserve">Interim results are not necessarily indicative of results for a full year. The financial statements should be read in conjunction with our audited </w:t>
      </w:r>
      <w:r w:rsidR="00AD6B28">
        <w:t xml:space="preserve">consolidated </w:t>
      </w:r>
      <w:r w:rsidR="005024A5" w:rsidRPr="001C6303">
        <w:t xml:space="preserve">financial statements included in our Annual Report on Form 10-K for </w:t>
      </w:r>
      <w:r w:rsidR="00F415DC">
        <w:t>the year ended December 31, 20</w:t>
      </w:r>
      <w:r w:rsidR="00F06223">
        <w:t>2</w:t>
      </w:r>
      <w:r w:rsidR="00A83961">
        <w:t>1</w:t>
      </w:r>
      <w:r w:rsidR="0077213F">
        <w:t xml:space="preserve">. </w:t>
      </w:r>
      <w:r w:rsidR="005024A5">
        <w:t>We expect o</w:t>
      </w:r>
      <w:r w:rsidR="005024A5" w:rsidRPr="001C6303">
        <w:t>ur operating results to fluctua</w:t>
      </w:r>
      <w:r w:rsidR="005024A5">
        <w:t>te for the foreseeable future; t</w:t>
      </w:r>
      <w:r w:rsidR="005024A5" w:rsidRPr="001C6303">
        <w:t xml:space="preserve">herefore, period-to-period comparisons should not be relied upon as predictive of the results in future periods. </w:t>
      </w:r>
    </w:p>
    <w:p w14:paraId="7179289C" w14:textId="77777777" w:rsidR="000F6A1C" w:rsidRDefault="000F6A1C" w:rsidP="000A55AE">
      <w:pPr>
        <w:autoSpaceDE w:val="0"/>
        <w:autoSpaceDN w:val="0"/>
        <w:adjustRightInd w:val="0"/>
      </w:pPr>
    </w:p>
    <w:p w14:paraId="73A768D0" w14:textId="13B075A7" w:rsidR="006122E7" w:rsidRDefault="00A83961" w:rsidP="006122E7">
      <w:pPr>
        <w:autoSpaceDE w:val="0"/>
        <w:autoSpaceDN w:val="0"/>
        <w:adjustRightInd w:val="0"/>
      </w:pPr>
      <w:r w:rsidRPr="003D719E">
        <w:t xml:space="preserve">Our financial statements have been prepared assuming that we will continue as a going concern, which contemplates realization of assets and the satisfaction of liabilities in the normal course of business. </w:t>
      </w:r>
      <w:r w:rsidR="005B0364">
        <w:t xml:space="preserve">As of the date these financial statements are issued, the Company expects its existing cash and cash equivalents to be sufficient to fund its operations for at least the next twelve months. </w:t>
      </w:r>
      <w:r w:rsidR="00BA3FC4">
        <w:t>Since inception, the Company</w:t>
      </w:r>
      <w:r w:rsidR="005025D3">
        <w:t>’s activities have consisted primarily of performing research and development to advance its technologies. The Company</w:t>
      </w:r>
      <w:r w:rsidR="00BA3FC4" w:rsidRPr="00BA3FC4">
        <w:t xml:space="preserve"> expect</w:t>
      </w:r>
      <w:r w:rsidR="005025D3">
        <w:t>s</w:t>
      </w:r>
      <w:r w:rsidR="00BA3FC4" w:rsidRPr="00BA3FC4">
        <w:t xml:space="preserve"> to </w:t>
      </w:r>
      <w:r w:rsidR="005025D3">
        <w:t xml:space="preserve">continue to generate operating losses in the foreseeable future and will require additional funding to continue its </w:t>
      </w:r>
      <w:r w:rsidR="00BA3FC4" w:rsidRPr="00BA3FC4">
        <w:t xml:space="preserve">research and development activities. </w:t>
      </w:r>
      <w:r w:rsidR="006122E7">
        <w:t xml:space="preserve">The Company may seek funds through further equity financings, debt financings, collaborations, strategic alliances and marketing, distribution or licensing arrangements. </w:t>
      </w:r>
    </w:p>
    <w:p w14:paraId="357A3A0E" w14:textId="77777777" w:rsidR="00BA3FC4" w:rsidRDefault="00BA3FC4" w:rsidP="000A55AE">
      <w:pPr>
        <w:autoSpaceDE w:val="0"/>
        <w:autoSpaceDN w:val="0"/>
        <w:adjustRightInd w:val="0"/>
      </w:pPr>
    </w:p>
    <w:p w14:paraId="706ED221" w14:textId="43881564" w:rsidR="003463A0" w:rsidRDefault="003463A0" w:rsidP="000A55AE">
      <w:pPr>
        <w:autoSpaceDE w:val="0"/>
        <w:autoSpaceDN w:val="0"/>
        <w:adjustRightInd w:val="0"/>
      </w:pPr>
      <w:r w:rsidRPr="009701F2">
        <w:rPr>
          <w:i/>
          <w:iCs/>
        </w:rPr>
        <w:t>Recent Accounting Pronouncements</w:t>
      </w:r>
      <w:r w:rsidR="009701F2">
        <w:t xml:space="preserve"> – During the six months ended June 30, 2022, </w:t>
      </w:r>
      <w:r>
        <w:t xml:space="preserve">there have been </w:t>
      </w:r>
      <w:r w:rsidRPr="005F0851">
        <w:t xml:space="preserve">no </w:t>
      </w:r>
      <w:r w:rsidR="006C5690">
        <w:t xml:space="preserve">new </w:t>
      </w:r>
      <w:r w:rsidRPr="005F0851">
        <w:t xml:space="preserve">accounting pronouncements or changes in accounting pronouncements </w:t>
      </w:r>
      <w:r>
        <w:t>which</w:t>
      </w:r>
      <w:r w:rsidRPr="005F0851">
        <w:t xml:space="preserve"> </w:t>
      </w:r>
      <w:r>
        <w:t xml:space="preserve">we expect to have a material impact on our financial </w:t>
      </w:r>
      <w:r w:rsidRPr="006D35E3">
        <w:t>statements</w:t>
      </w:r>
      <w:r w:rsidR="009701F2">
        <w:t>.</w:t>
      </w:r>
    </w:p>
    <w:p w14:paraId="0E6C42AC" w14:textId="77777777" w:rsidR="00C70B80" w:rsidRDefault="00C70B80" w:rsidP="000A55AE">
      <w:pPr>
        <w:pStyle w:val="BodyText"/>
        <w:spacing w:after="0"/>
      </w:pPr>
      <w:bookmarkStart w:id="16" w:name="_Hlk510617695"/>
      <w:bookmarkStart w:id="17" w:name="_Hlk5353616"/>
    </w:p>
    <w:bookmarkEnd w:id="16"/>
    <w:bookmarkEnd w:id="17"/>
    <w:p w14:paraId="50DCA41C" w14:textId="306995E0" w:rsidR="0081657E" w:rsidRDefault="00716911" w:rsidP="000A55AE">
      <w:pPr>
        <w:pStyle w:val="ListNumbering"/>
        <w:spacing w:after="0"/>
      </w:pPr>
      <w:r>
        <w:t>3</w:t>
      </w:r>
      <w:r w:rsidR="004B5B77" w:rsidRPr="001C6303">
        <w:t>.</w:t>
      </w:r>
      <w:r w:rsidR="004B5B77" w:rsidRPr="001C6303">
        <w:tab/>
      </w:r>
      <w:r w:rsidR="00AE0CD0">
        <w:t>Balance Sheet Components</w:t>
      </w:r>
    </w:p>
    <w:p w14:paraId="77CC3818" w14:textId="5D1E39BF" w:rsidR="000A55AE" w:rsidRDefault="000A55AE" w:rsidP="000A55AE">
      <w:pPr>
        <w:pStyle w:val="BodyText"/>
        <w:spacing w:after="0"/>
      </w:pPr>
    </w:p>
    <w:p w14:paraId="30AE26DD" w14:textId="2DE2AE1F" w:rsidR="007A09BA" w:rsidRPr="000E74A1" w:rsidRDefault="00D518B5" w:rsidP="007A09BA">
      <w:pPr>
        <w:pStyle w:val="BodyText"/>
        <w:spacing w:after="0"/>
      </w:pPr>
      <w:r>
        <w:rPr>
          <w:b/>
          <w:bCs/>
        </w:rPr>
        <w:t>Prepaid Expenses</w:t>
      </w:r>
      <w:r w:rsidR="006A48BD">
        <w:rPr>
          <w:b/>
          <w:bCs/>
        </w:rPr>
        <w:t xml:space="preserve"> </w:t>
      </w:r>
      <w:r w:rsidR="007A09BA">
        <w:t>–</w:t>
      </w:r>
      <w:r w:rsidR="006A48BD">
        <w:t xml:space="preserve"> </w:t>
      </w:r>
      <w:r>
        <w:t>Prepaid expenses</w:t>
      </w:r>
      <w:r w:rsidR="007A09BA">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7A09BA" w:rsidRPr="00EB7BF0" w14:paraId="6261D12E" w14:textId="77777777" w:rsidTr="00AC321D">
        <w:tc>
          <w:tcPr>
            <w:tcW w:w="6055" w:type="dxa"/>
          </w:tcPr>
          <w:p w14:paraId="2415B27F" w14:textId="77777777" w:rsidR="007A09BA" w:rsidRPr="00EB7BF0" w:rsidRDefault="007A09BA" w:rsidP="00AC321D"/>
        </w:tc>
        <w:tc>
          <w:tcPr>
            <w:tcW w:w="1842" w:type="dxa"/>
            <w:tcBorders>
              <w:bottom w:val="single" w:sz="4" w:space="0" w:color="auto"/>
            </w:tcBorders>
          </w:tcPr>
          <w:p w14:paraId="6F6D6D2D" w14:textId="77777777" w:rsidR="007A09BA" w:rsidRDefault="007A09BA" w:rsidP="00AC321D">
            <w:pPr>
              <w:jc w:val="center"/>
            </w:pPr>
            <w:r>
              <w:t>June 30,</w:t>
            </w:r>
          </w:p>
          <w:p w14:paraId="54025CA5" w14:textId="77777777" w:rsidR="007A09BA" w:rsidRPr="00EB7BF0" w:rsidRDefault="007A09BA" w:rsidP="00AC321D">
            <w:pPr>
              <w:jc w:val="center"/>
            </w:pPr>
            <w:r>
              <w:t>2022</w:t>
            </w:r>
          </w:p>
        </w:tc>
        <w:tc>
          <w:tcPr>
            <w:tcW w:w="1841" w:type="dxa"/>
            <w:tcBorders>
              <w:bottom w:val="single" w:sz="4" w:space="0" w:color="auto"/>
            </w:tcBorders>
          </w:tcPr>
          <w:p w14:paraId="79A9052C" w14:textId="77777777" w:rsidR="007A09BA" w:rsidRDefault="007A09BA" w:rsidP="00AC321D">
            <w:pPr>
              <w:jc w:val="center"/>
            </w:pPr>
            <w:r>
              <w:t>December 31,</w:t>
            </w:r>
          </w:p>
          <w:p w14:paraId="64386404" w14:textId="77777777" w:rsidR="007A09BA" w:rsidRPr="00EB7BF0" w:rsidRDefault="007A09BA" w:rsidP="00AC321D">
            <w:pPr>
              <w:jc w:val="center"/>
            </w:pPr>
            <w:r>
              <w:t>2021</w:t>
            </w:r>
          </w:p>
        </w:tc>
      </w:tr>
      <w:tr w:rsidR="007A09BA" w:rsidRPr="00EB7BF0" w14:paraId="4B263CA3" w14:textId="77777777" w:rsidTr="00AC321D">
        <w:tc>
          <w:tcPr>
            <w:tcW w:w="6055" w:type="dxa"/>
          </w:tcPr>
          <w:p w14:paraId="5DA2C8D8" w14:textId="3E3F6C7F" w:rsidR="007A09BA" w:rsidRPr="00EB7BF0" w:rsidRDefault="006A48BD" w:rsidP="00AC321D">
            <w:pPr>
              <w:ind w:left="162"/>
            </w:pPr>
            <w:r>
              <w:t>Prepaid clinical trial expenses</w:t>
            </w:r>
          </w:p>
        </w:tc>
        <w:tc>
          <w:tcPr>
            <w:tcW w:w="1842" w:type="dxa"/>
          </w:tcPr>
          <w:p w14:paraId="48FFFF54" w14:textId="52A485F5" w:rsidR="007A09BA" w:rsidRPr="001A4CBD" w:rsidRDefault="007A09BA" w:rsidP="00AC321D">
            <w:pPr>
              <w:tabs>
                <w:tab w:val="decimal" w:pos="1199"/>
              </w:tabs>
            </w:pPr>
            <w:r>
              <w:t xml:space="preserve">$ </w:t>
            </w:r>
            <w:r w:rsidR="006A48BD">
              <w:t>1,020,352</w:t>
            </w:r>
          </w:p>
        </w:tc>
        <w:tc>
          <w:tcPr>
            <w:tcW w:w="1841" w:type="dxa"/>
          </w:tcPr>
          <w:p w14:paraId="1FF312D5" w14:textId="789E5A9B" w:rsidR="007A09BA" w:rsidRPr="00EB7BF0" w:rsidRDefault="007A09BA" w:rsidP="00AC321D">
            <w:pPr>
              <w:tabs>
                <w:tab w:val="decimal" w:pos="1157"/>
              </w:tabs>
            </w:pPr>
            <w:r>
              <w:t xml:space="preserve">$ </w:t>
            </w:r>
            <w:r w:rsidR="006A48BD">
              <w:t xml:space="preserve">            -</w:t>
            </w:r>
          </w:p>
        </w:tc>
      </w:tr>
      <w:tr w:rsidR="006A48BD" w:rsidRPr="00EB7BF0" w14:paraId="2954ABB4" w14:textId="77777777" w:rsidTr="00AC321D">
        <w:tc>
          <w:tcPr>
            <w:tcW w:w="6055" w:type="dxa"/>
          </w:tcPr>
          <w:p w14:paraId="61DA1626" w14:textId="2564C285" w:rsidR="006A48BD" w:rsidRDefault="006A48BD" w:rsidP="00AC321D">
            <w:pPr>
              <w:ind w:left="162"/>
            </w:pPr>
            <w:r>
              <w:t>Prepaid insurance premiums</w:t>
            </w:r>
          </w:p>
        </w:tc>
        <w:tc>
          <w:tcPr>
            <w:tcW w:w="1842" w:type="dxa"/>
          </w:tcPr>
          <w:p w14:paraId="06909EB4" w14:textId="591C37BA" w:rsidR="006A48BD" w:rsidRDefault="006A48BD" w:rsidP="00AC321D">
            <w:pPr>
              <w:tabs>
                <w:tab w:val="decimal" w:pos="1199"/>
              </w:tabs>
            </w:pPr>
            <w:r>
              <w:t>42,383</w:t>
            </w:r>
          </w:p>
        </w:tc>
        <w:tc>
          <w:tcPr>
            <w:tcW w:w="1841" w:type="dxa"/>
          </w:tcPr>
          <w:p w14:paraId="75250C45" w14:textId="3D99B044" w:rsidR="006A48BD" w:rsidRDefault="006A48BD" w:rsidP="00AC321D">
            <w:pPr>
              <w:tabs>
                <w:tab w:val="decimal" w:pos="1157"/>
              </w:tabs>
            </w:pPr>
            <w:r>
              <w:t>123,248</w:t>
            </w:r>
          </w:p>
        </w:tc>
      </w:tr>
      <w:tr w:rsidR="007A09BA" w:rsidRPr="00EB7BF0" w14:paraId="3BA9DFE8" w14:textId="77777777" w:rsidTr="00AC321D">
        <w:tc>
          <w:tcPr>
            <w:tcW w:w="6055" w:type="dxa"/>
          </w:tcPr>
          <w:p w14:paraId="14F10917" w14:textId="26652F51" w:rsidR="007A09BA" w:rsidRDefault="007A09BA" w:rsidP="00AC321D">
            <w:pPr>
              <w:ind w:left="162"/>
            </w:pPr>
            <w:r>
              <w:t>Prepaid rent</w:t>
            </w:r>
          </w:p>
        </w:tc>
        <w:tc>
          <w:tcPr>
            <w:tcW w:w="1842" w:type="dxa"/>
          </w:tcPr>
          <w:p w14:paraId="7DF682F4" w14:textId="210B826C" w:rsidR="007A09BA" w:rsidRDefault="004C0A63" w:rsidP="00AC321D">
            <w:pPr>
              <w:tabs>
                <w:tab w:val="decimal" w:pos="1199"/>
              </w:tabs>
            </w:pPr>
            <w:r>
              <w:t>13,045</w:t>
            </w:r>
          </w:p>
        </w:tc>
        <w:tc>
          <w:tcPr>
            <w:tcW w:w="1841" w:type="dxa"/>
          </w:tcPr>
          <w:p w14:paraId="750AD568" w14:textId="18BDAFA7" w:rsidR="007A09BA" w:rsidRDefault="007A09BA" w:rsidP="00AC321D">
            <w:pPr>
              <w:tabs>
                <w:tab w:val="decimal" w:pos="1157"/>
              </w:tabs>
            </w:pPr>
            <w:r>
              <w:t>13,045</w:t>
            </w:r>
          </w:p>
        </w:tc>
      </w:tr>
      <w:tr w:rsidR="004C0A63" w:rsidRPr="00EB7BF0" w14:paraId="1055DFD7" w14:textId="77777777" w:rsidTr="00AC321D">
        <w:tc>
          <w:tcPr>
            <w:tcW w:w="6055" w:type="dxa"/>
          </w:tcPr>
          <w:p w14:paraId="1045469A" w14:textId="5BDC4CD6" w:rsidR="004C0A63" w:rsidRDefault="006A48BD" w:rsidP="00AC321D">
            <w:pPr>
              <w:ind w:left="162"/>
            </w:pPr>
            <w:r>
              <w:t>Other prepaid expenses</w:t>
            </w:r>
          </w:p>
        </w:tc>
        <w:tc>
          <w:tcPr>
            <w:tcW w:w="1842" w:type="dxa"/>
          </w:tcPr>
          <w:p w14:paraId="4CB24A8D" w14:textId="2E6B64C4" w:rsidR="004C0A63" w:rsidRDefault="004C0A63" w:rsidP="00AC321D">
            <w:pPr>
              <w:tabs>
                <w:tab w:val="decimal" w:pos="1199"/>
              </w:tabs>
            </w:pPr>
            <w:r>
              <w:t>60,000</w:t>
            </w:r>
          </w:p>
        </w:tc>
        <w:tc>
          <w:tcPr>
            <w:tcW w:w="1841" w:type="dxa"/>
          </w:tcPr>
          <w:p w14:paraId="6EE2DD6F" w14:textId="382B99BA" w:rsidR="004C0A63" w:rsidRDefault="004C0A63" w:rsidP="00AC321D">
            <w:pPr>
              <w:tabs>
                <w:tab w:val="decimal" w:pos="1157"/>
              </w:tabs>
            </w:pPr>
            <w:r>
              <w:t>19,947</w:t>
            </w:r>
          </w:p>
        </w:tc>
      </w:tr>
      <w:tr w:rsidR="007A09BA" w:rsidRPr="00EB7BF0" w14:paraId="4A0771FD" w14:textId="77777777" w:rsidTr="00AC321D">
        <w:tc>
          <w:tcPr>
            <w:tcW w:w="6055" w:type="dxa"/>
          </w:tcPr>
          <w:p w14:paraId="0E83D845" w14:textId="06B9A423" w:rsidR="007A09BA" w:rsidRPr="00452D3C" w:rsidRDefault="007A09BA" w:rsidP="00AC321D">
            <w:pPr>
              <w:ind w:left="162"/>
            </w:pPr>
            <w:r>
              <w:t xml:space="preserve">Total </w:t>
            </w:r>
            <w:r w:rsidR="00D518B5">
              <w:t>prepaid expenses</w:t>
            </w:r>
          </w:p>
        </w:tc>
        <w:tc>
          <w:tcPr>
            <w:tcW w:w="1842" w:type="dxa"/>
            <w:tcBorders>
              <w:top w:val="single" w:sz="4" w:space="0" w:color="auto"/>
              <w:bottom w:val="double" w:sz="4" w:space="0" w:color="auto"/>
            </w:tcBorders>
          </w:tcPr>
          <w:p w14:paraId="730C9A97" w14:textId="3AF3790F" w:rsidR="007A09BA" w:rsidRPr="001A4CBD" w:rsidRDefault="007A09BA" w:rsidP="00AC321D">
            <w:pPr>
              <w:tabs>
                <w:tab w:val="decimal" w:pos="1199"/>
              </w:tabs>
            </w:pPr>
            <w:r>
              <w:t xml:space="preserve">$ </w:t>
            </w:r>
            <w:r w:rsidR="004C0A63">
              <w:t>1,135,780</w:t>
            </w:r>
          </w:p>
        </w:tc>
        <w:tc>
          <w:tcPr>
            <w:tcW w:w="1841" w:type="dxa"/>
            <w:tcBorders>
              <w:top w:val="single" w:sz="4" w:space="0" w:color="auto"/>
              <w:bottom w:val="double" w:sz="4" w:space="0" w:color="auto"/>
            </w:tcBorders>
          </w:tcPr>
          <w:p w14:paraId="459396A8" w14:textId="5F4AF178" w:rsidR="007A09BA" w:rsidRPr="00EB7BF0" w:rsidRDefault="007A09BA" w:rsidP="00AC321D">
            <w:pPr>
              <w:tabs>
                <w:tab w:val="decimal" w:pos="1157"/>
              </w:tabs>
            </w:pPr>
            <w:r>
              <w:t>$ 156,240</w:t>
            </w:r>
          </w:p>
        </w:tc>
      </w:tr>
    </w:tbl>
    <w:p w14:paraId="0F8156B4" w14:textId="77777777" w:rsidR="007A09BA" w:rsidRDefault="007A09BA" w:rsidP="000A55AE">
      <w:pPr>
        <w:pStyle w:val="BodyText"/>
        <w:spacing w:after="0"/>
      </w:pPr>
    </w:p>
    <w:p w14:paraId="2A31DEEB" w14:textId="77777777" w:rsidR="00B06A07" w:rsidRDefault="00B06A07">
      <w:pPr>
        <w:rPr>
          <w:b/>
          <w:bCs/>
        </w:rPr>
      </w:pPr>
      <w:r>
        <w:rPr>
          <w:b/>
          <w:bCs/>
        </w:rPr>
        <w:br w:type="page"/>
      </w:r>
    </w:p>
    <w:p w14:paraId="379B859F" w14:textId="556D64F5" w:rsidR="008758A5" w:rsidRPr="001C6303" w:rsidRDefault="008758A5" w:rsidP="000A55AE">
      <w:pPr>
        <w:pStyle w:val="BodyText"/>
        <w:spacing w:after="0"/>
      </w:pPr>
      <w:r w:rsidRPr="004C0A63">
        <w:rPr>
          <w:b/>
          <w:bCs/>
        </w:rPr>
        <w:t xml:space="preserve">Property and </w:t>
      </w:r>
      <w:r w:rsidR="005B0364">
        <w:rPr>
          <w:b/>
          <w:bCs/>
        </w:rPr>
        <w:t>E</w:t>
      </w:r>
      <w:r w:rsidRPr="004C0A63">
        <w:rPr>
          <w:b/>
          <w:bCs/>
        </w:rPr>
        <w:t>quipment</w:t>
      </w:r>
      <w:r w:rsidR="005B0364">
        <w:rPr>
          <w:b/>
          <w:bCs/>
        </w:rPr>
        <w:t xml:space="preserve"> </w:t>
      </w:r>
      <w:r w:rsidRPr="004C0A63">
        <w:t>–</w:t>
      </w:r>
      <w:r>
        <w:t xml:space="preserve"> </w:t>
      </w:r>
      <w:r w:rsidR="009157AA">
        <w:t>Property and equipment</w:t>
      </w:r>
      <w:r w:rsidR="005B0364">
        <w:t xml:space="preserve"> </w:t>
      </w:r>
      <w:r w:rsidR="00AE0CD0">
        <w:t>consist of the following</w:t>
      </w:r>
      <w:r w:rsidR="009157AA">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0C73C64C" w:rsidR="00B06A21" w:rsidRDefault="005E5FAE" w:rsidP="000A55AE">
            <w:pPr>
              <w:jc w:val="center"/>
            </w:pPr>
            <w:r>
              <w:t>June</w:t>
            </w:r>
            <w:r w:rsidR="00F415DC">
              <w:t xml:space="preserve"> 3</w:t>
            </w:r>
            <w:r>
              <w:t>0</w:t>
            </w:r>
            <w:r w:rsidR="00B06A21">
              <w:t>,</w:t>
            </w:r>
          </w:p>
          <w:p w14:paraId="23AB651E" w14:textId="17AF9A95" w:rsidR="004B5B77" w:rsidRPr="00EB7BF0" w:rsidRDefault="004B5B77" w:rsidP="000A55AE">
            <w:pPr>
              <w:jc w:val="center"/>
            </w:pPr>
            <w:r>
              <w:t>20</w:t>
            </w:r>
            <w:r w:rsidR="00E576BB">
              <w:t>2</w:t>
            </w:r>
            <w:r w:rsidR="009E2CD3">
              <w:t>2</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1B4381E5" w:rsidR="004B5B77" w:rsidRPr="00EB7BF0" w:rsidRDefault="00B06A21" w:rsidP="000A55AE">
            <w:pPr>
              <w:jc w:val="center"/>
            </w:pPr>
            <w:r>
              <w:t>20</w:t>
            </w:r>
            <w:r w:rsidR="00CF588B">
              <w:t>2</w:t>
            </w:r>
            <w:r w:rsidR="009E2CD3">
              <w:t>1</w:t>
            </w:r>
          </w:p>
        </w:tc>
      </w:tr>
      <w:tr w:rsidR="004B5B77" w:rsidRPr="00EB7BF0" w14:paraId="7654121A" w14:textId="77777777" w:rsidTr="002B05F2">
        <w:tc>
          <w:tcPr>
            <w:tcW w:w="6055" w:type="dxa"/>
          </w:tcPr>
          <w:p w14:paraId="3BC8BA6E" w14:textId="07E2103D" w:rsidR="004B5B77" w:rsidRPr="00EB7BF0" w:rsidRDefault="009E2CD3" w:rsidP="000A55AE">
            <w:pPr>
              <w:ind w:left="162"/>
            </w:pPr>
            <w:r>
              <w:t>Equipment and furnishings</w:t>
            </w:r>
          </w:p>
        </w:tc>
        <w:tc>
          <w:tcPr>
            <w:tcW w:w="1842" w:type="dxa"/>
          </w:tcPr>
          <w:p w14:paraId="1EA4D72B" w14:textId="4CCC952B" w:rsidR="004B5B77" w:rsidRPr="00FA15F9" w:rsidRDefault="004B5B77" w:rsidP="000A55AE">
            <w:pPr>
              <w:tabs>
                <w:tab w:val="decimal" w:pos="1332"/>
              </w:tabs>
            </w:pPr>
            <w:r w:rsidRPr="00FA15F9">
              <w:t>$</w:t>
            </w:r>
            <w:r w:rsidR="00685606" w:rsidRPr="00FA15F9">
              <w:t xml:space="preserve"> </w:t>
            </w:r>
            <w:r w:rsidRPr="00FA15F9">
              <w:t xml:space="preserve">  </w:t>
            </w:r>
            <w:r w:rsidR="009B624A">
              <w:t>6</w:t>
            </w:r>
            <w:r w:rsidR="005570D6">
              <w:t>73,937</w:t>
            </w:r>
          </w:p>
        </w:tc>
        <w:tc>
          <w:tcPr>
            <w:tcW w:w="1841" w:type="dxa"/>
          </w:tcPr>
          <w:p w14:paraId="34DF51DB" w14:textId="2E82FE31" w:rsidR="004B5B77" w:rsidRPr="00EB7BF0" w:rsidRDefault="00B06A21" w:rsidP="000A55AE">
            <w:pPr>
              <w:tabs>
                <w:tab w:val="decimal" w:pos="1287"/>
              </w:tabs>
            </w:pPr>
            <w:r>
              <w:t xml:space="preserve">$   </w:t>
            </w:r>
            <w:r w:rsidR="009E2CD3">
              <w:t>591,554</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755AC3EC" w:rsidR="004B5B77" w:rsidRPr="00FA15F9" w:rsidRDefault="00B74BA5" w:rsidP="000A55AE">
            <w:pPr>
              <w:tabs>
                <w:tab w:val="decimal" w:pos="1332"/>
              </w:tabs>
            </w:pPr>
            <w:r>
              <w:t>115</w:t>
            </w:r>
            <w:r w:rsidR="005E5FAE">
              <w:t>,605</w:t>
            </w:r>
          </w:p>
        </w:tc>
        <w:tc>
          <w:tcPr>
            <w:tcW w:w="1841" w:type="dxa"/>
          </w:tcPr>
          <w:p w14:paraId="27EED44E" w14:textId="5F639C7E" w:rsidR="004B5B77" w:rsidRPr="00EB7BF0" w:rsidRDefault="00B06A21" w:rsidP="000A55AE">
            <w:pPr>
              <w:tabs>
                <w:tab w:val="decimal" w:pos="1287"/>
              </w:tabs>
            </w:pPr>
            <w:r>
              <w:t>1</w:t>
            </w:r>
            <w:r w:rsidR="00CF588B">
              <w:t>15,605</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346F97D6" w:rsidR="004B5B77" w:rsidRPr="00FA15F9" w:rsidRDefault="009B624A" w:rsidP="000A55AE">
            <w:pPr>
              <w:tabs>
                <w:tab w:val="decimal" w:pos="1332"/>
              </w:tabs>
            </w:pPr>
            <w:r>
              <w:t>7</w:t>
            </w:r>
            <w:r w:rsidR="005570D6">
              <w:t>89,542</w:t>
            </w:r>
          </w:p>
        </w:tc>
        <w:tc>
          <w:tcPr>
            <w:tcW w:w="1841" w:type="dxa"/>
            <w:tcBorders>
              <w:top w:val="single" w:sz="4" w:space="0" w:color="auto"/>
            </w:tcBorders>
          </w:tcPr>
          <w:p w14:paraId="6309218B" w14:textId="1DC5B6F2" w:rsidR="004B5B77" w:rsidRPr="00EB7BF0" w:rsidRDefault="009E2CD3" w:rsidP="000A55AE">
            <w:pPr>
              <w:tabs>
                <w:tab w:val="decimal" w:pos="1287"/>
              </w:tabs>
            </w:pPr>
            <w:r>
              <w:t>707,159</w:t>
            </w:r>
          </w:p>
        </w:tc>
      </w:tr>
      <w:tr w:rsidR="004B5B77" w:rsidRPr="00452D3C" w14:paraId="60DF5069" w14:textId="77777777" w:rsidTr="002B05F2">
        <w:tc>
          <w:tcPr>
            <w:tcW w:w="6055" w:type="dxa"/>
          </w:tcPr>
          <w:p w14:paraId="156F8B62" w14:textId="77777777" w:rsidR="004B5B77" w:rsidRPr="00452D3C" w:rsidRDefault="004B5B77" w:rsidP="000A55AE">
            <w:pPr>
              <w:ind w:left="162"/>
            </w:pPr>
            <w:r w:rsidRPr="00452D3C">
              <w:t>Accumulated depreciation and amortization</w:t>
            </w:r>
          </w:p>
        </w:tc>
        <w:tc>
          <w:tcPr>
            <w:tcW w:w="1842" w:type="dxa"/>
            <w:tcBorders>
              <w:bottom w:val="single" w:sz="4" w:space="0" w:color="auto"/>
            </w:tcBorders>
          </w:tcPr>
          <w:p w14:paraId="7342DE2E" w14:textId="658EEB50" w:rsidR="004B5B77" w:rsidRPr="00FA15F9" w:rsidRDefault="00B74BA5" w:rsidP="000A55AE">
            <w:pPr>
              <w:tabs>
                <w:tab w:val="decimal" w:pos="1332"/>
              </w:tabs>
            </w:pPr>
            <w:r>
              <w:t>(</w:t>
            </w:r>
            <w:r w:rsidR="009B624A">
              <w:t>574,759</w:t>
            </w:r>
            <w:r>
              <w:t>)</w:t>
            </w:r>
          </w:p>
        </w:tc>
        <w:tc>
          <w:tcPr>
            <w:tcW w:w="1841" w:type="dxa"/>
            <w:tcBorders>
              <w:bottom w:val="single" w:sz="4" w:space="0" w:color="auto"/>
            </w:tcBorders>
          </w:tcPr>
          <w:p w14:paraId="675271A9" w14:textId="322CACDE" w:rsidR="004B5B77" w:rsidRPr="00452D3C" w:rsidRDefault="00F415DC" w:rsidP="000A55AE">
            <w:pPr>
              <w:tabs>
                <w:tab w:val="decimal" w:pos="1287"/>
              </w:tabs>
            </w:pPr>
            <w:r>
              <w:t>(</w:t>
            </w:r>
            <w:r w:rsidR="009E2CD3">
              <w:t>550,221</w:t>
            </w:r>
            <w:r w:rsidR="004B5B77" w:rsidRPr="00452D3C">
              <w:t>)</w:t>
            </w:r>
          </w:p>
        </w:tc>
      </w:tr>
      <w:tr w:rsidR="004B5B77" w:rsidRPr="00EB7BF0" w14:paraId="367CE2C7" w14:textId="77777777" w:rsidTr="002B05F2">
        <w:tc>
          <w:tcPr>
            <w:tcW w:w="6055" w:type="dxa"/>
          </w:tcPr>
          <w:p w14:paraId="721CBB2F" w14:textId="33638DD1" w:rsidR="004B5B77" w:rsidRPr="00452D3C" w:rsidRDefault="00D518B5" w:rsidP="000A55AE">
            <w:pPr>
              <w:ind w:left="162"/>
            </w:pPr>
            <w:r>
              <w:t>Total p</w:t>
            </w:r>
            <w:r w:rsidR="004B5B77" w:rsidRPr="00452D3C">
              <w:t>roperty and equipment, net</w:t>
            </w:r>
          </w:p>
        </w:tc>
        <w:tc>
          <w:tcPr>
            <w:tcW w:w="1842" w:type="dxa"/>
            <w:tcBorders>
              <w:top w:val="single" w:sz="4" w:space="0" w:color="auto"/>
              <w:bottom w:val="double" w:sz="4" w:space="0" w:color="auto"/>
            </w:tcBorders>
          </w:tcPr>
          <w:p w14:paraId="5346019E" w14:textId="485DE9DE" w:rsidR="004B5B77" w:rsidRPr="00FA15F9" w:rsidRDefault="00B06A21" w:rsidP="000A55AE">
            <w:pPr>
              <w:tabs>
                <w:tab w:val="decimal" w:pos="1332"/>
              </w:tabs>
            </w:pPr>
            <w:r w:rsidRPr="00FA15F9">
              <w:t xml:space="preserve">$ </w:t>
            </w:r>
            <w:r w:rsidR="005776D5">
              <w:t xml:space="preserve"> </w:t>
            </w:r>
            <w:r w:rsidRPr="00FA15F9">
              <w:t xml:space="preserve"> </w:t>
            </w:r>
            <w:r w:rsidR="001367D9">
              <w:t>2</w:t>
            </w:r>
            <w:r w:rsidR="005570D6">
              <w:t>14,783</w:t>
            </w:r>
          </w:p>
        </w:tc>
        <w:tc>
          <w:tcPr>
            <w:tcW w:w="1841" w:type="dxa"/>
            <w:tcBorders>
              <w:top w:val="single" w:sz="4" w:space="0" w:color="auto"/>
              <w:bottom w:val="double" w:sz="4" w:space="0" w:color="auto"/>
            </w:tcBorders>
          </w:tcPr>
          <w:p w14:paraId="3FB8FADE" w14:textId="2AF347DD" w:rsidR="004B5B77" w:rsidRPr="00EB7BF0" w:rsidRDefault="00B06A21" w:rsidP="000A55AE">
            <w:pPr>
              <w:tabs>
                <w:tab w:val="decimal" w:pos="1287"/>
              </w:tabs>
            </w:pPr>
            <w:r w:rsidRPr="00452D3C">
              <w:t xml:space="preserve">$  </w:t>
            </w:r>
            <w:r w:rsidR="00F92A7B">
              <w:t xml:space="preserve"> </w:t>
            </w:r>
            <w:r w:rsidR="009E2CD3">
              <w:t>156,938</w:t>
            </w:r>
          </w:p>
        </w:tc>
      </w:tr>
    </w:tbl>
    <w:p w14:paraId="275B29E8" w14:textId="7FFAA84D" w:rsidR="000A55AE" w:rsidRDefault="000A55AE" w:rsidP="000A55AE">
      <w:pPr>
        <w:pStyle w:val="BodyText"/>
        <w:spacing w:after="0"/>
      </w:pPr>
    </w:p>
    <w:p w14:paraId="10A954E4" w14:textId="2073A8EF" w:rsidR="005B0364" w:rsidRPr="004C0A63" w:rsidRDefault="005B0364" w:rsidP="005B0364">
      <w:pPr>
        <w:pStyle w:val="BodyText"/>
        <w:spacing w:after="0"/>
      </w:pPr>
      <w:r>
        <w:rPr>
          <w:b/>
          <w:bCs/>
        </w:rPr>
        <w:t>Other</w:t>
      </w:r>
      <w:r w:rsidRPr="004C0A63">
        <w:rPr>
          <w:b/>
          <w:bCs/>
        </w:rPr>
        <w:t xml:space="preserve"> </w:t>
      </w:r>
      <w:r>
        <w:rPr>
          <w:b/>
          <w:bCs/>
        </w:rPr>
        <w:t>Assets</w:t>
      </w:r>
      <w:r w:rsidRPr="004C0A63">
        <w:t xml:space="preserve"> – </w:t>
      </w:r>
      <w:r w:rsidR="002C4265">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5B0364" w:rsidRPr="004C0A63" w14:paraId="325A1EF4" w14:textId="77777777" w:rsidTr="000A0652">
        <w:tc>
          <w:tcPr>
            <w:tcW w:w="6055" w:type="dxa"/>
          </w:tcPr>
          <w:p w14:paraId="4B2A69B9" w14:textId="77777777" w:rsidR="005B0364" w:rsidRPr="004C0A63" w:rsidRDefault="005B0364" w:rsidP="000A0652"/>
        </w:tc>
        <w:tc>
          <w:tcPr>
            <w:tcW w:w="1842" w:type="dxa"/>
            <w:tcBorders>
              <w:bottom w:val="single" w:sz="4" w:space="0" w:color="auto"/>
            </w:tcBorders>
          </w:tcPr>
          <w:p w14:paraId="3526AF35" w14:textId="77777777" w:rsidR="005B0364" w:rsidRPr="004C0A63" w:rsidRDefault="005B0364" w:rsidP="000A0652">
            <w:pPr>
              <w:jc w:val="center"/>
            </w:pPr>
            <w:r w:rsidRPr="004C0A63">
              <w:t>June 30,</w:t>
            </w:r>
          </w:p>
          <w:p w14:paraId="281C454B" w14:textId="77777777" w:rsidR="005B0364" w:rsidRPr="004C0A63" w:rsidRDefault="005B0364" w:rsidP="000A0652">
            <w:pPr>
              <w:jc w:val="center"/>
            </w:pPr>
            <w:r w:rsidRPr="004C0A63">
              <w:t>2022</w:t>
            </w:r>
          </w:p>
        </w:tc>
        <w:tc>
          <w:tcPr>
            <w:tcW w:w="1841" w:type="dxa"/>
            <w:tcBorders>
              <w:bottom w:val="single" w:sz="4" w:space="0" w:color="auto"/>
            </w:tcBorders>
          </w:tcPr>
          <w:p w14:paraId="5F9B1B32" w14:textId="77777777" w:rsidR="005B0364" w:rsidRPr="004C0A63" w:rsidRDefault="005B0364" w:rsidP="000A0652">
            <w:pPr>
              <w:jc w:val="center"/>
            </w:pPr>
            <w:r w:rsidRPr="004C0A63">
              <w:t>December 31,</w:t>
            </w:r>
          </w:p>
          <w:p w14:paraId="5C6F3BE8" w14:textId="77777777" w:rsidR="005B0364" w:rsidRPr="004C0A63" w:rsidRDefault="005B0364" w:rsidP="000A0652">
            <w:pPr>
              <w:jc w:val="center"/>
            </w:pPr>
            <w:r w:rsidRPr="004C0A63">
              <w:t>2021</w:t>
            </w:r>
          </w:p>
        </w:tc>
      </w:tr>
      <w:tr w:rsidR="005B0364" w:rsidRPr="004C0A63" w14:paraId="3C08B7D4" w14:textId="77777777" w:rsidTr="000A0652">
        <w:tc>
          <w:tcPr>
            <w:tcW w:w="6055" w:type="dxa"/>
          </w:tcPr>
          <w:p w14:paraId="46625127" w14:textId="5C778D57" w:rsidR="005B0364" w:rsidRPr="004C0A63" w:rsidRDefault="00E843E6" w:rsidP="000A0652">
            <w:pPr>
              <w:ind w:left="162"/>
            </w:pPr>
            <w:r>
              <w:t>Prepaid clinical trial expenses</w:t>
            </w:r>
            <w:r w:rsidR="002C4265">
              <w:t xml:space="preserve"> </w:t>
            </w:r>
          </w:p>
        </w:tc>
        <w:tc>
          <w:tcPr>
            <w:tcW w:w="1842" w:type="dxa"/>
          </w:tcPr>
          <w:p w14:paraId="44D02F31" w14:textId="5333A3FE" w:rsidR="005B0364" w:rsidRPr="004C0A63" w:rsidRDefault="005B0364" w:rsidP="000A0652">
            <w:pPr>
              <w:tabs>
                <w:tab w:val="decimal" w:pos="1199"/>
              </w:tabs>
            </w:pPr>
            <w:r w:rsidRPr="004C0A63">
              <w:t xml:space="preserve">$ </w:t>
            </w:r>
            <w:r w:rsidR="002C4265">
              <w:t xml:space="preserve">  976,498</w:t>
            </w:r>
          </w:p>
        </w:tc>
        <w:tc>
          <w:tcPr>
            <w:tcW w:w="1841" w:type="dxa"/>
          </w:tcPr>
          <w:p w14:paraId="01AF4578" w14:textId="0CC27999" w:rsidR="005B0364" w:rsidRPr="004C0A63" w:rsidRDefault="005B0364" w:rsidP="000A0652">
            <w:pPr>
              <w:tabs>
                <w:tab w:val="decimal" w:pos="1157"/>
              </w:tabs>
            </w:pPr>
            <w:r w:rsidRPr="004C0A63">
              <w:t xml:space="preserve">$ </w:t>
            </w:r>
            <w:r w:rsidR="002C4265">
              <w:t xml:space="preserve">            -</w:t>
            </w:r>
          </w:p>
        </w:tc>
      </w:tr>
      <w:tr w:rsidR="005B0364" w:rsidRPr="004C0A63" w14:paraId="27D47167" w14:textId="77777777" w:rsidTr="000A0652">
        <w:tc>
          <w:tcPr>
            <w:tcW w:w="6055" w:type="dxa"/>
          </w:tcPr>
          <w:p w14:paraId="55526C35" w14:textId="76ECB337" w:rsidR="005B0364" w:rsidRPr="004C0A63" w:rsidRDefault="002C4265" w:rsidP="000A0652">
            <w:pPr>
              <w:ind w:left="162"/>
            </w:pPr>
            <w:r>
              <w:t>Lease deposit</w:t>
            </w:r>
          </w:p>
        </w:tc>
        <w:tc>
          <w:tcPr>
            <w:tcW w:w="1842" w:type="dxa"/>
            <w:tcBorders>
              <w:bottom w:val="single" w:sz="4" w:space="0" w:color="auto"/>
            </w:tcBorders>
          </w:tcPr>
          <w:p w14:paraId="560E1F4B" w14:textId="69BE4232" w:rsidR="005B0364" w:rsidRPr="004C0A63" w:rsidRDefault="002C4265" w:rsidP="000A0652">
            <w:pPr>
              <w:tabs>
                <w:tab w:val="decimal" w:pos="1199"/>
              </w:tabs>
            </w:pPr>
            <w:r>
              <w:t>11,010</w:t>
            </w:r>
          </w:p>
        </w:tc>
        <w:tc>
          <w:tcPr>
            <w:tcW w:w="1841" w:type="dxa"/>
            <w:tcBorders>
              <w:bottom w:val="single" w:sz="4" w:space="0" w:color="auto"/>
            </w:tcBorders>
          </w:tcPr>
          <w:p w14:paraId="76D36B9E" w14:textId="5A8CB073" w:rsidR="005B0364" w:rsidRPr="004C0A63" w:rsidRDefault="005B0364" w:rsidP="000A0652">
            <w:pPr>
              <w:tabs>
                <w:tab w:val="decimal" w:pos="1157"/>
              </w:tabs>
            </w:pPr>
            <w:r w:rsidRPr="004C0A63">
              <w:t>1</w:t>
            </w:r>
            <w:r w:rsidR="002C4265">
              <w:t>1,010</w:t>
            </w:r>
          </w:p>
        </w:tc>
      </w:tr>
      <w:tr w:rsidR="005B0364" w:rsidRPr="004C0A63" w14:paraId="139BAB7B" w14:textId="77777777" w:rsidTr="000A0652">
        <w:tc>
          <w:tcPr>
            <w:tcW w:w="6055" w:type="dxa"/>
          </w:tcPr>
          <w:p w14:paraId="1C0F5091" w14:textId="2B2B20C8" w:rsidR="005B0364" w:rsidRPr="004C0A63" w:rsidRDefault="005B0364" w:rsidP="000A0652">
            <w:pPr>
              <w:ind w:left="162"/>
            </w:pPr>
            <w:r w:rsidRPr="004C0A63">
              <w:t xml:space="preserve">Total </w:t>
            </w:r>
            <w:r w:rsidR="002C4265">
              <w:t>other assets</w:t>
            </w:r>
          </w:p>
        </w:tc>
        <w:tc>
          <w:tcPr>
            <w:tcW w:w="1842" w:type="dxa"/>
            <w:tcBorders>
              <w:top w:val="single" w:sz="4" w:space="0" w:color="auto"/>
              <w:bottom w:val="double" w:sz="4" w:space="0" w:color="auto"/>
            </w:tcBorders>
          </w:tcPr>
          <w:p w14:paraId="12927D7B" w14:textId="5B7D4648" w:rsidR="005B0364" w:rsidRPr="004C0A63" w:rsidRDefault="005B0364" w:rsidP="000A0652">
            <w:pPr>
              <w:tabs>
                <w:tab w:val="decimal" w:pos="1199"/>
              </w:tabs>
            </w:pPr>
            <w:r w:rsidRPr="004C0A63">
              <w:t xml:space="preserve">$ </w:t>
            </w:r>
            <w:r w:rsidR="002C4265">
              <w:t xml:space="preserve">  987,508</w:t>
            </w:r>
          </w:p>
        </w:tc>
        <w:tc>
          <w:tcPr>
            <w:tcW w:w="1841" w:type="dxa"/>
            <w:tcBorders>
              <w:top w:val="single" w:sz="4" w:space="0" w:color="auto"/>
              <w:bottom w:val="double" w:sz="4" w:space="0" w:color="auto"/>
            </w:tcBorders>
          </w:tcPr>
          <w:p w14:paraId="18E49102" w14:textId="1E294EEE" w:rsidR="005B0364" w:rsidRPr="004C0A63" w:rsidRDefault="005B0364" w:rsidP="000A0652">
            <w:pPr>
              <w:tabs>
                <w:tab w:val="decimal" w:pos="1157"/>
              </w:tabs>
            </w:pPr>
            <w:r w:rsidRPr="004C0A63">
              <w:t>$</w:t>
            </w:r>
            <w:r w:rsidR="002C4265">
              <w:t xml:space="preserve">  </w:t>
            </w:r>
            <w:r w:rsidRPr="004C0A63">
              <w:t xml:space="preserve"> </w:t>
            </w:r>
            <w:r w:rsidR="002C4265">
              <w:t>11,010</w:t>
            </w:r>
          </w:p>
        </w:tc>
      </w:tr>
    </w:tbl>
    <w:p w14:paraId="685EA274" w14:textId="77777777" w:rsidR="005B0364" w:rsidRDefault="005B0364" w:rsidP="000A55AE">
      <w:pPr>
        <w:pStyle w:val="BodyText"/>
        <w:spacing w:after="0"/>
      </w:pPr>
    </w:p>
    <w:p w14:paraId="1F06A4E5" w14:textId="4CF89266" w:rsidR="008758A5" w:rsidRPr="004C0A63" w:rsidRDefault="008758A5" w:rsidP="000A55AE">
      <w:pPr>
        <w:pStyle w:val="BodyText"/>
        <w:spacing w:after="0"/>
      </w:pPr>
      <w:r w:rsidRPr="004C0A63">
        <w:rPr>
          <w:b/>
          <w:bCs/>
        </w:rPr>
        <w:t>Accrued Expenses</w:t>
      </w:r>
      <w:r w:rsidRPr="004C0A63">
        <w:t xml:space="preserve"> – </w:t>
      </w:r>
      <w:r w:rsidR="000E74A1" w:rsidRPr="004C0A63">
        <w:t xml:space="preserve">Accrued expenses </w:t>
      </w:r>
      <w:r w:rsidRPr="004C0A63">
        <w:t>consist of the following</w:t>
      </w:r>
      <w:r w:rsidR="000E74A1" w:rsidRPr="004C0A63">
        <w:t>:</w:t>
      </w:r>
    </w:p>
    <w:tbl>
      <w:tblPr>
        <w:tblW w:w="0" w:type="auto"/>
        <w:tblInd w:w="198" w:type="dxa"/>
        <w:tblLook w:val="04A0" w:firstRow="1" w:lastRow="0" w:firstColumn="1" w:lastColumn="0" w:noHBand="0" w:noVBand="1"/>
      </w:tblPr>
      <w:tblGrid>
        <w:gridCol w:w="6055"/>
        <w:gridCol w:w="1842"/>
        <w:gridCol w:w="1841"/>
      </w:tblGrid>
      <w:tr w:rsidR="002B05F2" w:rsidRPr="004C0A63" w14:paraId="0260BBDA" w14:textId="77777777" w:rsidTr="002B05F2">
        <w:tc>
          <w:tcPr>
            <w:tcW w:w="6055" w:type="dxa"/>
          </w:tcPr>
          <w:p w14:paraId="39F94116" w14:textId="77777777" w:rsidR="000E74A1" w:rsidRPr="004C0A63" w:rsidRDefault="000E74A1" w:rsidP="000A55AE"/>
        </w:tc>
        <w:tc>
          <w:tcPr>
            <w:tcW w:w="1842" w:type="dxa"/>
            <w:tcBorders>
              <w:bottom w:val="single" w:sz="4" w:space="0" w:color="auto"/>
            </w:tcBorders>
          </w:tcPr>
          <w:p w14:paraId="2A42BAF7" w14:textId="4956D432" w:rsidR="002B05F2" w:rsidRPr="004C0A63" w:rsidRDefault="005E5FAE" w:rsidP="000A55AE">
            <w:pPr>
              <w:jc w:val="center"/>
            </w:pPr>
            <w:r w:rsidRPr="004C0A63">
              <w:t>June</w:t>
            </w:r>
            <w:r w:rsidR="009941FA" w:rsidRPr="004C0A63">
              <w:t xml:space="preserve"> 3</w:t>
            </w:r>
            <w:r w:rsidRPr="004C0A63">
              <w:t>0</w:t>
            </w:r>
            <w:r w:rsidR="002B05F2" w:rsidRPr="004C0A63">
              <w:t>,</w:t>
            </w:r>
          </w:p>
          <w:p w14:paraId="5D0B64A1" w14:textId="65A3B317" w:rsidR="002B05F2" w:rsidRPr="004C0A63" w:rsidRDefault="002B05F2" w:rsidP="000A55AE">
            <w:pPr>
              <w:jc w:val="center"/>
            </w:pPr>
            <w:r w:rsidRPr="004C0A63">
              <w:t>20</w:t>
            </w:r>
            <w:r w:rsidR="00717940" w:rsidRPr="004C0A63">
              <w:t>2</w:t>
            </w:r>
            <w:r w:rsidR="009E2CD3" w:rsidRPr="004C0A63">
              <w:t>2</w:t>
            </w:r>
          </w:p>
        </w:tc>
        <w:tc>
          <w:tcPr>
            <w:tcW w:w="1841" w:type="dxa"/>
            <w:tcBorders>
              <w:bottom w:val="single" w:sz="4" w:space="0" w:color="auto"/>
            </w:tcBorders>
          </w:tcPr>
          <w:p w14:paraId="19205898" w14:textId="77777777" w:rsidR="002B05F2" w:rsidRPr="004C0A63" w:rsidRDefault="002B05F2" w:rsidP="000A55AE">
            <w:pPr>
              <w:jc w:val="center"/>
            </w:pPr>
            <w:r w:rsidRPr="004C0A63">
              <w:t>December 31,</w:t>
            </w:r>
          </w:p>
          <w:p w14:paraId="08F38C79" w14:textId="0438594F" w:rsidR="002B05F2" w:rsidRPr="004C0A63" w:rsidRDefault="002B05F2" w:rsidP="000A55AE">
            <w:pPr>
              <w:jc w:val="center"/>
            </w:pPr>
            <w:r w:rsidRPr="004C0A63">
              <w:t>20</w:t>
            </w:r>
            <w:r w:rsidR="00F92A7B" w:rsidRPr="004C0A63">
              <w:t>2</w:t>
            </w:r>
            <w:r w:rsidR="009E2CD3" w:rsidRPr="004C0A63">
              <w:t>1</w:t>
            </w:r>
          </w:p>
        </w:tc>
      </w:tr>
      <w:tr w:rsidR="002B05F2" w:rsidRPr="004C0A63" w14:paraId="62D03BE8" w14:textId="77777777" w:rsidTr="002B05F2">
        <w:tc>
          <w:tcPr>
            <w:tcW w:w="6055" w:type="dxa"/>
          </w:tcPr>
          <w:p w14:paraId="54134F05" w14:textId="7113BA6C" w:rsidR="002B05F2" w:rsidRPr="004C0A63" w:rsidRDefault="002B05F2" w:rsidP="000A55AE">
            <w:pPr>
              <w:ind w:left="162"/>
            </w:pPr>
            <w:r w:rsidRPr="004C0A63">
              <w:t xml:space="preserve">Accrued </w:t>
            </w:r>
            <w:r w:rsidR="00281393">
              <w:t xml:space="preserve">technology </w:t>
            </w:r>
            <w:r w:rsidR="009E2CD3" w:rsidRPr="004C0A63">
              <w:t>license fees – current</w:t>
            </w:r>
            <w:r w:rsidR="008758A5" w:rsidRPr="004C0A63">
              <w:t xml:space="preserve"> portion</w:t>
            </w:r>
          </w:p>
        </w:tc>
        <w:tc>
          <w:tcPr>
            <w:tcW w:w="1842" w:type="dxa"/>
          </w:tcPr>
          <w:p w14:paraId="03CB4ED6" w14:textId="429F21D3" w:rsidR="002B05F2" w:rsidRPr="004C0A63" w:rsidRDefault="009941FA" w:rsidP="000A55AE">
            <w:pPr>
              <w:tabs>
                <w:tab w:val="decimal" w:pos="1199"/>
              </w:tabs>
            </w:pPr>
            <w:r w:rsidRPr="004C0A63">
              <w:t xml:space="preserve">$ </w:t>
            </w:r>
            <w:r w:rsidR="009E2CD3" w:rsidRPr="004C0A63">
              <w:t>3,000,000</w:t>
            </w:r>
          </w:p>
        </w:tc>
        <w:tc>
          <w:tcPr>
            <w:tcW w:w="1841" w:type="dxa"/>
          </w:tcPr>
          <w:p w14:paraId="299C0DF5" w14:textId="7C224C59" w:rsidR="002B05F2" w:rsidRPr="004C0A63" w:rsidRDefault="002B05F2" w:rsidP="000A55AE">
            <w:pPr>
              <w:tabs>
                <w:tab w:val="decimal" w:pos="1157"/>
              </w:tabs>
            </w:pPr>
            <w:r w:rsidRPr="004C0A63">
              <w:t>$</w:t>
            </w:r>
            <w:r w:rsidR="00C67C3F" w:rsidRPr="004C0A63">
              <w:t xml:space="preserve"> </w:t>
            </w:r>
            <w:r w:rsidR="009E2CD3" w:rsidRPr="004C0A63">
              <w:t>3,000,000</w:t>
            </w:r>
          </w:p>
        </w:tc>
      </w:tr>
      <w:tr w:rsidR="009E2CD3" w:rsidRPr="004C0A63" w14:paraId="400A1F2F" w14:textId="77777777" w:rsidTr="002B05F2">
        <w:tc>
          <w:tcPr>
            <w:tcW w:w="6055" w:type="dxa"/>
          </w:tcPr>
          <w:p w14:paraId="67E84BA3" w14:textId="1776F8DD" w:rsidR="009E2CD3" w:rsidRPr="004C0A63" w:rsidRDefault="009E2CD3" w:rsidP="000A55AE">
            <w:pPr>
              <w:ind w:left="162"/>
            </w:pPr>
            <w:r w:rsidRPr="004C0A63">
              <w:t xml:space="preserve">Accrued </w:t>
            </w:r>
            <w:r w:rsidR="00281393">
              <w:t>compensation</w:t>
            </w:r>
          </w:p>
        </w:tc>
        <w:tc>
          <w:tcPr>
            <w:tcW w:w="1842" w:type="dxa"/>
          </w:tcPr>
          <w:p w14:paraId="55AA8EBF" w14:textId="104473C1" w:rsidR="009E2CD3" w:rsidRPr="004C0A63" w:rsidRDefault="001677CE" w:rsidP="000A55AE">
            <w:pPr>
              <w:tabs>
                <w:tab w:val="decimal" w:pos="1199"/>
              </w:tabs>
            </w:pPr>
            <w:r w:rsidRPr="004C0A63">
              <w:t>4,583</w:t>
            </w:r>
          </w:p>
        </w:tc>
        <w:tc>
          <w:tcPr>
            <w:tcW w:w="1841" w:type="dxa"/>
          </w:tcPr>
          <w:p w14:paraId="0B3309C2" w14:textId="0ABA9F24" w:rsidR="009E2CD3" w:rsidRPr="004C0A63" w:rsidRDefault="009E2CD3" w:rsidP="000A55AE">
            <w:pPr>
              <w:tabs>
                <w:tab w:val="decimal" w:pos="1157"/>
              </w:tabs>
            </w:pPr>
            <w:r w:rsidRPr="004C0A63">
              <w:t>269,000</w:t>
            </w:r>
          </w:p>
        </w:tc>
      </w:tr>
      <w:tr w:rsidR="002B05F2" w:rsidRPr="004C0A63" w14:paraId="71F07EDF" w14:textId="77777777" w:rsidTr="002B05F2">
        <w:tc>
          <w:tcPr>
            <w:tcW w:w="6055" w:type="dxa"/>
          </w:tcPr>
          <w:p w14:paraId="3CEE5560" w14:textId="4675CA19" w:rsidR="002B05F2" w:rsidRPr="004C0A63" w:rsidRDefault="002B05F2" w:rsidP="000A55AE">
            <w:pPr>
              <w:ind w:left="162"/>
            </w:pPr>
            <w:r w:rsidRPr="004C0A63">
              <w:t>Other</w:t>
            </w:r>
            <w:r w:rsidR="00775DD0" w:rsidRPr="004C0A63">
              <w:t xml:space="preserve"> accrued expenses</w:t>
            </w:r>
          </w:p>
        </w:tc>
        <w:tc>
          <w:tcPr>
            <w:tcW w:w="1842" w:type="dxa"/>
            <w:tcBorders>
              <w:bottom w:val="single" w:sz="4" w:space="0" w:color="auto"/>
            </w:tcBorders>
          </w:tcPr>
          <w:p w14:paraId="1E4E219D" w14:textId="7A51076D" w:rsidR="002B05F2" w:rsidRPr="004C0A63" w:rsidRDefault="00E451B0" w:rsidP="000A55AE">
            <w:pPr>
              <w:tabs>
                <w:tab w:val="decimal" w:pos="1199"/>
              </w:tabs>
            </w:pPr>
            <w:r>
              <w:t>125,970</w:t>
            </w:r>
          </w:p>
        </w:tc>
        <w:tc>
          <w:tcPr>
            <w:tcW w:w="1841" w:type="dxa"/>
            <w:tcBorders>
              <w:bottom w:val="single" w:sz="4" w:space="0" w:color="auto"/>
            </w:tcBorders>
          </w:tcPr>
          <w:p w14:paraId="366C406E" w14:textId="7B73D6C1" w:rsidR="002B05F2" w:rsidRPr="004C0A63" w:rsidRDefault="009E2CD3" w:rsidP="000A55AE">
            <w:pPr>
              <w:tabs>
                <w:tab w:val="decimal" w:pos="1157"/>
              </w:tabs>
            </w:pPr>
            <w:r w:rsidRPr="004C0A63">
              <w:t>108,826</w:t>
            </w:r>
          </w:p>
        </w:tc>
      </w:tr>
      <w:tr w:rsidR="002B05F2" w:rsidRPr="004C0A63" w14:paraId="5DE2A726" w14:textId="77777777" w:rsidTr="002B05F2">
        <w:tc>
          <w:tcPr>
            <w:tcW w:w="6055" w:type="dxa"/>
          </w:tcPr>
          <w:p w14:paraId="324012B8" w14:textId="77777777" w:rsidR="002B05F2" w:rsidRPr="004C0A63" w:rsidRDefault="002B05F2" w:rsidP="000A55AE">
            <w:pPr>
              <w:ind w:left="162"/>
            </w:pPr>
            <w:r w:rsidRPr="004C0A63">
              <w:t>Total accrued expenses</w:t>
            </w:r>
          </w:p>
        </w:tc>
        <w:tc>
          <w:tcPr>
            <w:tcW w:w="1842" w:type="dxa"/>
            <w:tcBorders>
              <w:top w:val="single" w:sz="4" w:space="0" w:color="auto"/>
              <w:bottom w:val="double" w:sz="4" w:space="0" w:color="auto"/>
            </w:tcBorders>
          </w:tcPr>
          <w:p w14:paraId="5F1AF149" w14:textId="20B7EFA7" w:rsidR="002B05F2" w:rsidRPr="004C0A63" w:rsidRDefault="009941FA" w:rsidP="000A55AE">
            <w:pPr>
              <w:tabs>
                <w:tab w:val="decimal" w:pos="1199"/>
              </w:tabs>
            </w:pPr>
            <w:r w:rsidRPr="004C0A63">
              <w:t xml:space="preserve">$ </w:t>
            </w:r>
            <w:r w:rsidR="008758A5" w:rsidRPr="004C0A63">
              <w:t>3</w:t>
            </w:r>
            <w:r w:rsidR="001677CE" w:rsidRPr="004C0A63">
              <w:t>,</w:t>
            </w:r>
            <w:r w:rsidR="00E451B0">
              <w:t>130,553</w:t>
            </w:r>
          </w:p>
        </w:tc>
        <w:tc>
          <w:tcPr>
            <w:tcW w:w="1841" w:type="dxa"/>
            <w:tcBorders>
              <w:top w:val="single" w:sz="4" w:space="0" w:color="auto"/>
              <w:bottom w:val="double" w:sz="4" w:space="0" w:color="auto"/>
            </w:tcBorders>
          </w:tcPr>
          <w:p w14:paraId="27A7728F" w14:textId="4D7C80BD" w:rsidR="002B05F2" w:rsidRPr="004C0A63" w:rsidRDefault="009941FA" w:rsidP="000A55AE">
            <w:pPr>
              <w:tabs>
                <w:tab w:val="decimal" w:pos="1157"/>
              </w:tabs>
            </w:pPr>
            <w:r w:rsidRPr="004C0A63">
              <w:t>$</w:t>
            </w:r>
            <w:r w:rsidR="009E2CD3" w:rsidRPr="004C0A63">
              <w:t xml:space="preserve"> </w:t>
            </w:r>
            <w:r w:rsidR="008758A5" w:rsidRPr="004C0A63">
              <w:t>3</w:t>
            </w:r>
            <w:r w:rsidR="009E2CD3" w:rsidRPr="004C0A63">
              <w:t>,377,826</w:t>
            </w:r>
          </w:p>
        </w:tc>
      </w:tr>
    </w:tbl>
    <w:p w14:paraId="3C1120E1" w14:textId="31346BB6" w:rsidR="00C5141A" w:rsidRPr="004C0A63" w:rsidRDefault="00C5141A" w:rsidP="000A55AE">
      <w:pPr>
        <w:pStyle w:val="BodyText"/>
        <w:spacing w:after="0"/>
      </w:pPr>
    </w:p>
    <w:p w14:paraId="5866FCDE" w14:textId="458E525E" w:rsidR="004068BC" w:rsidRDefault="007A09BA" w:rsidP="000A55AE">
      <w:pPr>
        <w:pStyle w:val="BodyText"/>
        <w:spacing w:after="0"/>
      </w:pPr>
      <w:r w:rsidRPr="004C0A63">
        <w:rPr>
          <w:b/>
          <w:bCs/>
        </w:rPr>
        <w:t>Other Liabilities</w:t>
      </w:r>
      <w:r w:rsidRPr="004C0A63">
        <w:t xml:space="preserve"> – </w:t>
      </w:r>
      <w:r w:rsidR="00281393">
        <w:t>Other liabilities</w:t>
      </w:r>
      <w:r w:rsidR="005B0364">
        <w:t xml:space="preserve"> were $2,000,000</w:t>
      </w:r>
      <w:r w:rsidR="00281393">
        <w:t xml:space="preserve"> </w:t>
      </w:r>
      <w:proofErr w:type="gramStart"/>
      <w:r w:rsidR="00281393">
        <w:t>at</w:t>
      </w:r>
      <w:proofErr w:type="gramEnd"/>
      <w:r w:rsidR="00281393">
        <w:t xml:space="preserve"> June 30, 2022 and December 31, 2021 </w:t>
      </w:r>
      <w:r w:rsidR="005B0364">
        <w:t xml:space="preserve">and </w:t>
      </w:r>
      <w:r w:rsidR="00281393">
        <w:t>consist of the noncurrent portion of accrued technology license fees.</w:t>
      </w:r>
    </w:p>
    <w:p w14:paraId="628E8F72" w14:textId="77777777" w:rsidR="008758A5" w:rsidRDefault="008758A5" w:rsidP="000A55AE">
      <w:pPr>
        <w:pStyle w:val="BodyText"/>
        <w:spacing w:after="0"/>
      </w:pPr>
    </w:p>
    <w:p w14:paraId="5B33366B" w14:textId="7FAF6C2B" w:rsidR="00723617" w:rsidRPr="001C6303" w:rsidRDefault="00716911" w:rsidP="000A55AE">
      <w:pPr>
        <w:pStyle w:val="ListNumbering"/>
        <w:spacing w:after="0"/>
      </w:pPr>
      <w:r>
        <w:t>4</w:t>
      </w:r>
      <w:r w:rsidR="00723617" w:rsidRPr="00B53172">
        <w:t>.</w:t>
      </w:r>
      <w:r w:rsidR="00723617" w:rsidRPr="00B53172">
        <w:tab/>
        <w:t>Commitments</w:t>
      </w:r>
    </w:p>
    <w:p w14:paraId="61568E0F" w14:textId="562A3283" w:rsidR="000A55AE" w:rsidRDefault="000A55AE" w:rsidP="000A55AE">
      <w:pPr>
        <w:pStyle w:val="BodyText"/>
        <w:spacing w:after="0"/>
      </w:pPr>
      <w:bookmarkStart w:id="18" w:name="_Toc197922410"/>
    </w:p>
    <w:p w14:paraId="2511169A" w14:textId="26149E24" w:rsidR="007947EE" w:rsidRPr="00307685" w:rsidRDefault="007947EE" w:rsidP="007947EE">
      <w:pPr>
        <w:rPr>
          <w:bCs/>
          <w:i/>
        </w:rPr>
      </w:pPr>
      <w:r>
        <w:rPr>
          <w:i/>
        </w:rPr>
        <w:t xml:space="preserve">Operating </w:t>
      </w:r>
      <w:r w:rsidR="00C20F8B" w:rsidRPr="00C20F8B">
        <w:rPr>
          <w:i/>
        </w:rPr>
        <w:t>Lease</w:t>
      </w:r>
      <w:r w:rsidR="00307685">
        <w:rPr>
          <w:bCs/>
          <w:i/>
        </w:rPr>
        <w:t xml:space="preserve"> – </w:t>
      </w:r>
      <w:r w:rsidR="00C20F8B" w:rsidRPr="00C20F8B">
        <w:t>We lease approximately 8,400 square feet of office and laboratory space pursuant to an operating lease which expires on December 31, 20</w:t>
      </w:r>
      <w:r w:rsidR="00717940">
        <w:t>22</w:t>
      </w:r>
      <w:r w:rsidR="00C20F8B" w:rsidRPr="00C20F8B">
        <w:t>. Rent expense</w:t>
      </w:r>
      <w:r w:rsidR="00C85A90">
        <w:t xml:space="preserve"> </w:t>
      </w:r>
      <w:r w:rsidR="00C20F8B" w:rsidRPr="00C5141A">
        <w:rPr>
          <w:rFonts w:ascii="CG Times (WN)" w:hAnsi="CG Times (WN)"/>
        </w:rPr>
        <w:t xml:space="preserve">for </w:t>
      </w:r>
      <w:r w:rsidR="00C20F8B">
        <w:rPr>
          <w:rFonts w:ascii="CG Times (WN)" w:hAnsi="CG Times (WN)"/>
        </w:rPr>
        <w:t xml:space="preserve">the three-month </w:t>
      </w:r>
      <w:r w:rsidR="005E5FAE">
        <w:rPr>
          <w:rFonts w:ascii="CG Times (WN)" w:hAnsi="CG Times (WN)"/>
        </w:rPr>
        <w:t xml:space="preserve">and six-month </w:t>
      </w:r>
      <w:r w:rsidR="00C20F8B">
        <w:rPr>
          <w:rFonts w:ascii="CG Times (WN)" w:hAnsi="CG Times (WN)"/>
        </w:rPr>
        <w:t xml:space="preserve">periods ended </w:t>
      </w:r>
      <w:r w:rsidR="005E5FAE">
        <w:rPr>
          <w:rFonts w:ascii="CG Times (WN)" w:hAnsi="CG Times (WN)"/>
        </w:rPr>
        <w:t>June</w:t>
      </w:r>
      <w:r w:rsidR="00C20F8B">
        <w:rPr>
          <w:rFonts w:ascii="CG Times (WN)" w:hAnsi="CG Times (WN)"/>
        </w:rPr>
        <w:t xml:space="preserve"> 3</w:t>
      </w:r>
      <w:r w:rsidR="005E5FAE">
        <w:rPr>
          <w:rFonts w:ascii="CG Times (WN)" w:hAnsi="CG Times (WN)"/>
        </w:rPr>
        <w:t>0</w:t>
      </w:r>
      <w:r w:rsidR="00C20F8B">
        <w:rPr>
          <w:rFonts w:ascii="CG Times (WN)" w:hAnsi="CG Times (WN)"/>
        </w:rPr>
        <w:t xml:space="preserve">, </w:t>
      </w:r>
      <w:proofErr w:type="gramStart"/>
      <w:r w:rsidR="00C20F8B">
        <w:rPr>
          <w:rFonts w:ascii="CG Times (WN)" w:hAnsi="CG Times (WN)"/>
        </w:rPr>
        <w:t>20</w:t>
      </w:r>
      <w:r w:rsidR="00717940">
        <w:rPr>
          <w:rFonts w:ascii="CG Times (WN)" w:hAnsi="CG Times (WN)"/>
        </w:rPr>
        <w:t>2</w:t>
      </w:r>
      <w:r>
        <w:rPr>
          <w:rFonts w:ascii="CG Times (WN)" w:hAnsi="CG Times (WN)"/>
        </w:rPr>
        <w:t>2</w:t>
      </w:r>
      <w:proofErr w:type="gramEnd"/>
      <w:r w:rsidR="00C20F8B">
        <w:rPr>
          <w:rFonts w:ascii="CG Times (WN)" w:hAnsi="CG Times (WN)"/>
        </w:rPr>
        <w:t xml:space="preserve"> </w:t>
      </w:r>
      <w:r w:rsidR="00C20F8B" w:rsidRPr="00C5141A">
        <w:rPr>
          <w:rFonts w:ascii="CG Times (WN)" w:hAnsi="CG Times (WN)"/>
        </w:rPr>
        <w:t>was</w:t>
      </w:r>
      <w:r>
        <w:rPr>
          <w:rFonts w:ascii="CG Times (WN)" w:hAnsi="CG Times (WN)"/>
        </w:rPr>
        <w:t xml:space="preserve"> $</w:t>
      </w:r>
      <w:r w:rsidR="00B13BB8">
        <w:rPr>
          <w:rFonts w:ascii="CG Times (WN)" w:hAnsi="CG Times (WN)"/>
        </w:rPr>
        <w:t>44,089</w:t>
      </w:r>
      <w:r>
        <w:rPr>
          <w:rFonts w:ascii="CG Times (WN)" w:hAnsi="CG Times (WN)"/>
        </w:rPr>
        <w:t xml:space="preserve"> and</w:t>
      </w:r>
      <w:r w:rsidR="00E5783E">
        <w:rPr>
          <w:rFonts w:ascii="CG Times (WN)" w:hAnsi="CG Times (WN)"/>
        </w:rPr>
        <w:t xml:space="preserve"> $</w:t>
      </w:r>
      <w:r w:rsidR="00B13BB8">
        <w:rPr>
          <w:rFonts w:ascii="CG Times (WN)" w:hAnsi="CG Times (WN)"/>
        </w:rPr>
        <w:t>88,178</w:t>
      </w:r>
      <w:r w:rsidR="00C20F8B">
        <w:rPr>
          <w:rFonts w:ascii="CG Times (WN)" w:hAnsi="CG Times (WN)"/>
        </w:rPr>
        <w:t>, respectively</w:t>
      </w:r>
      <w:r w:rsidR="005E5FAE">
        <w:rPr>
          <w:rFonts w:ascii="CG Times (WN)" w:hAnsi="CG Times (WN)"/>
        </w:rPr>
        <w:t>, as compared to $42,803 and $</w:t>
      </w:r>
      <w:r w:rsidR="00872ED1">
        <w:rPr>
          <w:rFonts w:ascii="CG Times (WN)" w:hAnsi="CG Times (WN)"/>
        </w:rPr>
        <w:t>85,607, respectively, for the same periods of 2021</w:t>
      </w:r>
      <w:r w:rsidR="00C20F8B" w:rsidRPr="00C20F8B">
        <w:t xml:space="preserve">. </w:t>
      </w:r>
      <w:r w:rsidRPr="007947EE">
        <w:t>Future minimum lease payments total $</w:t>
      </w:r>
      <w:r w:rsidR="00B13BB8">
        <w:t>88,178</w:t>
      </w:r>
      <w:r w:rsidRPr="007947EE">
        <w:t xml:space="preserve"> in 2022, although the lease may be terminated at any time by either party with ninety days written notice.</w:t>
      </w:r>
    </w:p>
    <w:p w14:paraId="0D8C68BA" w14:textId="5E9A659C" w:rsidR="007947EE" w:rsidRDefault="007947EE" w:rsidP="00C20F8B">
      <w:pPr>
        <w:rPr>
          <w:bCs/>
        </w:rPr>
      </w:pPr>
    </w:p>
    <w:p w14:paraId="2138BEBE" w14:textId="481893AC" w:rsidR="007947EE" w:rsidRPr="00307685" w:rsidRDefault="007947EE" w:rsidP="007947EE">
      <w:pPr>
        <w:rPr>
          <w:bCs/>
          <w:i/>
          <w:iCs/>
        </w:rPr>
      </w:pPr>
      <w:r w:rsidRPr="007947EE">
        <w:rPr>
          <w:bCs/>
          <w:i/>
          <w:iCs/>
        </w:rPr>
        <w:t>License Agreements</w:t>
      </w:r>
      <w:r w:rsidR="00307685">
        <w:rPr>
          <w:bCs/>
          <w:i/>
          <w:iCs/>
        </w:rPr>
        <w:t xml:space="preserve"> – </w:t>
      </w:r>
      <w:r w:rsidRPr="007947EE">
        <w:rPr>
          <w:bCs/>
        </w:rPr>
        <w:t>We have entered into license agreements</w:t>
      </w:r>
      <w:r w:rsidRPr="007947EE">
        <w:t xml:space="preserve"> for various technologies and patent rights associated with our product development activities. These agreements may contain provisions for upfront payments, milestone fees </w:t>
      </w:r>
      <w:r w:rsidRPr="007947EE">
        <w:rPr>
          <w:bCs/>
        </w:rPr>
        <w:t xml:space="preserve">due upon the achievement of selected development and regulatory events, minimum annual royalties or other fees, </w:t>
      </w:r>
      <w:r w:rsidRPr="007947EE">
        <w:t xml:space="preserve">and royalties based on future net sales. </w:t>
      </w:r>
      <w:r w:rsidR="00877101">
        <w:t>Aggregate</w:t>
      </w:r>
      <w:r w:rsidRPr="007947EE">
        <w:t xml:space="preserve"> unrecorded future minimum payments under these agreements (excluding milestone and royalty payments due upon contingent future events) are approximately $1</w:t>
      </w:r>
      <w:r w:rsidR="00974E79">
        <w:t>24</w:t>
      </w:r>
      <w:r w:rsidRPr="007947EE">
        <w:t>,</w:t>
      </w:r>
      <w:r w:rsidR="00974E79">
        <w:t>2</w:t>
      </w:r>
      <w:r w:rsidRPr="007947EE">
        <w:t>00 in 2022, $12</w:t>
      </w:r>
      <w:r w:rsidR="00974E79">
        <w:t>7,5</w:t>
      </w:r>
      <w:r w:rsidRPr="007947EE">
        <w:t>00 in 2023, $12</w:t>
      </w:r>
      <w:r w:rsidR="00974E79">
        <w:t>7,5</w:t>
      </w:r>
      <w:r w:rsidRPr="007947EE">
        <w:t>00 in 2024, $2</w:t>
      </w:r>
      <w:r w:rsidR="00974E79">
        <w:t>7,5</w:t>
      </w:r>
      <w:r w:rsidRPr="007947EE">
        <w:t>00 in 2025 and $2</w:t>
      </w:r>
      <w:r w:rsidR="00974E79">
        <w:t>7,5</w:t>
      </w:r>
      <w:r w:rsidRPr="007947EE">
        <w:t>00 in 2026.</w:t>
      </w:r>
    </w:p>
    <w:p w14:paraId="6438FACB" w14:textId="78FA37E0" w:rsidR="007947EE" w:rsidRDefault="007947EE" w:rsidP="00C20F8B">
      <w:pPr>
        <w:rPr>
          <w:bCs/>
        </w:rPr>
      </w:pPr>
    </w:p>
    <w:p w14:paraId="4083F38F" w14:textId="562943F3" w:rsidR="00C20F8B" w:rsidRPr="00307685" w:rsidRDefault="00C20F8B" w:rsidP="007947EE">
      <w:pPr>
        <w:rPr>
          <w:bCs/>
          <w:i/>
        </w:rPr>
      </w:pPr>
      <w:r w:rsidRPr="00C20F8B">
        <w:rPr>
          <w:bCs/>
          <w:i/>
        </w:rPr>
        <w:t>Other Commitments</w:t>
      </w:r>
      <w:r w:rsidR="00307685">
        <w:rPr>
          <w:bCs/>
          <w:i/>
        </w:rPr>
        <w:t xml:space="preserve"> – </w:t>
      </w:r>
      <w:r w:rsidRPr="00C20F8B">
        <w:t xml:space="preserve">In the normal course of business, we enter into various firm purchase commitments </w:t>
      </w:r>
      <w:r w:rsidR="00787E33">
        <w:t xml:space="preserve">and other contractual obligations </w:t>
      </w:r>
      <w:r w:rsidRPr="00C20F8B">
        <w:t xml:space="preserve">related to production and testing of our </w:t>
      </w:r>
      <w:r w:rsidR="00787E33">
        <w:t>product candidates</w:t>
      </w:r>
      <w:r w:rsidRPr="00C20F8B">
        <w:t>, conduct of</w:t>
      </w:r>
      <w:r w:rsidR="00EB7440">
        <w:t xml:space="preserve"> clinical trials and preclinical</w:t>
      </w:r>
      <w:r w:rsidRPr="00C20F8B">
        <w:t xml:space="preserve"> research studies, and other activities. As of </w:t>
      </w:r>
      <w:r w:rsidR="00872ED1">
        <w:t>June</w:t>
      </w:r>
      <w:r w:rsidRPr="00C20F8B">
        <w:t xml:space="preserve"> 3</w:t>
      </w:r>
      <w:r w:rsidR="00872ED1">
        <w:t>0</w:t>
      </w:r>
      <w:r w:rsidRPr="00C20F8B">
        <w:t>, 20</w:t>
      </w:r>
      <w:r w:rsidR="00717940">
        <w:t>2</w:t>
      </w:r>
      <w:r w:rsidR="007947EE">
        <w:t>2</w:t>
      </w:r>
      <w:r w:rsidRPr="00C20F8B">
        <w:t xml:space="preserve">, </w:t>
      </w:r>
      <w:r w:rsidR="00BE61F2">
        <w:t>there are</w:t>
      </w:r>
      <w:r w:rsidRPr="00C20F8B">
        <w:t xml:space="preserve"> approximately $</w:t>
      </w:r>
      <w:r w:rsidR="00974E79">
        <w:t>1,</w:t>
      </w:r>
      <w:r w:rsidR="0066780E">
        <w:t>082</w:t>
      </w:r>
      <w:r w:rsidR="00974E79">
        <w:t>,000</w:t>
      </w:r>
      <w:r w:rsidRPr="00C20F8B">
        <w:t xml:space="preserve"> of unrecorded </w:t>
      </w:r>
      <w:r w:rsidR="00D518B5">
        <w:t>noncancelable</w:t>
      </w:r>
      <w:r w:rsidRPr="00C20F8B">
        <w:t xml:space="preserve"> purchase commitments to our vendors and subcontractors, </w:t>
      </w:r>
      <w:r w:rsidR="005570D6">
        <w:t>the majority</w:t>
      </w:r>
      <w:r w:rsidR="005E515A">
        <w:t xml:space="preserve"> </w:t>
      </w:r>
      <w:r w:rsidRPr="005E515A">
        <w:t>of which</w:t>
      </w:r>
      <w:r w:rsidRPr="00C20F8B">
        <w:t xml:space="preserve"> we expect will be due in </w:t>
      </w:r>
      <w:r w:rsidRPr="00931027">
        <w:t>20</w:t>
      </w:r>
      <w:r w:rsidR="00717940" w:rsidRPr="00931027">
        <w:t>2</w:t>
      </w:r>
      <w:r w:rsidR="007947EE" w:rsidRPr="00931027">
        <w:t>2</w:t>
      </w:r>
      <w:r w:rsidRPr="00931027">
        <w:t>.</w:t>
      </w:r>
      <w:r w:rsidRPr="00C20F8B">
        <w:t xml:space="preserve"> </w:t>
      </w:r>
    </w:p>
    <w:p w14:paraId="2EEC6171" w14:textId="77777777" w:rsidR="007947EE" w:rsidRDefault="007947EE" w:rsidP="007947EE"/>
    <w:p w14:paraId="17DCCEEA" w14:textId="2821AFF1" w:rsidR="00881E20" w:rsidRDefault="00716911" w:rsidP="000A55AE">
      <w:pPr>
        <w:pStyle w:val="ListNumbering"/>
        <w:spacing w:after="0"/>
      </w:pPr>
      <w:r>
        <w:t>5</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6776F598" w14:textId="0D8AC253" w:rsidR="003F6C32" w:rsidRDefault="00872ED1" w:rsidP="003F6C32">
      <w:pPr>
        <w:pStyle w:val="BodyTitle"/>
        <w:spacing w:after="0"/>
        <w:rPr>
          <w:bCs/>
          <w:u w:val="none"/>
        </w:rPr>
      </w:pPr>
      <w:r>
        <w:rPr>
          <w:rFonts w:eastAsia="Times New Roman"/>
          <w:i/>
          <w:iCs/>
          <w:u w:val="none"/>
        </w:rPr>
        <w:t xml:space="preserve">January 2022 </w:t>
      </w:r>
      <w:r w:rsidR="003F6C32" w:rsidRPr="003F6C32">
        <w:rPr>
          <w:rFonts w:eastAsia="Times New Roman"/>
          <w:i/>
          <w:iCs/>
          <w:u w:val="none"/>
        </w:rPr>
        <w:t xml:space="preserve">Private </w:t>
      </w:r>
      <w:proofErr w:type="gramStart"/>
      <w:r w:rsidR="003F6C32" w:rsidRPr="003F6C32">
        <w:rPr>
          <w:rFonts w:eastAsia="Times New Roman"/>
          <w:i/>
          <w:iCs/>
          <w:u w:val="none"/>
        </w:rPr>
        <w:t>Placement</w:t>
      </w:r>
      <w:r>
        <w:rPr>
          <w:rFonts w:eastAsia="Times New Roman"/>
          <w:i/>
          <w:iCs/>
          <w:u w:val="none"/>
        </w:rPr>
        <w:t xml:space="preserve"> </w:t>
      </w:r>
      <w:r w:rsidR="008C0ABC" w:rsidRPr="003F6C32">
        <w:rPr>
          <w:rFonts w:eastAsia="Times New Roman"/>
          <w:i/>
          <w:iCs/>
          <w:u w:val="none"/>
        </w:rPr>
        <w:t xml:space="preserve"> –</w:t>
      </w:r>
      <w:proofErr w:type="gramEnd"/>
      <w:r w:rsidR="008C0ABC" w:rsidRPr="003F6C32">
        <w:rPr>
          <w:rFonts w:eastAsia="Times New Roman"/>
          <w:i/>
          <w:iCs/>
          <w:u w:val="none"/>
        </w:rPr>
        <w:t xml:space="preserve"> </w:t>
      </w:r>
      <w:r w:rsidR="003F6C32" w:rsidRPr="003F6C32">
        <w:rPr>
          <w:u w:val="none"/>
        </w:rPr>
        <w:t xml:space="preserve">On January 19, 2022, we closed a private placement of </w:t>
      </w:r>
      <w:r w:rsidR="003F6C32" w:rsidRPr="003F6C32">
        <w:rPr>
          <w:bCs/>
          <w:u w:val="none"/>
        </w:rPr>
        <w:t xml:space="preserve">707,484 shares of common stock, </w:t>
      </w:r>
      <w:r w:rsidR="00931027">
        <w:rPr>
          <w:bCs/>
          <w:u w:val="none"/>
        </w:rPr>
        <w:t xml:space="preserve">a pre-funded warrant to purchase </w:t>
      </w:r>
      <w:r w:rsidR="003F6C32" w:rsidRPr="003F6C32">
        <w:rPr>
          <w:bCs/>
          <w:u w:val="none"/>
        </w:rPr>
        <w:t xml:space="preserve">2,360,000 </w:t>
      </w:r>
      <w:r w:rsidR="00DE52E2">
        <w:rPr>
          <w:bCs/>
          <w:u w:val="none"/>
        </w:rPr>
        <w:t>shares of</w:t>
      </w:r>
      <w:r w:rsidR="003F6C32" w:rsidRPr="003F6C32">
        <w:rPr>
          <w:bCs/>
          <w:u w:val="none"/>
        </w:rPr>
        <w:t xml:space="preserve"> common stock</w:t>
      </w:r>
      <w:r w:rsidR="00DE52E2">
        <w:rPr>
          <w:bCs/>
          <w:u w:val="none"/>
        </w:rPr>
        <w:t xml:space="preserve"> </w:t>
      </w:r>
      <w:r w:rsidR="005F1A36">
        <w:rPr>
          <w:bCs/>
          <w:u w:val="none"/>
        </w:rPr>
        <w:t xml:space="preserve">for a nominal exercise price per share </w:t>
      </w:r>
      <w:r w:rsidR="00DE52E2">
        <w:rPr>
          <w:bCs/>
          <w:u w:val="none"/>
        </w:rPr>
        <w:t>(the “</w:t>
      </w:r>
      <w:r w:rsidR="00A71EE6">
        <w:rPr>
          <w:bCs/>
          <w:u w:val="none"/>
        </w:rPr>
        <w:t>Jan</w:t>
      </w:r>
      <w:r w:rsidR="000A6F1B">
        <w:rPr>
          <w:bCs/>
          <w:u w:val="none"/>
        </w:rPr>
        <w:t xml:space="preserve"> 2022</w:t>
      </w:r>
      <w:r w:rsidR="00A71EE6">
        <w:rPr>
          <w:bCs/>
          <w:u w:val="none"/>
        </w:rPr>
        <w:t xml:space="preserve"> </w:t>
      </w:r>
      <w:r w:rsidR="00DE52E2">
        <w:rPr>
          <w:bCs/>
          <w:u w:val="none"/>
        </w:rPr>
        <w:t>Pre-Funded Warrant”)</w:t>
      </w:r>
      <w:r w:rsidR="003F6C32" w:rsidRPr="003F6C32">
        <w:rPr>
          <w:bCs/>
          <w:u w:val="none"/>
        </w:rPr>
        <w:t xml:space="preserve">, and </w:t>
      </w:r>
      <w:r w:rsidR="00931027">
        <w:rPr>
          <w:bCs/>
          <w:u w:val="none"/>
        </w:rPr>
        <w:t>a</w:t>
      </w:r>
      <w:r w:rsidR="003F6C32" w:rsidRPr="003F6C32">
        <w:rPr>
          <w:bCs/>
          <w:u w:val="none"/>
        </w:rPr>
        <w:t xml:space="preserve"> warrant to purchase up to 3,067,484 shares of common stock</w:t>
      </w:r>
      <w:r w:rsidR="00931027">
        <w:rPr>
          <w:bCs/>
          <w:u w:val="none"/>
        </w:rPr>
        <w:t xml:space="preserve"> at an exercise price of $3.26 per share</w:t>
      </w:r>
      <w:r w:rsidR="00DE52E2">
        <w:rPr>
          <w:bCs/>
          <w:u w:val="none"/>
        </w:rPr>
        <w:t xml:space="preserve"> (the “</w:t>
      </w:r>
      <w:r w:rsidR="00A71EE6">
        <w:rPr>
          <w:bCs/>
          <w:u w:val="none"/>
        </w:rPr>
        <w:t>Jan</w:t>
      </w:r>
      <w:r w:rsidR="000A6F1B">
        <w:rPr>
          <w:bCs/>
          <w:u w:val="none"/>
        </w:rPr>
        <w:t xml:space="preserve"> 2022</w:t>
      </w:r>
      <w:r w:rsidR="00A71EE6">
        <w:rPr>
          <w:bCs/>
          <w:u w:val="none"/>
        </w:rPr>
        <w:t xml:space="preserve"> </w:t>
      </w:r>
      <w:r w:rsidR="00DE52E2">
        <w:rPr>
          <w:bCs/>
          <w:u w:val="none"/>
        </w:rPr>
        <w:t>Common Warrant”)</w:t>
      </w:r>
      <w:r w:rsidR="003F6C32" w:rsidRPr="003F6C32">
        <w:rPr>
          <w:bCs/>
          <w:u w:val="none"/>
        </w:rPr>
        <w:t xml:space="preserve">. </w:t>
      </w:r>
      <w:r w:rsidR="003F6C32" w:rsidRPr="003F6C32">
        <w:rPr>
          <w:u w:val="none"/>
        </w:rPr>
        <w:t>Net proceeds after deducting placement agent commissions and other offering expenses were approximately $9.2 million.</w:t>
      </w:r>
      <w:r w:rsidR="00A967B3" w:rsidRPr="00A967B3">
        <w:rPr>
          <w:bCs/>
          <w:u w:val="none"/>
        </w:rPr>
        <w:t xml:space="preserve"> </w:t>
      </w:r>
      <w:r w:rsidR="00A967B3">
        <w:rPr>
          <w:bCs/>
          <w:u w:val="none"/>
        </w:rPr>
        <w:t xml:space="preserve">During March 2022, the </w:t>
      </w:r>
      <w:r w:rsidR="00A71EE6">
        <w:rPr>
          <w:bCs/>
          <w:u w:val="none"/>
        </w:rPr>
        <w:t>Jan</w:t>
      </w:r>
      <w:r w:rsidR="000A6F1B">
        <w:rPr>
          <w:bCs/>
          <w:u w:val="none"/>
        </w:rPr>
        <w:t xml:space="preserve"> 2022</w:t>
      </w:r>
      <w:r w:rsidR="00A71EE6">
        <w:rPr>
          <w:bCs/>
          <w:u w:val="none"/>
        </w:rPr>
        <w:t xml:space="preserve"> </w:t>
      </w:r>
      <w:r w:rsidR="00A967B3">
        <w:rPr>
          <w:bCs/>
          <w:u w:val="none"/>
        </w:rPr>
        <w:t>Pre-Funded Warrant was exercised in full.</w:t>
      </w:r>
      <w:r w:rsidR="00B24904">
        <w:rPr>
          <w:bCs/>
          <w:u w:val="none"/>
        </w:rPr>
        <w:t xml:space="preserve"> T</w:t>
      </w:r>
      <w:r w:rsidR="00A967B3">
        <w:rPr>
          <w:bCs/>
          <w:u w:val="none"/>
        </w:rPr>
        <w:t xml:space="preserve">he </w:t>
      </w:r>
      <w:r w:rsidR="00A71EE6">
        <w:rPr>
          <w:bCs/>
          <w:u w:val="none"/>
        </w:rPr>
        <w:t>Jan</w:t>
      </w:r>
      <w:r w:rsidR="000A6F1B">
        <w:rPr>
          <w:bCs/>
          <w:u w:val="none"/>
        </w:rPr>
        <w:t xml:space="preserve"> 2022</w:t>
      </w:r>
      <w:r w:rsidR="00A71EE6">
        <w:rPr>
          <w:bCs/>
          <w:u w:val="none"/>
        </w:rPr>
        <w:t xml:space="preserve"> </w:t>
      </w:r>
      <w:r w:rsidR="00A967B3">
        <w:rPr>
          <w:bCs/>
          <w:u w:val="none"/>
        </w:rPr>
        <w:t>Common Warrant</w:t>
      </w:r>
      <w:r w:rsidR="00A967B3" w:rsidRPr="003F6C32">
        <w:rPr>
          <w:bCs/>
          <w:u w:val="none"/>
        </w:rPr>
        <w:t xml:space="preserve"> </w:t>
      </w:r>
      <w:r w:rsidR="00B24904">
        <w:rPr>
          <w:bCs/>
          <w:u w:val="none"/>
        </w:rPr>
        <w:t>is currently</w:t>
      </w:r>
      <w:r w:rsidR="00A967B3" w:rsidRPr="003F6C32">
        <w:rPr>
          <w:bCs/>
          <w:u w:val="none"/>
        </w:rPr>
        <w:t xml:space="preserve"> exercisable</w:t>
      </w:r>
      <w:r w:rsidR="00B24904">
        <w:rPr>
          <w:bCs/>
          <w:u w:val="none"/>
        </w:rPr>
        <w:t xml:space="preserve"> and</w:t>
      </w:r>
      <w:r w:rsidR="00A967B3">
        <w:rPr>
          <w:bCs/>
          <w:u w:val="none"/>
        </w:rPr>
        <w:t xml:space="preserve"> </w:t>
      </w:r>
      <w:r w:rsidR="00A967B3" w:rsidRPr="003F6C32">
        <w:rPr>
          <w:bCs/>
          <w:u w:val="none"/>
        </w:rPr>
        <w:t>will expire</w:t>
      </w:r>
      <w:r w:rsidR="00A967B3">
        <w:rPr>
          <w:bCs/>
          <w:u w:val="none"/>
        </w:rPr>
        <w:t xml:space="preserve"> on February 10, 2027</w:t>
      </w:r>
      <w:r w:rsidR="00B24904">
        <w:rPr>
          <w:bCs/>
          <w:u w:val="none"/>
        </w:rPr>
        <w:t>.</w:t>
      </w:r>
    </w:p>
    <w:p w14:paraId="42549B5D" w14:textId="42D904FE" w:rsidR="00872ED1" w:rsidRDefault="00872ED1" w:rsidP="003F6C32">
      <w:pPr>
        <w:pStyle w:val="BodyTitle"/>
        <w:spacing w:after="0"/>
        <w:rPr>
          <w:bCs/>
          <w:u w:val="none"/>
        </w:rPr>
      </w:pPr>
    </w:p>
    <w:p w14:paraId="6CEAF668" w14:textId="77777777" w:rsidR="00937753" w:rsidRDefault="00872ED1" w:rsidP="00913720">
      <w:pPr>
        <w:pStyle w:val="BodyTitle"/>
        <w:spacing w:after="0"/>
        <w:rPr>
          <w:bCs/>
          <w:u w:val="none"/>
        </w:rPr>
      </w:pPr>
      <w:r>
        <w:rPr>
          <w:rFonts w:eastAsia="Times New Roman"/>
          <w:i/>
          <w:iCs/>
          <w:u w:val="none"/>
        </w:rPr>
        <w:t xml:space="preserve">May 2022 </w:t>
      </w:r>
      <w:r w:rsidRPr="003F6C32">
        <w:rPr>
          <w:rFonts w:eastAsia="Times New Roman"/>
          <w:i/>
          <w:iCs/>
          <w:u w:val="none"/>
        </w:rPr>
        <w:t xml:space="preserve">Private </w:t>
      </w:r>
      <w:proofErr w:type="gramStart"/>
      <w:r w:rsidRPr="003F6C32">
        <w:rPr>
          <w:rFonts w:eastAsia="Times New Roman"/>
          <w:i/>
          <w:iCs/>
          <w:u w:val="none"/>
        </w:rPr>
        <w:t>Placement</w:t>
      </w:r>
      <w:r>
        <w:rPr>
          <w:rFonts w:eastAsia="Times New Roman"/>
          <w:i/>
          <w:iCs/>
          <w:u w:val="none"/>
        </w:rPr>
        <w:t xml:space="preserve"> </w:t>
      </w:r>
      <w:r w:rsidRPr="003F6C32">
        <w:rPr>
          <w:rFonts w:eastAsia="Times New Roman"/>
          <w:i/>
          <w:iCs/>
          <w:u w:val="none"/>
        </w:rPr>
        <w:t xml:space="preserve"> –</w:t>
      </w:r>
      <w:proofErr w:type="gramEnd"/>
      <w:r>
        <w:rPr>
          <w:u w:val="none"/>
        </w:rPr>
        <w:t xml:space="preserve"> </w:t>
      </w:r>
      <w:r w:rsidR="00913720" w:rsidRPr="003F6C32">
        <w:rPr>
          <w:u w:val="none"/>
        </w:rPr>
        <w:t xml:space="preserve">On </w:t>
      </w:r>
      <w:r w:rsidR="00913720">
        <w:rPr>
          <w:u w:val="none"/>
        </w:rPr>
        <w:t>May</w:t>
      </w:r>
      <w:r w:rsidR="00913720" w:rsidRPr="003F6C32">
        <w:rPr>
          <w:u w:val="none"/>
        </w:rPr>
        <w:t xml:space="preserve"> </w:t>
      </w:r>
      <w:r w:rsidR="00913720">
        <w:rPr>
          <w:u w:val="none"/>
        </w:rPr>
        <w:t>27</w:t>
      </w:r>
      <w:r w:rsidR="00913720" w:rsidRPr="003F6C32">
        <w:rPr>
          <w:u w:val="none"/>
        </w:rPr>
        <w:t xml:space="preserve">, 2022, we closed a private placement of </w:t>
      </w:r>
      <w:r w:rsidR="00913720">
        <w:rPr>
          <w:bCs/>
          <w:u w:val="none"/>
        </w:rPr>
        <w:t>1,050,000</w:t>
      </w:r>
      <w:r w:rsidR="00913720" w:rsidRPr="003F6C32">
        <w:rPr>
          <w:bCs/>
          <w:u w:val="none"/>
        </w:rPr>
        <w:t xml:space="preserve"> shares of common stock, </w:t>
      </w:r>
      <w:r w:rsidR="00913720">
        <w:rPr>
          <w:bCs/>
          <w:u w:val="none"/>
        </w:rPr>
        <w:t xml:space="preserve">pre-funded warrants to purchase </w:t>
      </w:r>
      <w:r w:rsidR="00A71EE6">
        <w:rPr>
          <w:bCs/>
          <w:u w:val="none"/>
        </w:rPr>
        <w:t xml:space="preserve">an aggregate of </w:t>
      </w:r>
      <w:r w:rsidR="00913720">
        <w:rPr>
          <w:bCs/>
          <w:u w:val="none"/>
        </w:rPr>
        <w:t>11,071,214</w:t>
      </w:r>
      <w:r w:rsidR="00913720" w:rsidRPr="003F6C32">
        <w:rPr>
          <w:bCs/>
          <w:u w:val="none"/>
        </w:rPr>
        <w:t xml:space="preserve"> </w:t>
      </w:r>
      <w:r w:rsidR="00913720">
        <w:rPr>
          <w:bCs/>
          <w:u w:val="none"/>
        </w:rPr>
        <w:t>shares of</w:t>
      </w:r>
      <w:r w:rsidR="00913720" w:rsidRPr="003F6C32">
        <w:rPr>
          <w:bCs/>
          <w:u w:val="none"/>
        </w:rPr>
        <w:t xml:space="preserve"> common stock</w:t>
      </w:r>
      <w:r w:rsidR="00913720">
        <w:rPr>
          <w:bCs/>
          <w:u w:val="none"/>
        </w:rPr>
        <w:t xml:space="preserve"> </w:t>
      </w:r>
      <w:r w:rsidR="00A71EE6">
        <w:rPr>
          <w:bCs/>
          <w:u w:val="none"/>
        </w:rPr>
        <w:t xml:space="preserve">for a nominal exercise price per share </w:t>
      </w:r>
      <w:r w:rsidR="00913720">
        <w:rPr>
          <w:bCs/>
          <w:u w:val="none"/>
        </w:rPr>
        <w:t>(the “</w:t>
      </w:r>
      <w:r w:rsidR="00A71EE6" w:rsidRPr="00A71EE6">
        <w:rPr>
          <w:bCs/>
          <w:u w:val="none"/>
        </w:rPr>
        <w:t xml:space="preserve">May </w:t>
      </w:r>
      <w:r w:rsidR="000A6F1B">
        <w:rPr>
          <w:bCs/>
          <w:u w:val="none"/>
        </w:rPr>
        <w:t xml:space="preserve">2022 </w:t>
      </w:r>
      <w:r w:rsidR="00913720" w:rsidRPr="00A71EE6">
        <w:rPr>
          <w:bCs/>
          <w:u w:val="none"/>
        </w:rPr>
        <w:t>Pre-Funded Warrant</w:t>
      </w:r>
      <w:r w:rsidR="00A71EE6" w:rsidRPr="00A71EE6">
        <w:rPr>
          <w:bCs/>
          <w:u w:val="none"/>
        </w:rPr>
        <w:t>s</w:t>
      </w:r>
      <w:r w:rsidR="00913720">
        <w:rPr>
          <w:bCs/>
          <w:u w:val="none"/>
        </w:rPr>
        <w:t>”)</w:t>
      </w:r>
      <w:r w:rsidR="00913720" w:rsidRPr="003F6C32">
        <w:rPr>
          <w:bCs/>
          <w:u w:val="none"/>
        </w:rPr>
        <w:t xml:space="preserve">, and </w:t>
      </w:r>
      <w:r w:rsidR="00913720">
        <w:rPr>
          <w:bCs/>
          <w:u w:val="none"/>
        </w:rPr>
        <w:t>preferred investment options</w:t>
      </w:r>
      <w:r w:rsidR="00913720" w:rsidRPr="003F6C32">
        <w:rPr>
          <w:bCs/>
          <w:u w:val="none"/>
        </w:rPr>
        <w:t xml:space="preserve"> to purchase up to</w:t>
      </w:r>
      <w:r w:rsidR="005F1A36">
        <w:rPr>
          <w:bCs/>
          <w:u w:val="none"/>
        </w:rPr>
        <w:t xml:space="preserve"> an aggregate of</w:t>
      </w:r>
      <w:r w:rsidR="00913720" w:rsidRPr="003F6C32">
        <w:rPr>
          <w:bCs/>
          <w:u w:val="none"/>
        </w:rPr>
        <w:t xml:space="preserve"> </w:t>
      </w:r>
      <w:r w:rsidR="00913720">
        <w:rPr>
          <w:bCs/>
          <w:u w:val="none"/>
        </w:rPr>
        <w:t xml:space="preserve">12,121,214 </w:t>
      </w:r>
      <w:r w:rsidR="00913720" w:rsidRPr="003F6C32">
        <w:rPr>
          <w:bCs/>
          <w:u w:val="none"/>
        </w:rPr>
        <w:t>shares of common stock</w:t>
      </w:r>
      <w:r w:rsidR="00913720">
        <w:rPr>
          <w:bCs/>
          <w:u w:val="none"/>
        </w:rPr>
        <w:t xml:space="preserve"> at an exercise price of $1.65 per share (the “</w:t>
      </w:r>
      <w:r w:rsidR="00A71EE6">
        <w:rPr>
          <w:bCs/>
          <w:u w:val="none"/>
        </w:rPr>
        <w:t xml:space="preserve">May </w:t>
      </w:r>
      <w:r w:rsidR="000A6F1B">
        <w:rPr>
          <w:bCs/>
          <w:u w:val="none"/>
        </w:rPr>
        <w:t xml:space="preserve">2022 </w:t>
      </w:r>
      <w:r w:rsidR="00A71EE6">
        <w:rPr>
          <w:bCs/>
          <w:u w:val="none"/>
        </w:rPr>
        <w:t>Preferred Investment Options</w:t>
      </w:r>
      <w:r w:rsidR="00913720">
        <w:rPr>
          <w:bCs/>
          <w:u w:val="none"/>
        </w:rPr>
        <w:t>”)</w:t>
      </w:r>
      <w:r w:rsidR="00913720" w:rsidRPr="003F6C32">
        <w:rPr>
          <w:bCs/>
          <w:u w:val="none"/>
        </w:rPr>
        <w:t xml:space="preserve">. </w:t>
      </w:r>
      <w:r w:rsidR="00913720" w:rsidRPr="003F6C32">
        <w:rPr>
          <w:u w:val="none"/>
        </w:rPr>
        <w:t>Net proceeds after deducting placement agent commissions and other offering expenses were approximately $</w:t>
      </w:r>
      <w:r w:rsidR="00156F0B">
        <w:rPr>
          <w:u w:val="none"/>
        </w:rPr>
        <w:t xml:space="preserve">18.5 </w:t>
      </w:r>
      <w:r w:rsidR="00913720" w:rsidRPr="003F6C32">
        <w:rPr>
          <w:u w:val="none"/>
        </w:rPr>
        <w:t>million.</w:t>
      </w:r>
      <w:r w:rsidR="00913720" w:rsidRPr="00A967B3">
        <w:rPr>
          <w:bCs/>
          <w:u w:val="none"/>
        </w:rPr>
        <w:t xml:space="preserve"> </w:t>
      </w:r>
    </w:p>
    <w:p w14:paraId="78A4695C" w14:textId="77777777" w:rsidR="00937753" w:rsidRDefault="00937753" w:rsidP="00913720">
      <w:pPr>
        <w:pStyle w:val="BodyTitle"/>
        <w:spacing w:after="0"/>
        <w:rPr>
          <w:bCs/>
          <w:u w:val="none"/>
        </w:rPr>
      </w:pPr>
    </w:p>
    <w:p w14:paraId="37FE3E8F" w14:textId="77777777" w:rsidR="00937753" w:rsidRDefault="00A71EE6" w:rsidP="00913720">
      <w:pPr>
        <w:pStyle w:val="BodyTitle"/>
        <w:spacing w:after="0"/>
        <w:rPr>
          <w:bCs/>
          <w:u w:val="none"/>
        </w:rPr>
      </w:pPr>
      <w:r>
        <w:rPr>
          <w:bCs/>
          <w:u w:val="none"/>
        </w:rPr>
        <w:t>The</w:t>
      </w:r>
      <w:r w:rsidR="00913720">
        <w:rPr>
          <w:bCs/>
          <w:u w:val="none"/>
        </w:rPr>
        <w:t xml:space="preserve"> </w:t>
      </w:r>
      <w:r>
        <w:rPr>
          <w:bCs/>
          <w:u w:val="none"/>
        </w:rPr>
        <w:t xml:space="preserve">May </w:t>
      </w:r>
      <w:r w:rsidR="000A6F1B">
        <w:rPr>
          <w:bCs/>
          <w:u w:val="none"/>
        </w:rPr>
        <w:t xml:space="preserve">2022 </w:t>
      </w:r>
      <w:r w:rsidR="00913720">
        <w:rPr>
          <w:bCs/>
          <w:u w:val="none"/>
        </w:rPr>
        <w:t>Pre-Funded Warrant</w:t>
      </w:r>
      <w:r>
        <w:rPr>
          <w:bCs/>
          <w:u w:val="none"/>
        </w:rPr>
        <w:t>s</w:t>
      </w:r>
      <w:r w:rsidR="00913720">
        <w:rPr>
          <w:bCs/>
          <w:u w:val="none"/>
        </w:rPr>
        <w:t xml:space="preserve"> </w:t>
      </w:r>
      <w:r>
        <w:rPr>
          <w:bCs/>
          <w:u w:val="none"/>
        </w:rPr>
        <w:t>were</w:t>
      </w:r>
      <w:r w:rsidR="00913720">
        <w:rPr>
          <w:bCs/>
          <w:u w:val="none"/>
        </w:rPr>
        <w:t xml:space="preserve"> exercised </w:t>
      </w:r>
      <w:r>
        <w:rPr>
          <w:bCs/>
          <w:u w:val="none"/>
        </w:rPr>
        <w:t>as to</w:t>
      </w:r>
      <w:r w:rsidR="00156F0B">
        <w:rPr>
          <w:bCs/>
          <w:u w:val="none"/>
        </w:rPr>
        <w:t xml:space="preserve"> 1,980,304 shares</w:t>
      </w:r>
      <w:r>
        <w:rPr>
          <w:bCs/>
          <w:u w:val="none"/>
        </w:rPr>
        <w:t xml:space="preserve"> concurrent with the closing</w:t>
      </w:r>
      <w:r w:rsidR="00156F0B">
        <w:rPr>
          <w:bCs/>
          <w:u w:val="none"/>
        </w:rPr>
        <w:t xml:space="preserve"> and during June 2022 an aggregate of 3,690,910 </w:t>
      </w:r>
      <w:r>
        <w:rPr>
          <w:bCs/>
          <w:u w:val="none"/>
        </w:rPr>
        <w:t xml:space="preserve">additional </w:t>
      </w:r>
      <w:r w:rsidR="00156F0B">
        <w:rPr>
          <w:bCs/>
          <w:u w:val="none"/>
        </w:rPr>
        <w:t xml:space="preserve">shares were exercised, leaving 5,400,000 </w:t>
      </w:r>
      <w:r w:rsidR="005F1A36">
        <w:rPr>
          <w:bCs/>
          <w:u w:val="none"/>
        </w:rPr>
        <w:t xml:space="preserve">of the May </w:t>
      </w:r>
      <w:r w:rsidR="000A6F1B">
        <w:rPr>
          <w:bCs/>
          <w:u w:val="none"/>
        </w:rPr>
        <w:t xml:space="preserve">2022 </w:t>
      </w:r>
      <w:r w:rsidR="005F1A36">
        <w:rPr>
          <w:bCs/>
          <w:u w:val="none"/>
        </w:rPr>
        <w:t>Pre-Funded Warrants</w:t>
      </w:r>
      <w:r w:rsidR="00156F0B">
        <w:rPr>
          <w:bCs/>
          <w:u w:val="none"/>
        </w:rPr>
        <w:t xml:space="preserve"> outstanding </w:t>
      </w:r>
      <w:proofErr w:type="gramStart"/>
      <w:r w:rsidR="00156F0B">
        <w:rPr>
          <w:bCs/>
          <w:u w:val="none"/>
        </w:rPr>
        <w:t>at</w:t>
      </w:r>
      <w:proofErr w:type="gramEnd"/>
      <w:r w:rsidR="00156F0B">
        <w:rPr>
          <w:bCs/>
          <w:u w:val="none"/>
        </w:rPr>
        <w:t xml:space="preserve"> June 30, 2022</w:t>
      </w:r>
      <w:r w:rsidR="00913720">
        <w:rPr>
          <w:bCs/>
          <w:u w:val="none"/>
        </w:rPr>
        <w:t xml:space="preserve">. </w:t>
      </w:r>
      <w:r w:rsidR="00A65555">
        <w:rPr>
          <w:bCs/>
          <w:u w:val="none"/>
        </w:rPr>
        <w:t xml:space="preserve">The remaining May </w:t>
      </w:r>
      <w:r w:rsidR="000A6F1B">
        <w:rPr>
          <w:bCs/>
          <w:u w:val="none"/>
        </w:rPr>
        <w:t xml:space="preserve">2022 </w:t>
      </w:r>
      <w:r w:rsidR="00A65555">
        <w:rPr>
          <w:bCs/>
          <w:u w:val="none"/>
        </w:rPr>
        <w:t xml:space="preserve">Pre-Funded Warrants </w:t>
      </w:r>
      <w:r w:rsidR="00496098">
        <w:rPr>
          <w:bCs/>
          <w:u w:val="none"/>
        </w:rPr>
        <w:t>were fully exercised during July 2022 (see Note 9)</w:t>
      </w:r>
      <w:r w:rsidR="00A65555">
        <w:rPr>
          <w:bCs/>
          <w:u w:val="none"/>
        </w:rPr>
        <w:t xml:space="preserve">. </w:t>
      </w:r>
    </w:p>
    <w:p w14:paraId="3E0884A4" w14:textId="77777777" w:rsidR="00937753" w:rsidRDefault="00937753" w:rsidP="00913720">
      <w:pPr>
        <w:pStyle w:val="BodyTitle"/>
        <w:spacing w:after="0"/>
        <w:rPr>
          <w:bCs/>
          <w:u w:val="none"/>
        </w:rPr>
      </w:pPr>
    </w:p>
    <w:p w14:paraId="7B18EACE" w14:textId="57968596" w:rsidR="00913720" w:rsidRDefault="00F74A72" w:rsidP="00913720">
      <w:pPr>
        <w:pStyle w:val="BodyTitle"/>
        <w:spacing w:after="0"/>
        <w:rPr>
          <w:bCs/>
          <w:u w:val="none"/>
        </w:rPr>
      </w:pPr>
      <w:r>
        <w:rPr>
          <w:bCs/>
          <w:u w:val="none"/>
        </w:rPr>
        <w:t>As of June 30, 2022, t</w:t>
      </w:r>
      <w:r w:rsidR="00913720">
        <w:rPr>
          <w:bCs/>
          <w:u w:val="none"/>
        </w:rPr>
        <w:t xml:space="preserve">he </w:t>
      </w:r>
      <w:r w:rsidR="00A71EE6">
        <w:rPr>
          <w:bCs/>
          <w:u w:val="none"/>
        </w:rPr>
        <w:t xml:space="preserve">May </w:t>
      </w:r>
      <w:r w:rsidR="000A6F1B">
        <w:rPr>
          <w:bCs/>
          <w:u w:val="none"/>
        </w:rPr>
        <w:t xml:space="preserve">2022 </w:t>
      </w:r>
      <w:r w:rsidR="00A71EE6">
        <w:rPr>
          <w:bCs/>
          <w:u w:val="none"/>
        </w:rPr>
        <w:t>Preferred Investment Options</w:t>
      </w:r>
      <w:r w:rsidR="00913720" w:rsidRPr="003F6C32">
        <w:rPr>
          <w:bCs/>
          <w:u w:val="none"/>
        </w:rPr>
        <w:t xml:space="preserve"> </w:t>
      </w:r>
      <w:r w:rsidR="009A3C87">
        <w:rPr>
          <w:bCs/>
          <w:u w:val="none"/>
        </w:rPr>
        <w:t>are</w:t>
      </w:r>
      <w:r w:rsidR="00913720">
        <w:rPr>
          <w:bCs/>
          <w:u w:val="none"/>
        </w:rPr>
        <w:t xml:space="preserve"> currently</w:t>
      </w:r>
      <w:r w:rsidR="00913720" w:rsidRPr="003F6C32">
        <w:rPr>
          <w:bCs/>
          <w:u w:val="none"/>
        </w:rPr>
        <w:t xml:space="preserve"> exercisable</w:t>
      </w:r>
      <w:r w:rsidR="00496098">
        <w:rPr>
          <w:bCs/>
          <w:u w:val="none"/>
        </w:rPr>
        <w:t xml:space="preserve"> (subject to certain common stock ownership restrictions contained in the warrant agreements)</w:t>
      </w:r>
      <w:r w:rsidR="00913720">
        <w:rPr>
          <w:bCs/>
          <w:u w:val="none"/>
        </w:rPr>
        <w:t xml:space="preserve"> and </w:t>
      </w:r>
      <w:r w:rsidR="00913720" w:rsidRPr="003F6C32">
        <w:rPr>
          <w:bCs/>
          <w:u w:val="none"/>
        </w:rPr>
        <w:t>expire</w:t>
      </w:r>
      <w:r w:rsidR="00913720">
        <w:rPr>
          <w:bCs/>
          <w:u w:val="none"/>
        </w:rPr>
        <w:t xml:space="preserve"> </w:t>
      </w:r>
      <w:r w:rsidR="009A3C87">
        <w:rPr>
          <w:bCs/>
          <w:u w:val="none"/>
        </w:rPr>
        <w:t xml:space="preserve">as to 3,030,304 shares </w:t>
      </w:r>
      <w:r w:rsidR="00913720">
        <w:rPr>
          <w:bCs/>
          <w:u w:val="none"/>
        </w:rPr>
        <w:t xml:space="preserve">on </w:t>
      </w:r>
      <w:r w:rsidR="009A3C87">
        <w:rPr>
          <w:bCs/>
          <w:u w:val="none"/>
        </w:rPr>
        <w:t xml:space="preserve">May 27, </w:t>
      </w:r>
      <w:proofErr w:type="gramStart"/>
      <w:r w:rsidR="009A3C87">
        <w:rPr>
          <w:bCs/>
          <w:u w:val="none"/>
        </w:rPr>
        <w:t>2027</w:t>
      </w:r>
      <w:proofErr w:type="gramEnd"/>
      <w:r w:rsidR="009A3C87">
        <w:rPr>
          <w:bCs/>
          <w:u w:val="none"/>
        </w:rPr>
        <w:t xml:space="preserve"> and as to 9,090,910 shares on May 29, 2028</w:t>
      </w:r>
      <w:r w:rsidR="00913720">
        <w:rPr>
          <w:bCs/>
          <w:u w:val="none"/>
        </w:rPr>
        <w:t>.</w:t>
      </w:r>
      <w:r w:rsidR="00A65555">
        <w:rPr>
          <w:bCs/>
          <w:u w:val="none"/>
        </w:rPr>
        <w:t xml:space="preserve"> </w:t>
      </w:r>
      <w:r w:rsidR="00937753">
        <w:rPr>
          <w:bCs/>
          <w:u w:val="none"/>
        </w:rPr>
        <w:t>During August 2022, 3,030,304 of the May 2022 Preferred Investment Options were exercised for cash (see Note 9).</w:t>
      </w:r>
    </w:p>
    <w:p w14:paraId="40560E09" w14:textId="434E928E" w:rsidR="000A55AE" w:rsidRDefault="000A55AE" w:rsidP="000A55AE">
      <w:pPr>
        <w:rPr>
          <w:color w:val="000000"/>
        </w:rPr>
      </w:pPr>
    </w:p>
    <w:p w14:paraId="499A19BA" w14:textId="3CAC324E" w:rsidR="007D4278" w:rsidRPr="003E6788" w:rsidRDefault="007D4278" w:rsidP="007D4278">
      <w:pPr>
        <w:jc w:val="both"/>
      </w:pPr>
      <w:r w:rsidRPr="008C0ABC">
        <w:rPr>
          <w:i/>
          <w:iCs/>
        </w:rPr>
        <w:t>Other Common Stock Transactions</w:t>
      </w:r>
      <w:r>
        <w:t xml:space="preserve"> – </w:t>
      </w:r>
      <w:bookmarkStart w:id="19" w:name="_Hlk108625276"/>
      <w:r w:rsidRPr="003E6788">
        <w:t>During</w:t>
      </w:r>
      <w:r>
        <w:t xml:space="preserve"> the</w:t>
      </w:r>
      <w:r w:rsidRPr="003E6788">
        <w:t xml:space="preserve"> </w:t>
      </w:r>
      <w:r>
        <w:t>six months ended June 30, 2022</w:t>
      </w:r>
      <w:r w:rsidRPr="003E6788">
        <w:t xml:space="preserve">, we issued </w:t>
      </w:r>
      <w:r w:rsidR="00045086">
        <w:t>68,500</w:t>
      </w:r>
      <w:r>
        <w:t xml:space="preserve"> </w:t>
      </w:r>
      <w:r w:rsidRPr="003E6788">
        <w:t xml:space="preserve">shares of </w:t>
      </w:r>
      <w:r w:rsidR="00B43D8C">
        <w:t>restricted</w:t>
      </w:r>
      <w:r w:rsidRPr="003E6788">
        <w:t xml:space="preserve"> common stock pursuant to </w:t>
      </w:r>
      <w:r w:rsidR="00B43D8C">
        <w:t xml:space="preserve">a </w:t>
      </w:r>
      <w:r w:rsidRPr="003E6788">
        <w:t>consulting agreement</w:t>
      </w:r>
      <w:bookmarkEnd w:id="19"/>
      <w:r w:rsidR="00B43D8C">
        <w:t>.</w:t>
      </w:r>
    </w:p>
    <w:p w14:paraId="3E7101C9" w14:textId="6ACAC649" w:rsidR="00716911" w:rsidRDefault="00716911" w:rsidP="000A55AE">
      <w:pPr>
        <w:rPr>
          <w:color w:val="000000"/>
        </w:rPr>
      </w:pPr>
    </w:p>
    <w:p w14:paraId="2C613F8E" w14:textId="00B7E538" w:rsidR="006F0BD4" w:rsidRPr="00F53171" w:rsidRDefault="006F0BD4" w:rsidP="006F0BD4">
      <w:pPr>
        <w:pStyle w:val="BodyTitle"/>
        <w:spacing w:after="0"/>
        <w:rPr>
          <w:i/>
          <w:u w:val="none"/>
        </w:rPr>
      </w:pPr>
      <w:r w:rsidRPr="006F0BD4">
        <w:rPr>
          <w:i/>
          <w:iCs/>
          <w:u w:val="none"/>
        </w:rPr>
        <w:t>Stock Options</w:t>
      </w:r>
      <w:r>
        <w:rPr>
          <w:u w:val="none"/>
        </w:rPr>
        <w:t xml:space="preserve"> – </w:t>
      </w: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1,500,000 shares of our common stock are reserved for issuance pursuant to the 2020 Plan.  During the </w:t>
      </w:r>
      <w:r>
        <w:rPr>
          <w:color w:val="000000"/>
          <w:u w:val="none"/>
        </w:rPr>
        <w:t>six</w:t>
      </w:r>
      <w:r w:rsidRPr="00DC136D">
        <w:rPr>
          <w:color w:val="000000"/>
          <w:u w:val="none"/>
        </w:rPr>
        <w:t xml:space="preserve"> months ended </w:t>
      </w:r>
      <w:r>
        <w:rPr>
          <w:color w:val="000000"/>
          <w:u w:val="none"/>
        </w:rPr>
        <w:t>June</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were no stock option transactions related to the 2020 Plan.  As of </w:t>
      </w:r>
      <w:r>
        <w:rPr>
          <w:color w:val="000000"/>
          <w:u w:val="none"/>
        </w:rPr>
        <w:t>June</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t>
      </w:r>
      <w:r>
        <w:rPr>
          <w:color w:val="000000"/>
          <w:u w:val="none"/>
        </w:rPr>
        <w:t>are</w:t>
      </w:r>
      <w:r w:rsidRPr="00DC136D">
        <w:rPr>
          <w:color w:val="000000"/>
          <w:u w:val="none"/>
        </w:rPr>
        <w:t xml:space="preserve"> </w:t>
      </w:r>
      <w:r>
        <w:rPr>
          <w:color w:val="000000"/>
          <w:u w:val="none"/>
        </w:rPr>
        <w:t>962,300</w:t>
      </w:r>
      <w:r w:rsidRPr="00DC136D">
        <w:rPr>
          <w:color w:val="000000"/>
          <w:u w:val="none"/>
        </w:rPr>
        <w:t xml:space="preserve"> stock options</w:t>
      </w:r>
      <w:r w:rsidRPr="00100CAB">
        <w:rPr>
          <w:color w:val="000000"/>
          <w:u w:val="none"/>
        </w:rPr>
        <w:t xml:space="preserve"> outstanding, with a weighted-average exercise price of $</w:t>
      </w:r>
      <w:r>
        <w:rPr>
          <w:color w:val="000000"/>
          <w:u w:val="none"/>
        </w:rPr>
        <w:t>3.18</w:t>
      </w:r>
      <w:r w:rsidRPr="00100CAB">
        <w:rPr>
          <w:color w:val="000000"/>
          <w:u w:val="none"/>
        </w:rPr>
        <w:t xml:space="preserve"> per share and a weighted-average remaining term of </w:t>
      </w:r>
      <w:r>
        <w:rPr>
          <w:color w:val="000000"/>
          <w:u w:val="none"/>
        </w:rPr>
        <w:t>8.8</w:t>
      </w:r>
      <w:r w:rsidRPr="00E711A1">
        <w:rPr>
          <w:color w:val="000000"/>
          <w:u w:val="none"/>
        </w:rPr>
        <w:t xml:space="preserve"> years.</w:t>
      </w:r>
    </w:p>
    <w:p w14:paraId="1CDEDA16" w14:textId="77777777" w:rsidR="006F0BD4" w:rsidRDefault="006F0BD4" w:rsidP="000A55AE">
      <w:pPr>
        <w:rPr>
          <w:color w:val="000000"/>
        </w:rPr>
      </w:pPr>
    </w:p>
    <w:p w14:paraId="28175D43" w14:textId="04F061B7" w:rsidR="00541CEB" w:rsidRPr="00541CEB" w:rsidRDefault="00541CEB" w:rsidP="008A6593">
      <w:pPr>
        <w:suppressAutoHyphens/>
        <w:spacing w:line="240" w:lineRule="exact"/>
        <w:rPr>
          <w:color w:val="000000"/>
        </w:rPr>
      </w:pPr>
      <w:r w:rsidRPr="008C287F">
        <w:rPr>
          <w:i/>
          <w:color w:val="000000"/>
        </w:rPr>
        <w:t>Stock Purchase Warrants</w:t>
      </w:r>
      <w:r>
        <w:rPr>
          <w:i/>
          <w:color w:val="000000"/>
        </w:rPr>
        <w:t xml:space="preserve"> –</w:t>
      </w:r>
      <w:r w:rsidR="008A6593">
        <w:rPr>
          <w:color w:val="000000"/>
        </w:rPr>
        <w:t xml:space="preserve"> </w:t>
      </w:r>
      <w:r w:rsidRPr="00541CEB">
        <w:rPr>
          <w:color w:val="000000"/>
        </w:rPr>
        <w:t xml:space="preserve">The table below presents summary information about our warrants outstanding as of </w:t>
      </w:r>
      <w:r>
        <w:rPr>
          <w:color w:val="000000"/>
        </w:rPr>
        <w:t>June</w:t>
      </w:r>
      <w:r w:rsidRPr="00541CEB">
        <w:rPr>
          <w:color w:val="000000"/>
        </w:rPr>
        <w:t xml:space="preserve"> 3</w:t>
      </w:r>
      <w:r>
        <w:rPr>
          <w:color w:val="000000"/>
        </w:rPr>
        <w:t>0</w:t>
      </w:r>
      <w:r w:rsidRPr="00541CEB">
        <w:rPr>
          <w:color w:val="000000"/>
        </w:rPr>
        <w:t>, 202</w:t>
      </w:r>
      <w:r>
        <w:rPr>
          <w:color w:val="000000"/>
        </w:rPr>
        <w:t>2</w:t>
      </w:r>
      <w:r w:rsidRPr="00541CEB">
        <w:rPr>
          <w:color w:val="000000"/>
        </w:rPr>
        <w:t>.</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541CEB" w:rsidRPr="00541CEB" w14:paraId="3C700999" w14:textId="77777777" w:rsidTr="00E721DB">
        <w:tc>
          <w:tcPr>
            <w:tcW w:w="5850" w:type="dxa"/>
            <w:tcBorders>
              <w:bottom w:val="single" w:sz="4" w:space="0" w:color="auto"/>
            </w:tcBorders>
          </w:tcPr>
          <w:p w14:paraId="2361A431" w14:textId="77777777" w:rsidR="00541CEB" w:rsidRPr="00541CEB" w:rsidRDefault="00541CEB" w:rsidP="00541CEB">
            <w:pPr>
              <w:rPr>
                <w:color w:val="000000"/>
              </w:rPr>
            </w:pPr>
          </w:p>
          <w:p w14:paraId="73E49EE6" w14:textId="77777777" w:rsidR="00541CEB" w:rsidRPr="00541CEB" w:rsidRDefault="00541CEB" w:rsidP="00541CEB">
            <w:pPr>
              <w:rPr>
                <w:color w:val="000000"/>
              </w:rPr>
            </w:pPr>
            <w:r w:rsidRPr="00541CEB">
              <w:rPr>
                <w:color w:val="000000"/>
              </w:rPr>
              <w:t>Warrant Description</w:t>
            </w:r>
          </w:p>
        </w:tc>
        <w:tc>
          <w:tcPr>
            <w:tcW w:w="1260" w:type="dxa"/>
            <w:tcBorders>
              <w:bottom w:val="single" w:sz="4" w:space="0" w:color="auto"/>
            </w:tcBorders>
          </w:tcPr>
          <w:p w14:paraId="24B0D91D" w14:textId="77777777" w:rsidR="00541CEB" w:rsidRPr="00541CEB" w:rsidRDefault="00541CEB" w:rsidP="00541CEB">
            <w:pPr>
              <w:jc w:val="center"/>
              <w:rPr>
                <w:color w:val="000000"/>
              </w:rPr>
            </w:pPr>
            <w:r w:rsidRPr="00541CEB">
              <w:rPr>
                <w:color w:val="000000"/>
              </w:rPr>
              <w:t>Number</w:t>
            </w:r>
          </w:p>
          <w:p w14:paraId="2F85F53E" w14:textId="77777777" w:rsidR="00541CEB" w:rsidRPr="00541CEB" w:rsidRDefault="00541CEB" w:rsidP="00541CEB">
            <w:pPr>
              <w:jc w:val="center"/>
              <w:rPr>
                <w:color w:val="000000"/>
              </w:rPr>
            </w:pPr>
            <w:r w:rsidRPr="00541CEB">
              <w:rPr>
                <w:color w:val="000000"/>
              </w:rPr>
              <w:t>of Shares</w:t>
            </w:r>
          </w:p>
        </w:tc>
        <w:tc>
          <w:tcPr>
            <w:tcW w:w="1191" w:type="dxa"/>
            <w:tcBorders>
              <w:bottom w:val="single" w:sz="4" w:space="0" w:color="auto"/>
            </w:tcBorders>
          </w:tcPr>
          <w:p w14:paraId="411E1ED8" w14:textId="77777777" w:rsidR="00541CEB" w:rsidRPr="00541CEB" w:rsidRDefault="00541CEB" w:rsidP="00541CEB">
            <w:pPr>
              <w:jc w:val="center"/>
              <w:rPr>
                <w:color w:val="000000"/>
              </w:rPr>
            </w:pPr>
            <w:r w:rsidRPr="00541CEB">
              <w:rPr>
                <w:color w:val="000000"/>
              </w:rPr>
              <w:t>Exercise</w:t>
            </w:r>
          </w:p>
          <w:p w14:paraId="3B921DB5" w14:textId="77777777" w:rsidR="00541CEB" w:rsidRPr="00541CEB" w:rsidRDefault="00541CEB" w:rsidP="00541CEB">
            <w:pPr>
              <w:jc w:val="center"/>
              <w:rPr>
                <w:color w:val="000000"/>
              </w:rPr>
            </w:pPr>
            <w:r w:rsidRPr="00541CEB">
              <w:rPr>
                <w:color w:val="000000"/>
              </w:rPr>
              <w:t>Price</w:t>
            </w:r>
          </w:p>
        </w:tc>
        <w:tc>
          <w:tcPr>
            <w:tcW w:w="1625" w:type="dxa"/>
            <w:tcBorders>
              <w:bottom w:val="single" w:sz="4" w:space="0" w:color="auto"/>
            </w:tcBorders>
          </w:tcPr>
          <w:p w14:paraId="6F8A8F67" w14:textId="77777777" w:rsidR="00541CEB" w:rsidRPr="00541CEB" w:rsidRDefault="00541CEB" w:rsidP="00541CEB">
            <w:pPr>
              <w:jc w:val="center"/>
              <w:rPr>
                <w:color w:val="000000"/>
              </w:rPr>
            </w:pPr>
          </w:p>
          <w:p w14:paraId="31AC5CC7" w14:textId="77777777" w:rsidR="00541CEB" w:rsidRPr="00541CEB" w:rsidRDefault="00541CEB" w:rsidP="00541CEB">
            <w:pPr>
              <w:jc w:val="center"/>
              <w:rPr>
                <w:color w:val="000000"/>
              </w:rPr>
            </w:pPr>
            <w:r w:rsidRPr="00541CEB">
              <w:rPr>
                <w:color w:val="000000"/>
              </w:rPr>
              <w:t>Expiration</w:t>
            </w:r>
          </w:p>
        </w:tc>
      </w:tr>
      <w:tr w:rsidR="00541CEB" w:rsidRPr="00541CEB" w14:paraId="4E7890A2" w14:textId="77777777" w:rsidTr="00E721DB">
        <w:tc>
          <w:tcPr>
            <w:tcW w:w="5850" w:type="dxa"/>
          </w:tcPr>
          <w:p w14:paraId="312CFB1D" w14:textId="77777777" w:rsidR="00541CEB" w:rsidRPr="00541CEB" w:rsidRDefault="00541CEB" w:rsidP="00541CEB">
            <w:pPr>
              <w:rPr>
                <w:color w:val="000000"/>
              </w:rPr>
            </w:pPr>
            <w:r w:rsidRPr="00541CEB">
              <w:rPr>
                <w:color w:val="000000"/>
              </w:rPr>
              <w:t>2020 Warrants</w:t>
            </w:r>
          </w:p>
        </w:tc>
        <w:tc>
          <w:tcPr>
            <w:tcW w:w="1260" w:type="dxa"/>
          </w:tcPr>
          <w:p w14:paraId="25AA5AC8" w14:textId="77777777" w:rsidR="00541CEB" w:rsidRPr="00541CEB" w:rsidRDefault="00541CEB" w:rsidP="00541CEB">
            <w:pPr>
              <w:tabs>
                <w:tab w:val="decimal" w:pos="877"/>
              </w:tabs>
              <w:rPr>
                <w:color w:val="000000"/>
              </w:rPr>
            </w:pPr>
            <w:r w:rsidRPr="00541CEB">
              <w:rPr>
                <w:color w:val="000000"/>
              </w:rPr>
              <w:t>120,000</w:t>
            </w:r>
          </w:p>
        </w:tc>
        <w:tc>
          <w:tcPr>
            <w:tcW w:w="1191" w:type="dxa"/>
          </w:tcPr>
          <w:p w14:paraId="13697CEE" w14:textId="466493B3" w:rsidR="00541CEB" w:rsidRPr="00541CEB" w:rsidRDefault="005570D6" w:rsidP="00541CEB">
            <w:pPr>
              <w:tabs>
                <w:tab w:val="decimal" w:pos="607"/>
              </w:tabs>
              <w:rPr>
                <w:color w:val="000000"/>
              </w:rPr>
            </w:pPr>
            <w:proofErr w:type="gramStart"/>
            <w:r>
              <w:rPr>
                <w:color w:val="000000"/>
              </w:rPr>
              <w:t xml:space="preserve">$  </w:t>
            </w:r>
            <w:r w:rsidR="00BC6B92">
              <w:rPr>
                <w:color w:val="000000"/>
              </w:rPr>
              <w:t>1</w:t>
            </w:r>
            <w:proofErr w:type="gramEnd"/>
            <w:r w:rsidR="00BC6B92">
              <w:rPr>
                <w:color w:val="000000"/>
              </w:rPr>
              <w:t>.65</w:t>
            </w:r>
          </w:p>
        </w:tc>
        <w:tc>
          <w:tcPr>
            <w:tcW w:w="1625" w:type="dxa"/>
          </w:tcPr>
          <w:p w14:paraId="50EA7ADF" w14:textId="77777777" w:rsidR="00541CEB" w:rsidRPr="00541CEB" w:rsidRDefault="00541CEB" w:rsidP="00541CEB">
            <w:pPr>
              <w:jc w:val="center"/>
              <w:rPr>
                <w:color w:val="000000"/>
              </w:rPr>
            </w:pPr>
            <w:r w:rsidRPr="00541CEB">
              <w:rPr>
                <w:color w:val="000000"/>
              </w:rPr>
              <w:t>Jun 2025</w:t>
            </w:r>
          </w:p>
        </w:tc>
      </w:tr>
      <w:tr w:rsidR="00541CEB" w:rsidRPr="00541CEB" w14:paraId="7E3E1FE9" w14:textId="77777777" w:rsidTr="00E721DB">
        <w:tc>
          <w:tcPr>
            <w:tcW w:w="5850" w:type="dxa"/>
          </w:tcPr>
          <w:p w14:paraId="0251659B" w14:textId="77777777" w:rsidR="00541CEB" w:rsidRPr="00541CEB" w:rsidRDefault="00541CEB" w:rsidP="00541CEB">
            <w:pPr>
              <w:rPr>
                <w:color w:val="000000"/>
              </w:rPr>
            </w:pPr>
            <w:r w:rsidRPr="00541CEB">
              <w:rPr>
                <w:color w:val="000000"/>
              </w:rPr>
              <w:t>2020 Unit Warrants</w:t>
            </w:r>
          </w:p>
        </w:tc>
        <w:tc>
          <w:tcPr>
            <w:tcW w:w="1260" w:type="dxa"/>
          </w:tcPr>
          <w:p w14:paraId="07B39B1E" w14:textId="77777777" w:rsidR="00541CEB" w:rsidRPr="00541CEB" w:rsidRDefault="00541CEB" w:rsidP="00541CEB">
            <w:pPr>
              <w:tabs>
                <w:tab w:val="decimal" w:pos="877"/>
              </w:tabs>
              <w:rPr>
                <w:color w:val="000000"/>
              </w:rPr>
            </w:pPr>
            <w:r w:rsidRPr="00541CEB">
              <w:rPr>
                <w:color w:val="000000"/>
              </w:rPr>
              <w:t>2,396,631</w:t>
            </w:r>
          </w:p>
        </w:tc>
        <w:tc>
          <w:tcPr>
            <w:tcW w:w="1191" w:type="dxa"/>
          </w:tcPr>
          <w:p w14:paraId="10527D09" w14:textId="77777777" w:rsidR="00541CEB" w:rsidRPr="00541CEB" w:rsidRDefault="00541CEB" w:rsidP="00541CEB">
            <w:pPr>
              <w:tabs>
                <w:tab w:val="decimal" w:pos="607"/>
              </w:tabs>
              <w:rPr>
                <w:color w:val="000000"/>
              </w:rPr>
            </w:pPr>
            <w:r w:rsidRPr="00541CEB">
              <w:rPr>
                <w:color w:val="000000"/>
              </w:rPr>
              <w:t>5.00</w:t>
            </w:r>
          </w:p>
        </w:tc>
        <w:tc>
          <w:tcPr>
            <w:tcW w:w="1625" w:type="dxa"/>
          </w:tcPr>
          <w:p w14:paraId="4793700B" w14:textId="77777777" w:rsidR="00541CEB" w:rsidRPr="00541CEB" w:rsidRDefault="00541CEB" w:rsidP="00541CEB">
            <w:pPr>
              <w:jc w:val="center"/>
              <w:rPr>
                <w:color w:val="000000"/>
              </w:rPr>
            </w:pPr>
            <w:r w:rsidRPr="00541CEB">
              <w:rPr>
                <w:color w:val="000000"/>
              </w:rPr>
              <w:t>Sep 2025</w:t>
            </w:r>
          </w:p>
        </w:tc>
      </w:tr>
      <w:tr w:rsidR="00541CEB" w:rsidRPr="00541CEB" w14:paraId="2BF14830" w14:textId="77777777" w:rsidTr="00E721DB">
        <w:tc>
          <w:tcPr>
            <w:tcW w:w="5850" w:type="dxa"/>
          </w:tcPr>
          <w:p w14:paraId="305B21EF" w14:textId="77777777" w:rsidR="00541CEB" w:rsidRPr="00541CEB" w:rsidRDefault="00541CEB" w:rsidP="00541CEB">
            <w:pPr>
              <w:rPr>
                <w:color w:val="000000"/>
              </w:rPr>
            </w:pPr>
            <w:r w:rsidRPr="00541CEB">
              <w:rPr>
                <w:color w:val="000000"/>
              </w:rPr>
              <w:t>2020 Representative Warrants</w:t>
            </w:r>
          </w:p>
        </w:tc>
        <w:tc>
          <w:tcPr>
            <w:tcW w:w="1260" w:type="dxa"/>
          </w:tcPr>
          <w:p w14:paraId="3331A411" w14:textId="77777777" w:rsidR="00541CEB" w:rsidRPr="00541CEB" w:rsidRDefault="00541CEB" w:rsidP="00541CEB">
            <w:pPr>
              <w:tabs>
                <w:tab w:val="decimal" w:pos="877"/>
              </w:tabs>
              <w:rPr>
                <w:color w:val="000000"/>
              </w:rPr>
            </w:pPr>
            <w:r w:rsidRPr="00541CEB">
              <w:rPr>
                <w:color w:val="000000"/>
              </w:rPr>
              <w:t>128,000</w:t>
            </w:r>
          </w:p>
        </w:tc>
        <w:tc>
          <w:tcPr>
            <w:tcW w:w="1191" w:type="dxa"/>
          </w:tcPr>
          <w:p w14:paraId="126FFCA4" w14:textId="77777777" w:rsidR="00541CEB" w:rsidRPr="00541CEB" w:rsidRDefault="00541CEB" w:rsidP="00541CEB">
            <w:pPr>
              <w:tabs>
                <w:tab w:val="decimal" w:pos="607"/>
              </w:tabs>
              <w:rPr>
                <w:color w:val="000000"/>
              </w:rPr>
            </w:pPr>
            <w:r w:rsidRPr="00541CEB">
              <w:rPr>
                <w:color w:val="000000"/>
              </w:rPr>
              <w:t>5.50</w:t>
            </w:r>
          </w:p>
        </w:tc>
        <w:tc>
          <w:tcPr>
            <w:tcW w:w="1625" w:type="dxa"/>
          </w:tcPr>
          <w:p w14:paraId="6D3BD899" w14:textId="77777777" w:rsidR="00541CEB" w:rsidRPr="00541CEB" w:rsidRDefault="00541CEB" w:rsidP="00541CEB">
            <w:pPr>
              <w:jc w:val="center"/>
              <w:rPr>
                <w:color w:val="000000"/>
              </w:rPr>
            </w:pPr>
            <w:r w:rsidRPr="00541CEB">
              <w:rPr>
                <w:color w:val="000000"/>
              </w:rPr>
              <w:t>Mar 2024</w:t>
            </w:r>
          </w:p>
        </w:tc>
      </w:tr>
      <w:tr w:rsidR="00541CEB" w:rsidRPr="00541CEB" w14:paraId="546B900B" w14:textId="77777777" w:rsidTr="00E721DB">
        <w:tc>
          <w:tcPr>
            <w:tcW w:w="5850" w:type="dxa"/>
          </w:tcPr>
          <w:p w14:paraId="626B34C6" w14:textId="77777777" w:rsidR="00541CEB" w:rsidRPr="00541CEB" w:rsidRDefault="00541CEB" w:rsidP="00541CEB">
            <w:pPr>
              <w:rPr>
                <w:color w:val="000000"/>
              </w:rPr>
            </w:pPr>
            <w:r w:rsidRPr="00541CEB">
              <w:rPr>
                <w:color w:val="000000"/>
              </w:rPr>
              <w:t>2021 Representative Warrants</w:t>
            </w:r>
          </w:p>
        </w:tc>
        <w:tc>
          <w:tcPr>
            <w:tcW w:w="1260" w:type="dxa"/>
          </w:tcPr>
          <w:p w14:paraId="45D479E1" w14:textId="77777777" w:rsidR="00541CEB" w:rsidRPr="00541CEB" w:rsidRDefault="00541CEB" w:rsidP="00541CEB">
            <w:pPr>
              <w:tabs>
                <w:tab w:val="decimal" w:pos="877"/>
              </w:tabs>
              <w:rPr>
                <w:color w:val="000000"/>
              </w:rPr>
            </w:pPr>
            <w:r w:rsidRPr="00541CEB">
              <w:rPr>
                <w:color w:val="000000"/>
              </w:rPr>
              <w:t>72,000</w:t>
            </w:r>
          </w:p>
        </w:tc>
        <w:tc>
          <w:tcPr>
            <w:tcW w:w="1191" w:type="dxa"/>
          </w:tcPr>
          <w:p w14:paraId="03548070" w14:textId="77777777" w:rsidR="00541CEB" w:rsidRPr="00541CEB" w:rsidRDefault="00541CEB" w:rsidP="00541CEB">
            <w:pPr>
              <w:tabs>
                <w:tab w:val="decimal" w:pos="607"/>
              </w:tabs>
              <w:rPr>
                <w:color w:val="000000"/>
              </w:rPr>
            </w:pPr>
            <w:r w:rsidRPr="00541CEB">
              <w:rPr>
                <w:color w:val="000000"/>
              </w:rPr>
              <w:t>6.875</w:t>
            </w:r>
          </w:p>
        </w:tc>
        <w:tc>
          <w:tcPr>
            <w:tcW w:w="1625" w:type="dxa"/>
          </w:tcPr>
          <w:p w14:paraId="5BCFF80A" w14:textId="77777777" w:rsidR="00541CEB" w:rsidRPr="00541CEB" w:rsidRDefault="00541CEB" w:rsidP="00541CEB">
            <w:pPr>
              <w:jc w:val="center"/>
              <w:rPr>
                <w:color w:val="000000"/>
              </w:rPr>
            </w:pPr>
            <w:r w:rsidRPr="00541CEB">
              <w:rPr>
                <w:color w:val="000000"/>
              </w:rPr>
              <w:t>Aug 2024</w:t>
            </w:r>
          </w:p>
        </w:tc>
      </w:tr>
      <w:tr w:rsidR="00541CEB" w:rsidRPr="00541CEB" w14:paraId="1B43C623" w14:textId="77777777" w:rsidTr="009D5A44">
        <w:tc>
          <w:tcPr>
            <w:tcW w:w="5850" w:type="dxa"/>
          </w:tcPr>
          <w:p w14:paraId="3D81E2DE" w14:textId="77777777" w:rsidR="00541CEB" w:rsidRPr="00541CEB" w:rsidRDefault="00541CEB" w:rsidP="00541CEB">
            <w:pPr>
              <w:rPr>
                <w:color w:val="000000"/>
              </w:rPr>
            </w:pPr>
            <w:r w:rsidRPr="00541CEB">
              <w:rPr>
                <w:color w:val="000000"/>
              </w:rPr>
              <w:t>2021 Warrants</w:t>
            </w:r>
          </w:p>
        </w:tc>
        <w:tc>
          <w:tcPr>
            <w:tcW w:w="1260" w:type="dxa"/>
          </w:tcPr>
          <w:p w14:paraId="3AE93591" w14:textId="77777777" w:rsidR="00541CEB" w:rsidRPr="00541CEB" w:rsidRDefault="00541CEB" w:rsidP="00541CEB">
            <w:pPr>
              <w:tabs>
                <w:tab w:val="decimal" w:pos="877"/>
              </w:tabs>
              <w:rPr>
                <w:color w:val="000000"/>
              </w:rPr>
            </w:pPr>
            <w:r w:rsidRPr="00541CEB">
              <w:rPr>
                <w:color w:val="000000"/>
              </w:rPr>
              <w:t>100,000</w:t>
            </w:r>
          </w:p>
        </w:tc>
        <w:tc>
          <w:tcPr>
            <w:tcW w:w="1191" w:type="dxa"/>
          </w:tcPr>
          <w:p w14:paraId="1FB8CA21" w14:textId="77777777" w:rsidR="00541CEB" w:rsidRPr="00541CEB" w:rsidRDefault="00541CEB" w:rsidP="00541CEB">
            <w:pPr>
              <w:tabs>
                <w:tab w:val="decimal" w:pos="607"/>
              </w:tabs>
              <w:rPr>
                <w:color w:val="000000"/>
              </w:rPr>
            </w:pPr>
            <w:r w:rsidRPr="00541CEB">
              <w:rPr>
                <w:color w:val="000000"/>
              </w:rPr>
              <w:t>13.00</w:t>
            </w:r>
          </w:p>
        </w:tc>
        <w:tc>
          <w:tcPr>
            <w:tcW w:w="1625" w:type="dxa"/>
          </w:tcPr>
          <w:p w14:paraId="0F2F0E49" w14:textId="77777777" w:rsidR="00541CEB" w:rsidRPr="00541CEB" w:rsidRDefault="00541CEB" w:rsidP="00541CEB">
            <w:pPr>
              <w:jc w:val="center"/>
              <w:rPr>
                <w:color w:val="000000"/>
              </w:rPr>
            </w:pPr>
            <w:r w:rsidRPr="00541CEB">
              <w:rPr>
                <w:color w:val="000000"/>
              </w:rPr>
              <w:t>Sep 2026</w:t>
            </w:r>
          </w:p>
        </w:tc>
      </w:tr>
      <w:tr w:rsidR="009D5A44" w:rsidRPr="00541CEB" w14:paraId="38B7E9DE" w14:textId="77777777" w:rsidTr="009D5A44">
        <w:tc>
          <w:tcPr>
            <w:tcW w:w="5850" w:type="dxa"/>
          </w:tcPr>
          <w:p w14:paraId="03C29DD8" w14:textId="35150A4D" w:rsidR="009D5A44" w:rsidRPr="00541CEB" w:rsidRDefault="009D5A44" w:rsidP="00541CEB">
            <w:pPr>
              <w:rPr>
                <w:color w:val="000000"/>
              </w:rPr>
            </w:pPr>
            <w:r>
              <w:rPr>
                <w:color w:val="000000"/>
              </w:rPr>
              <w:t>Jan</w:t>
            </w:r>
            <w:r w:rsidR="000A6F1B">
              <w:rPr>
                <w:color w:val="000000"/>
              </w:rPr>
              <w:t xml:space="preserve"> 2022</w:t>
            </w:r>
            <w:r>
              <w:rPr>
                <w:color w:val="000000"/>
              </w:rPr>
              <w:t xml:space="preserve"> Common Warrants</w:t>
            </w:r>
          </w:p>
        </w:tc>
        <w:tc>
          <w:tcPr>
            <w:tcW w:w="1260" w:type="dxa"/>
          </w:tcPr>
          <w:p w14:paraId="5C2E298E" w14:textId="5FDA598D" w:rsidR="009D5A44" w:rsidRPr="00541CEB" w:rsidRDefault="009D5A44" w:rsidP="00541CEB">
            <w:pPr>
              <w:tabs>
                <w:tab w:val="decimal" w:pos="877"/>
              </w:tabs>
              <w:rPr>
                <w:color w:val="000000"/>
              </w:rPr>
            </w:pPr>
            <w:r>
              <w:rPr>
                <w:color w:val="000000"/>
              </w:rPr>
              <w:t>3,067,484</w:t>
            </w:r>
          </w:p>
        </w:tc>
        <w:tc>
          <w:tcPr>
            <w:tcW w:w="1191" w:type="dxa"/>
          </w:tcPr>
          <w:p w14:paraId="71FD0E5D" w14:textId="3A1B3A1B" w:rsidR="009D5A44" w:rsidRPr="00541CEB" w:rsidRDefault="009D5A44" w:rsidP="00541CEB">
            <w:pPr>
              <w:tabs>
                <w:tab w:val="decimal" w:pos="607"/>
              </w:tabs>
              <w:rPr>
                <w:color w:val="000000"/>
              </w:rPr>
            </w:pPr>
            <w:r>
              <w:rPr>
                <w:color w:val="000000"/>
              </w:rPr>
              <w:t>3.26</w:t>
            </w:r>
          </w:p>
        </w:tc>
        <w:tc>
          <w:tcPr>
            <w:tcW w:w="1625" w:type="dxa"/>
          </w:tcPr>
          <w:p w14:paraId="141D0790" w14:textId="7B5F293D" w:rsidR="009D5A44" w:rsidRPr="00541CEB" w:rsidRDefault="009D5A44" w:rsidP="00541CEB">
            <w:pPr>
              <w:jc w:val="center"/>
              <w:rPr>
                <w:color w:val="000000"/>
              </w:rPr>
            </w:pPr>
            <w:r>
              <w:rPr>
                <w:color w:val="000000"/>
              </w:rPr>
              <w:t>Feb 2027</w:t>
            </w:r>
          </w:p>
        </w:tc>
      </w:tr>
      <w:tr w:rsidR="009D5A44" w:rsidRPr="00541CEB" w14:paraId="4F65CC1B" w14:textId="77777777" w:rsidTr="009D5A44">
        <w:tc>
          <w:tcPr>
            <w:tcW w:w="5850" w:type="dxa"/>
          </w:tcPr>
          <w:p w14:paraId="2A40519B" w14:textId="02804604" w:rsidR="009D5A44" w:rsidRPr="00541CEB" w:rsidRDefault="009D5A44" w:rsidP="00541CEB">
            <w:pPr>
              <w:rPr>
                <w:color w:val="000000"/>
              </w:rPr>
            </w:pPr>
            <w:r>
              <w:rPr>
                <w:color w:val="000000"/>
              </w:rPr>
              <w:t xml:space="preserve">May </w:t>
            </w:r>
            <w:r w:rsidR="000A6F1B">
              <w:rPr>
                <w:color w:val="000000"/>
              </w:rPr>
              <w:t xml:space="preserve">2022 </w:t>
            </w:r>
            <w:r>
              <w:rPr>
                <w:color w:val="000000"/>
              </w:rPr>
              <w:t>Pre-Funded Warrants</w:t>
            </w:r>
          </w:p>
        </w:tc>
        <w:tc>
          <w:tcPr>
            <w:tcW w:w="1260" w:type="dxa"/>
          </w:tcPr>
          <w:p w14:paraId="00876355" w14:textId="09733AF0" w:rsidR="009D5A44" w:rsidRPr="00541CEB" w:rsidRDefault="009D5A44" w:rsidP="00541CEB">
            <w:pPr>
              <w:tabs>
                <w:tab w:val="decimal" w:pos="877"/>
              </w:tabs>
              <w:rPr>
                <w:color w:val="000000"/>
              </w:rPr>
            </w:pPr>
            <w:r>
              <w:rPr>
                <w:color w:val="000000"/>
              </w:rPr>
              <w:t>5,400,000</w:t>
            </w:r>
          </w:p>
        </w:tc>
        <w:tc>
          <w:tcPr>
            <w:tcW w:w="1191" w:type="dxa"/>
          </w:tcPr>
          <w:p w14:paraId="64FA53F2" w14:textId="5B15D1D4" w:rsidR="009D5A44" w:rsidRPr="00541CEB" w:rsidRDefault="009D5A44" w:rsidP="00541CEB">
            <w:pPr>
              <w:tabs>
                <w:tab w:val="decimal" w:pos="607"/>
              </w:tabs>
              <w:rPr>
                <w:color w:val="000000"/>
              </w:rPr>
            </w:pPr>
            <w:r>
              <w:rPr>
                <w:color w:val="000000"/>
              </w:rPr>
              <w:t>0.001</w:t>
            </w:r>
          </w:p>
        </w:tc>
        <w:tc>
          <w:tcPr>
            <w:tcW w:w="1625" w:type="dxa"/>
          </w:tcPr>
          <w:p w14:paraId="72736139" w14:textId="20C92692" w:rsidR="009D5A44" w:rsidRPr="00541CEB" w:rsidRDefault="009D5A44" w:rsidP="00541CEB">
            <w:pPr>
              <w:jc w:val="center"/>
              <w:rPr>
                <w:color w:val="000000"/>
              </w:rPr>
            </w:pPr>
            <w:r>
              <w:rPr>
                <w:color w:val="000000"/>
              </w:rPr>
              <w:t>perpetual</w:t>
            </w:r>
          </w:p>
        </w:tc>
      </w:tr>
      <w:tr w:rsidR="009D5A44" w:rsidRPr="00541CEB" w14:paraId="09B36695" w14:textId="77777777" w:rsidTr="009D5A44">
        <w:tc>
          <w:tcPr>
            <w:tcW w:w="5850" w:type="dxa"/>
          </w:tcPr>
          <w:p w14:paraId="472332B1" w14:textId="0E83B4EA" w:rsidR="009D5A44" w:rsidRDefault="009D5A44" w:rsidP="00541CEB">
            <w:pPr>
              <w:rPr>
                <w:color w:val="000000"/>
              </w:rPr>
            </w:pPr>
            <w:r>
              <w:rPr>
                <w:color w:val="000000"/>
              </w:rPr>
              <w:t xml:space="preserve">May </w:t>
            </w:r>
            <w:r w:rsidR="000A6F1B">
              <w:rPr>
                <w:color w:val="000000"/>
              </w:rPr>
              <w:t xml:space="preserve">2022 </w:t>
            </w:r>
            <w:r>
              <w:rPr>
                <w:color w:val="000000"/>
              </w:rPr>
              <w:t>Preferred Investment Option</w:t>
            </w:r>
            <w:r w:rsidR="008A6593">
              <w:rPr>
                <w:color w:val="000000"/>
              </w:rPr>
              <w:t>s</w:t>
            </w:r>
          </w:p>
        </w:tc>
        <w:tc>
          <w:tcPr>
            <w:tcW w:w="1260" w:type="dxa"/>
          </w:tcPr>
          <w:p w14:paraId="2C5C8160" w14:textId="4C49BE85" w:rsidR="009D5A44" w:rsidRDefault="009D5A44" w:rsidP="00541CEB">
            <w:pPr>
              <w:tabs>
                <w:tab w:val="decimal" w:pos="877"/>
              </w:tabs>
              <w:rPr>
                <w:color w:val="000000"/>
              </w:rPr>
            </w:pPr>
            <w:r>
              <w:rPr>
                <w:color w:val="000000"/>
              </w:rPr>
              <w:t>9,090,910</w:t>
            </w:r>
          </w:p>
        </w:tc>
        <w:tc>
          <w:tcPr>
            <w:tcW w:w="1191" w:type="dxa"/>
          </w:tcPr>
          <w:p w14:paraId="73DC07E1" w14:textId="38BC34BE" w:rsidR="009D5A44" w:rsidRDefault="009D5A44" w:rsidP="00541CEB">
            <w:pPr>
              <w:tabs>
                <w:tab w:val="decimal" w:pos="607"/>
              </w:tabs>
              <w:rPr>
                <w:color w:val="000000"/>
              </w:rPr>
            </w:pPr>
            <w:r>
              <w:rPr>
                <w:color w:val="000000"/>
              </w:rPr>
              <w:t>1.65</w:t>
            </w:r>
          </w:p>
        </w:tc>
        <w:tc>
          <w:tcPr>
            <w:tcW w:w="1625" w:type="dxa"/>
          </w:tcPr>
          <w:p w14:paraId="5B2731EE" w14:textId="71E72E37" w:rsidR="009D5A44" w:rsidRDefault="009D5A44" w:rsidP="00541CEB">
            <w:pPr>
              <w:jc w:val="center"/>
              <w:rPr>
                <w:color w:val="000000"/>
              </w:rPr>
            </w:pPr>
            <w:r>
              <w:rPr>
                <w:color w:val="000000"/>
              </w:rPr>
              <w:t>May 202</w:t>
            </w:r>
            <w:r w:rsidR="00937753">
              <w:rPr>
                <w:color w:val="000000"/>
              </w:rPr>
              <w:t>8</w:t>
            </w:r>
          </w:p>
        </w:tc>
      </w:tr>
      <w:tr w:rsidR="009D5A44" w:rsidRPr="00541CEB" w14:paraId="4D54FC65" w14:textId="77777777" w:rsidTr="009D5A44">
        <w:tc>
          <w:tcPr>
            <w:tcW w:w="5850" w:type="dxa"/>
          </w:tcPr>
          <w:p w14:paraId="5954360F" w14:textId="7109690A" w:rsidR="009D5A44" w:rsidRPr="00541CEB" w:rsidRDefault="009D5A44" w:rsidP="00541CEB">
            <w:pPr>
              <w:rPr>
                <w:color w:val="000000"/>
              </w:rPr>
            </w:pPr>
            <w:r>
              <w:rPr>
                <w:color w:val="000000"/>
              </w:rPr>
              <w:t xml:space="preserve">May </w:t>
            </w:r>
            <w:r w:rsidR="000A6F1B">
              <w:rPr>
                <w:color w:val="000000"/>
              </w:rPr>
              <w:t xml:space="preserve">2022 </w:t>
            </w:r>
            <w:r>
              <w:rPr>
                <w:color w:val="000000"/>
              </w:rPr>
              <w:t>Preferred Investment Option</w:t>
            </w:r>
            <w:r w:rsidR="008A6593">
              <w:rPr>
                <w:color w:val="000000"/>
              </w:rPr>
              <w:t>s</w:t>
            </w:r>
          </w:p>
        </w:tc>
        <w:tc>
          <w:tcPr>
            <w:tcW w:w="1260" w:type="dxa"/>
            <w:tcBorders>
              <w:bottom w:val="single" w:sz="4" w:space="0" w:color="auto"/>
            </w:tcBorders>
          </w:tcPr>
          <w:p w14:paraId="0EAAB5F1" w14:textId="42921984" w:rsidR="009D5A44" w:rsidRPr="00541CEB" w:rsidRDefault="009D5A44" w:rsidP="00541CEB">
            <w:pPr>
              <w:tabs>
                <w:tab w:val="decimal" w:pos="877"/>
              </w:tabs>
              <w:rPr>
                <w:color w:val="000000"/>
              </w:rPr>
            </w:pPr>
            <w:r>
              <w:rPr>
                <w:color w:val="000000"/>
              </w:rPr>
              <w:t>3,030,304</w:t>
            </w:r>
          </w:p>
        </w:tc>
        <w:tc>
          <w:tcPr>
            <w:tcW w:w="1191" w:type="dxa"/>
          </w:tcPr>
          <w:p w14:paraId="4612A5E2" w14:textId="69F70BF1" w:rsidR="009D5A44" w:rsidRPr="00541CEB" w:rsidRDefault="009D5A44" w:rsidP="00541CEB">
            <w:pPr>
              <w:tabs>
                <w:tab w:val="decimal" w:pos="607"/>
              </w:tabs>
              <w:rPr>
                <w:color w:val="000000"/>
              </w:rPr>
            </w:pPr>
            <w:r>
              <w:rPr>
                <w:color w:val="000000"/>
              </w:rPr>
              <w:t>1.65</w:t>
            </w:r>
          </w:p>
        </w:tc>
        <w:tc>
          <w:tcPr>
            <w:tcW w:w="1625" w:type="dxa"/>
          </w:tcPr>
          <w:p w14:paraId="5472A5F1" w14:textId="0CEBF0DA" w:rsidR="009D5A44" w:rsidRPr="00541CEB" w:rsidRDefault="009D5A44" w:rsidP="00541CEB">
            <w:pPr>
              <w:jc w:val="center"/>
              <w:rPr>
                <w:color w:val="000000"/>
              </w:rPr>
            </w:pPr>
            <w:r>
              <w:rPr>
                <w:color w:val="000000"/>
              </w:rPr>
              <w:t>May 202</w:t>
            </w:r>
            <w:r w:rsidR="00BC6B92">
              <w:rPr>
                <w:color w:val="000000"/>
              </w:rPr>
              <w:t>7</w:t>
            </w:r>
          </w:p>
        </w:tc>
      </w:tr>
      <w:tr w:rsidR="00541CEB" w:rsidRPr="00541CEB" w14:paraId="52AEC0EC" w14:textId="77777777" w:rsidTr="00E721DB">
        <w:tc>
          <w:tcPr>
            <w:tcW w:w="5850" w:type="dxa"/>
          </w:tcPr>
          <w:p w14:paraId="1214E85C" w14:textId="71497004" w:rsidR="00541CEB" w:rsidRPr="00541CEB" w:rsidRDefault="00541CEB" w:rsidP="00541CEB">
            <w:pPr>
              <w:rPr>
                <w:color w:val="000000"/>
              </w:rPr>
            </w:pPr>
            <w:r w:rsidRPr="00541CEB">
              <w:rPr>
                <w:color w:val="000000"/>
              </w:rPr>
              <w:t xml:space="preserve">Total Warrants Outstanding </w:t>
            </w:r>
            <w:proofErr w:type="gramStart"/>
            <w:r w:rsidRPr="00541CEB">
              <w:rPr>
                <w:color w:val="000000"/>
              </w:rPr>
              <w:t>at</w:t>
            </w:r>
            <w:proofErr w:type="gramEnd"/>
            <w:r w:rsidRPr="00541CEB">
              <w:rPr>
                <w:color w:val="000000"/>
              </w:rPr>
              <w:t xml:space="preserve"> </w:t>
            </w:r>
            <w:r>
              <w:rPr>
                <w:color w:val="000000"/>
              </w:rPr>
              <w:t>June</w:t>
            </w:r>
            <w:r w:rsidRPr="00541CEB">
              <w:rPr>
                <w:color w:val="000000"/>
              </w:rPr>
              <w:t xml:space="preserve"> 3</w:t>
            </w:r>
            <w:r>
              <w:rPr>
                <w:color w:val="000000"/>
              </w:rPr>
              <w:t>0</w:t>
            </w:r>
            <w:r w:rsidRPr="00541CEB">
              <w:rPr>
                <w:color w:val="000000"/>
              </w:rPr>
              <w:t>, 202</w:t>
            </w:r>
            <w:r>
              <w:rPr>
                <w:color w:val="000000"/>
              </w:rPr>
              <w:t>2</w:t>
            </w:r>
          </w:p>
        </w:tc>
        <w:tc>
          <w:tcPr>
            <w:tcW w:w="1260" w:type="dxa"/>
            <w:tcBorders>
              <w:top w:val="single" w:sz="4" w:space="0" w:color="auto"/>
              <w:bottom w:val="double" w:sz="4" w:space="0" w:color="auto"/>
            </w:tcBorders>
          </w:tcPr>
          <w:p w14:paraId="4722DB60" w14:textId="2272D184" w:rsidR="00541CEB" w:rsidRPr="00541CEB" w:rsidRDefault="00817C2C" w:rsidP="00541CEB">
            <w:pPr>
              <w:tabs>
                <w:tab w:val="decimal" w:pos="877"/>
              </w:tabs>
              <w:rPr>
                <w:color w:val="000000"/>
              </w:rPr>
            </w:pPr>
            <w:r>
              <w:rPr>
                <w:color w:val="000000"/>
              </w:rPr>
              <w:t>23,405,329</w:t>
            </w:r>
          </w:p>
        </w:tc>
        <w:tc>
          <w:tcPr>
            <w:tcW w:w="1191" w:type="dxa"/>
          </w:tcPr>
          <w:p w14:paraId="1F46D66E" w14:textId="77777777" w:rsidR="00541CEB" w:rsidRPr="00541CEB" w:rsidRDefault="00541CEB" w:rsidP="00541CEB">
            <w:pPr>
              <w:tabs>
                <w:tab w:val="decimal" w:pos="793"/>
              </w:tabs>
              <w:rPr>
                <w:color w:val="000000"/>
              </w:rPr>
            </w:pPr>
          </w:p>
        </w:tc>
        <w:tc>
          <w:tcPr>
            <w:tcW w:w="1625" w:type="dxa"/>
          </w:tcPr>
          <w:p w14:paraId="7B9D0AA8" w14:textId="77777777" w:rsidR="00541CEB" w:rsidRPr="00541CEB" w:rsidRDefault="00541CEB" w:rsidP="00541CEB">
            <w:pPr>
              <w:rPr>
                <w:color w:val="000000"/>
              </w:rPr>
            </w:pPr>
          </w:p>
        </w:tc>
      </w:tr>
    </w:tbl>
    <w:p w14:paraId="3C546358" w14:textId="77777777" w:rsidR="00541CEB" w:rsidRDefault="00541CEB" w:rsidP="000A55AE">
      <w:pPr>
        <w:rPr>
          <w:color w:val="000000"/>
        </w:rPr>
      </w:pPr>
    </w:p>
    <w:p w14:paraId="78E20A9F" w14:textId="007D6317" w:rsidR="005B58B3" w:rsidRPr="00F53171" w:rsidRDefault="005918D5" w:rsidP="005B58B3">
      <w:pPr>
        <w:pStyle w:val="BodyTitle"/>
        <w:spacing w:after="0"/>
        <w:rPr>
          <w:rFonts w:eastAsia="Times New Roman"/>
          <w:b/>
          <w:bCs/>
          <w:iCs/>
          <w:color w:val="000000"/>
          <w:u w:val="none"/>
        </w:rPr>
      </w:pPr>
      <w:r>
        <w:rPr>
          <w:rFonts w:eastAsia="Times New Roman"/>
          <w:b/>
          <w:bCs/>
          <w:iCs/>
          <w:color w:val="000000"/>
          <w:u w:val="none"/>
        </w:rPr>
        <w:t>6</w:t>
      </w:r>
      <w:r w:rsidR="00F53171">
        <w:rPr>
          <w:rFonts w:eastAsia="Times New Roman"/>
          <w:b/>
          <w:bCs/>
          <w:iCs/>
          <w:color w:val="000000"/>
          <w:u w:val="none"/>
        </w:rPr>
        <w:t>.</w:t>
      </w:r>
      <w:r w:rsidR="00F53171">
        <w:rPr>
          <w:rFonts w:eastAsia="Times New Roman"/>
          <w:b/>
          <w:bCs/>
          <w:iCs/>
          <w:color w:val="000000"/>
          <w:u w:val="none"/>
        </w:rPr>
        <w:tab/>
      </w:r>
      <w:r w:rsidR="005B58B3" w:rsidRPr="00F53171">
        <w:rPr>
          <w:rFonts w:eastAsia="Times New Roman"/>
          <w:b/>
          <w:bCs/>
          <w:iCs/>
          <w:color w:val="000000"/>
          <w:u w:val="none"/>
        </w:rPr>
        <w:t>Stock-Based Compensation Expense</w:t>
      </w:r>
    </w:p>
    <w:p w14:paraId="12BE80FB" w14:textId="3BBB7EEE" w:rsidR="005B58B3" w:rsidRDefault="005B58B3" w:rsidP="005B58B3"/>
    <w:p w14:paraId="17ED6B5D" w14:textId="77777777" w:rsidR="00593DF1" w:rsidRDefault="00593DF1" w:rsidP="00593DF1">
      <w:pPr>
        <w:rPr>
          <w:color w:val="000000"/>
        </w:rPr>
      </w:pP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As of June 30, 2022, there is $1,039,762 of</w:t>
      </w:r>
      <w:r w:rsidRPr="00214555">
        <w:rPr>
          <w:color w:val="000000"/>
        </w:rPr>
        <w:t xml:space="preserve"> unrecognized compensation expense </w:t>
      </w:r>
      <w:r>
        <w:rPr>
          <w:color w:val="000000"/>
        </w:rPr>
        <w:t>that we expect to recognize over a weighted-average period of 1.9 years</w:t>
      </w:r>
      <w:r w:rsidRPr="00214555">
        <w:rPr>
          <w:color w:val="000000"/>
        </w:rPr>
        <w:t>.</w:t>
      </w:r>
    </w:p>
    <w:p w14:paraId="1E30577F" w14:textId="0A3C9E70" w:rsidR="00AC158C" w:rsidRDefault="00AC158C" w:rsidP="005B58B3"/>
    <w:p w14:paraId="5296E562" w14:textId="54893C19" w:rsidR="00593DF1" w:rsidRDefault="00593DF1" w:rsidP="005B58B3">
      <w:r>
        <w:t xml:space="preserve">We also have issued </w:t>
      </w:r>
      <w:r w:rsidRPr="003E6788">
        <w:t xml:space="preserve">shares of </w:t>
      </w:r>
      <w:r>
        <w:t>restricted</w:t>
      </w:r>
      <w:r w:rsidRPr="003E6788">
        <w:t xml:space="preserve"> common stock </w:t>
      </w:r>
      <w:r>
        <w:t>to consultant</w:t>
      </w:r>
      <w:r w:rsidR="0044760B">
        <w:t>s</w:t>
      </w:r>
      <w:r>
        <w:t xml:space="preserve"> and recogniz</w:t>
      </w:r>
      <w:r w:rsidR="0044760B">
        <w:t>e</w:t>
      </w:r>
      <w:r>
        <w:t xml:space="preserve"> the related expense over the term</w:t>
      </w:r>
      <w:r w:rsidR="00CC7A74">
        <w:t>s</w:t>
      </w:r>
      <w:r>
        <w:t xml:space="preserve"> of the related agreements.</w:t>
      </w:r>
      <w:r w:rsidRPr="00593DF1">
        <w:t xml:space="preserve"> </w:t>
      </w:r>
      <w:r w:rsidRPr="008C0ABC">
        <w:t xml:space="preserve">As of </w:t>
      </w:r>
      <w:r>
        <w:t>June</w:t>
      </w:r>
      <w:r w:rsidRPr="008C0ABC">
        <w:t xml:space="preserve"> 3</w:t>
      </w:r>
      <w:r>
        <w:t>0</w:t>
      </w:r>
      <w:r w:rsidRPr="008C0ABC">
        <w:t>, 202</w:t>
      </w:r>
      <w:r>
        <w:t>2</w:t>
      </w:r>
      <w:r w:rsidRPr="008C0ABC">
        <w:t>, there is $</w:t>
      </w:r>
      <w:r>
        <w:t xml:space="preserve">60,000 </w:t>
      </w:r>
      <w:r w:rsidRPr="008C0ABC">
        <w:t xml:space="preserve">recorded as a prepaid expense for </w:t>
      </w:r>
      <w:r>
        <w:t>these</w:t>
      </w:r>
      <w:r w:rsidRPr="008C0ABC">
        <w:t xml:space="preserve"> arrangements, which will be recognized as expense over the term of the related agreement</w:t>
      </w:r>
      <w:r>
        <w:t>.</w:t>
      </w:r>
    </w:p>
    <w:p w14:paraId="7990EBB6" w14:textId="5CE43B68" w:rsidR="00AC158C" w:rsidRDefault="00AC158C" w:rsidP="005B58B3"/>
    <w:p w14:paraId="3AC7DD59" w14:textId="083F3944" w:rsidR="00593DF1" w:rsidRDefault="00593DF1" w:rsidP="005B58B3">
      <w:r>
        <w:t>The following table summarizes our total stock-based compensation expense:</w:t>
      </w:r>
    </w:p>
    <w:p w14:paraId="7C8493C8" w14:textId="77777777" w:rsidR="00593DF1" w:rsidRDefault="00593DF1" w:rsidP="005B58B3"/>
    <w:tbl>
      <w:tblPr>
        <w:tblStyle w:val="TableGrid1"/>
        <w:tblW w:w="9360" w:type="dxa"/>
        <w:tblLayout w:type="fixed"/>
        <w:tblLook w:val="04A0" w:firstRow="1" w:lastRow="0" w:firstColumn="1" w:lastColumn="0" w:noHBand="0" w:noVBand="1"/>
      </w:tblPr>
      <w:tblGrid>
        <w:gridCol w:w="3870"/>
        <w:gridCol w:w="1372"/>
        <w:gridCol w:w="1373"/>
        <w:gridCol w:w="1372"/>
        <w:gridCol w:w="1373"/>
      </w:tblGrid>
      <w:tr w:rsidR="007F1DD9" w:rsidRPr="00BF1181" w14:paraId="62987A07" w14:textId="77777777" w:rsidTr="00AC321D">
        <w:tc>
          <w:tcPr>
            <w:tcW w:w="3870" w:type="dxa"/>
            <w:tcBorders>
              <w:top w:val="nil"/>
              <w:left w:val="nil"/>
              <w:bottom w:val="nil"/>
              <w:right w:val="nil"/>
            </w:tcBorders>
          </w:tcPr>
          <w:p w14:paraId="0871AB7A" w14:textId="77777777" w:rsidR="007F1DD9" w:rsidRPr="00BF1181" w:rsidRDefault="007F1DD9" w:rsidP="00AC321D"/>
        </w:tc>
        <w:tc>
          <w:tcPr>
            <w:tcW w:w="2745" w:type="dxa"/>
            <w:gridSpan w:val="2"/>
            <w:tcBorders>
              <w:top w:val="nil"/>
              <w:left w:val="nil"/>
              <w:bottom w:val="single" w:sz="4" w:space="0" w:color="auto"/>
              <w:right w:val="nil"/>
            </w:tcBorders>
          </w:tcPr>
          <w:p w14:paraId="0BCC1A20" w14:textId="77777777" w:rsidR="007F1DD9" w:rsidRPr="00BF1181" w:rsidRDefault="007F1DD9" w:rsidP="00AC321D">
            <w:pPr>
              <w:tabs>
                <w:tab w:val="right" w:pos="926"/>
                <w:tab w:val="right" w:pos="989"/>
              </w:tabs>
              <w:jc w:val="center"/>
            </w:pPr>
            <w:r>
              <w:t>Three Months Ended June 30,</w:t>
            </w:r>
          </w:p>
        </w:tc>
        <w:tc>
          <w:tcPr>
            <w:tcW w:w="2745" w:type="dxa"/>
            <w:gridSpan w:val="2"/>
            <w:tcBorders>
              <w:top w:val="nil"/>
              <w:left w:val="nil"/>
              <w:bottom w:val="single" w:sz="4" w:space="0" w:color="auto"/>
              <w:right w:val="nil"/>
            </w:tcBorders>
          </w:tcPr>
          <w:p w14:paraId="3012F6F2" w14:textId="77777777" w:rsidR="007F1DD9" w:rsidRPr="00BF1181" w:rsidRDefault="007F1DD9" w:rsidP="00AC321D">
            <w:pPr>
              <w:tabs>
                <w:tab w:val="right" w:pos="989"/>
              </w:tabs>
              <w:jc w:val="center"/>
            </w:pPr>
            <w:r>
              <w:t>Six Months Ended June 30,</w:t>
            </w:r>
          </w:p>
        </w:tc>
      </w:tr>
      <w:tr w:rsidR="007F1DD9" w:rsidRPr="00BF1181" w14:paraId="39ABAA8B" w14:textId="77777777" w:rsidTr="00AC321D">
        <w:tc>
          <w:tcPr>
            <w:tcW w:w="3870" w:type="dxa"/>
            <w:tcBorders>
              <w:top w:val="nil"/>
              <w:left w:val="nil"/>
              <w:bottom w:val="nil"/>
              <w:right w:val="nil"/>
            </w:tcBorders>
          </w:tcPr>
          <w:p w14:paraId="0E8E4FC3" w14:textId="77777777" w:rsidR="007F1DD9" w:rsidRPr="00BF1181" w:rsidRDefault="007F1DD9" w:rsidP="00AC321D"/>
        </w:tc>
        <w:tc>
          <w:tcPr>
            <w:tcW w:w="1372" w:type="dxa"/>
            <w:tcBorders>
              <w:top w:val="single" w:sz="4" w:space="0" w:color="auto"/>
              <w:left w:val="nil"/>
              <w:bottom w:val="single" w:sz="4" w:space="0" w:color="auto"/>
              <w:right w:val="nil"/>
            </w:tcBorders>
          </w:tcPr>
          <w:p w14:paraId="0496B0ED" w14:textId="77777777" w:rsidR="007F1DD9" w:rsidRPr="00BF1181" w:rsidRDefault="007F1DD9" w:rsidP="00AC321D">
            <w:pPr>
              <w:tabs>
                <w:tab w:val="right" w:pos="969"/>
              </w:tabs>
              <w:jc w:val="center"/>
            </w:pPr>
            <w:r w:rsidRPr="00BF1181">
              <w:t>202</w:t>
            </w:r>
            <w:r>
              <w:t>2</w:t>
            </w:r>
          </w:p>
        </w:tc>
        <w:tc>
          <w:tcPr>
            <w:tcW w:w="1373" w:type="dxa"/>
            <w:tcBorders>
              <w:top w:val="single" w:sz="4" w:space="0" w:color="auto"/>
              <w:left w:val="nil"/>
              <w:bottom w:val="single" w:sz="4" w:space="0" w:color="auto"/>
              <w:right w:val="nil"/>
            </w:tcBorders>
          </w:tcPr>
          <w:p w14:paraId="240E39B5" w14:textId="77777777" w:rsidR="007F1DD9" w:rsidRPr="00BF1181" w:rsidRDefault="007F1DD9" w:rsidP="00AC321D">
            <w:pPr>
              <w:tabs>
                <w:tab w:val="right" w:pos="926"/>
                <w:tab w:val="right" w:pos="989"/>
              </w:tabs>
              <w:jc w:val="center"/>
            </w:pPr>
            <w:r w:rsidRPr="00BF1181">
              <w:t>202</w:t>
            </w:r>
            <w:r>
              <w:t>1</w:t>
            </w:r>
          </w:p>
        </w:tc>
        <w:tc>
          <w:tcPr>
            <w:tcW w:w="1372" w:type="dxa"/>
            <w:tcBorders>
              <w:top w:val="single" w:sz="4" w:space="0" w:color="auto"/>
              <w:left w:val="nil"/>
              <w:bottom w:val="single" w:sz="4" w:space="0" w:color="auto"/>
              <w:right w:val="nil"/>
            </w:tcBorders>
          </w:tcPr>
          <w:p w14:paraId="50C8A4C7" w14:textId="77777777" w:rsidR="007F1DD9" w:rsidRPr="00BF1181" w:rsidRDefault="007F1DD9" w:rsidP="00AC321D">
            <w:pPr>
              <w:tabs>
                <w:tab w:val="right" w:pos="989"/>
              </w:tabs>
              <w:jc w:val="center"/>
            </w:pPr>
            <w:r w:rsidRPr="00BF1181">
              <w:t>202</w:t>
            </w:r>
            <w:r>
              <w:t>2</w:t>
            </w:r>
          </w:p>
        </w:tc>
        <w:tc>
          <w:tcPr>
            <w:tcW w:w="1373" w:type="dxa"/>
            <w:tcBorders>
              <w:top w:val="single" w:sz="4" w:space="0" w:color="auto"/>
              <w:left w:val="nil"/>
              <w:bottom w:val="single" w:sz="4" w:space="0" w:color="auto"/>
              <w:right w:val="nil"/>
            </w:tcBorders>
          </w:tcPr>
          <w:p w14:paraId="3C663FD5" w14:textId="77777777" w:rsidR="007F1DD9" w:rsidRPr="00BF1181" w:rsidRDefault="007F1DD9" w:rsidP="00AC321D">
            <w:pPr>
              <w:tabs>
                <w:tab w:val="right" w:pos="989"/>
              </w:tabs>
              <w:jc w:val="center"/>
            </w:pPr>
            <w:r w:rsidRPr="00BF1181">
              <w:t>202</w:t>
            </w:r>
            <w:r>
              <w:t>1</w:t>
            </w:r>
          </w:p>
        </w:tc>
      </w:tr>
      <w:tr w:rsidR="00AB6F9C" w:rsidRPr="00BF1181" w14:paraId="79586E16" w14:textId="77777777" w:rsidTr="00AB6F9C">
        <w:tc>
          <w:tcPr>
            <w:tcW w:w="3870" w:type="dxa"/>
            <w:tcBorders>
              <w:top w:val="nil"/>
              <w:left w:val="nil"/>
              <w:bottom w:val="nil"/>
              <w:right w:val="nil"/>
            </w:tcBorders>
          </w:tcPr>
          <w:p w14:paraId="077558A5" w14:textId="1EBB040D" w:rsidR="00AB6F9C" w:rsidRPr="00BF1181" w:rsidRDefault="00AB6F9C" w:rsidP="00AC321D">
            <w:r>
              <w:t>Stock options:</w:t>
            </w:r>
          </w:p>
        </w:tc>
        <w:tc>
          <w:tcPr>
            <w:tcW w:w="1372" w:type="dxa"/>
            <w:tcBorders>
              <w:top w:val="single" w:sz="4" w:space="0" w:color="auto"/>
              <w:left w:val="nil"/>
              <w:bottom w:val="nil"/>
              <w:right w:val="nil"/>
            </w:tcBorders>
          </w:tcPr>
          <w:p w14:paraId="3BD677B3" w14:textId="77777777" w:rsidR="00AB6F9C" w:rsidRPr="00BF1181" w:rsidRDefault="00AB6F9C" w:rsidP="00AC321D">
            <w:pPr>
              <w:tabs>
                <w:tab w:val="right" w:pos="969"/>
              </w:tabs>
              <w:jc w:val="center"/>
            </w:pPr>
          </w:p>
        </w:tc>
        <w:tc>
          <w:tcPr>
            <w:tcW w:w="1373" w:type="dxa"/>
            <w:tcBorders>
              <w:top w:val="single" w:sz="4" w:space="0" w:color="auto"/>
              <w:left w:val="nil"/>
              <w:bottom w:val="nil"/>
              <w:right w:val="nil"/>
            </w:tcBorders>
          </w:tcPr>
          <w:p w14:paraId="2DBAEBFD" w14:textId="77777777" w:rsidR="00AB6F9C" w:rsidRPr="00BF1181" w:rsidRDefault="00AB6F9C" w:rsidP="00AC321D">
            <w:pPr>
              <w:tabs>
                <w:tab w:val="right" w:pos="926"/>
                <w:tab w:val="right" w:pos="989"/>
              </w:tabs>
              <w:jc w:val="center"/>
            </w:pPr>
          </w:p>
        </w:tc>
        <w:tc>
          <w:tcPr>
            <w:tcW w:w="1372" w:type="dxa"/>
            <w:tcBorders>
              <w:top w:val="single" w:sz="4" w:space="0" w:color="auto"/>
              <w:left w:val="nil"/>
              <w:bottom w:val="nil"/>
              <w:right w:val="nil"/>
            </w:tcBorders>
          </w:tcPr>
          <w:p w14:paraId="76FC1A34" w14:textId="77777777" w:rsidR="00AB6F9C" w:rsidRPr="00BF1181" w:rsidRDefault="00AB6F9C" w:rsidP="00AC321D">
            <w:pPr>
              <w:tabs>
                <w:tab w:val="right" w:pos="989"/>
              </w:tabs>
              <w:jc w:val="center"/>
            </w:pPr>
          </w:p>
        </w:tc>
        <w:tc>
          <w:tcPr>
            <w:tcW w:w="1373" w:type="dxa"/>
            <w:tcBorders>
              <w:top w:val="single" w:sz="4" w:space="0" w:color="auto"/>
              <w:left w:val="nil"/>
              <w:bottom w:val="nil"/>
              <w:right w:val="nil"/>
            </w:tcBorders>
          </w:tcPr>
          <w:p w14:paraId="4086402A" w14:textId="77777777" w:rsidR="00AB6F9C" w:rsidRPr="00BF1181" w:rsidRDefault="00AB6F9C" w:rsidP="00AC321D">
            <w:pPr>
              <w:tabs>
                <w:tab w:val="right" w:pos="989"/>
              </w:tabs>
              <w:jc w:val="center"/>
            </w:pPr>
          </w:p>
        </w:tc>
      </w:tr>
      <w:tr w:rsidR="007F1DD9" w:rsidRPr="00BF1181" w14:paraId="32DF3A94" w14:textId="77777777" w:rsidTr="00AB6F9C">
        <w:tc>
          <w:tcPr>
            <w:tcW w:w="3870" w:type="dxa"/>
            <w:tcBorders>
              <w:top w:val="nil"/>
              <w:left w:val="nil"/>
              <w:bottom w:val="nil"/>
              <w:right w:val="nil"/>
            </w:tcBorders>
          </w:tcPr>
          <w:p w14:paraId="09BA5A03" w14:textId="75CC11FE" w:rsidR="007F1DD9" w:rsidRPr="00BF1181" w:rsidRDefault="00AB6F9C" w:rsidP="00AC321D">
            <w:r>
              <w:t xml:space="preserve">   </w:t>
            </w:r>
            <w:r w:rsidR="007F1DD9">
              <w:t>Research and development</w:t>
            </w:r>
          </w:p>
        </w:tc>
        <w:tc>
          <w:tcPr>
            <w:tcW w:w="1372" w:type="dxa"/>
            <w:tcBorders>
              <w:top w:val="nil"/>
              <w:left w:val="nil"/>
              <w:bottom w:val="nil"/>
              <w:right w:val="nil"/>
            </w:tcBorders>
          </w:tcPr>
          <w:p w14:paraId="4D1BCB74" w14:textId="15C887DE" w:rsidR="007F1DD9" w:rsidRPr="00BF1181" w:rsidRDefault="007F1DD9" w:rsidP="00AC321D">
            <w:pPr>
              <w:tabs>
                <w:tab w:val="right" w:pos="969"/>
              </w:tabs>
            </w:pPr>
            <w:r w:rsidRPr="00BF1181">
              <w:t>$</w:t>
            </w:r>
            <w:r w:rsidRPr="00BF1181">
              <w:tab/>
            </w:r>
            <w:r w:rsidR="00AC158C">
              <w:t>54,293</w:t>
            </w:r>
          </w:p>
        </w:tc>
        <w:tc>
          <w:tcPr>
            <w:tcW w:w="1373" w:type="dxa"/>
            <w:tcBorders>
              <w:top w:val="nil"/>
              <w:left w:val="nil"/>
              <w:bottom w:val="nil"/>
              <w:right w:val="nil"/>
            </w:tcBorders>
          </w:tcPr>
          <w:p w14:paraId="3E58FAFB" w14:textId="448C985A" w:rsidR="007F1DD9" w:rsidRPr="00BF1181" w:rsidRDefault="007F1DD9" w:rsidP="00AC321D">
            <w:pPr>
              <w:tabs>
                <w:tab w:val="right" w:pos="926"/>
                <w:tab w:val="right" w:pos="989"/>
              </w:tabs>
            </w:pPr>
            <w:r w:rsidRPr="00BF1181">
              <w:t>$</w:t>
            </w:r>
            <w:r w:rsidRPr="00BF1181">
              <w:tab/>
            </w:r>
            <w:r w:rsidR="00AC158C">
              <w:t>21,468</w:t>
            </w:r>
          </w:p>
        </w:tc>
        <w:tc>
          <w:tcPr>
            <w:tcW w:w="1372" w:type="dxa"/>
            <w:tcBorders>
              <w:top w:val="nil"/>
              <w:left w:val="nil"/>
              <w:bottom w:val="nil"/>
              <w:right w:val="nil"/>
            </w:tcBorders>
          </w:tcPr>
          <w:p w14:paraId="76A140DA" w14:textId="5A7881BC" w:rsidR="007F1DD9" w:rsidRPr="00BF1181" w:rsidRDefault="007F1DD9" w:rsidP="00AC321D">
            <w:pPr>
              <w:tabs>
                <w:tab w:val="right" w:pos="989"/>
              </w:tabs>
            </w:pPr>
            <w:r w:rsidRPr="00BF1181">
              <w:t>$</w:t>
            </w:r>
            <w:r w:rsidRPr="00BF1181">
              <w:tab/>
            </w:r>
            <w:r w:rsidR="00AC158C">
              <w:t>108,585</w:t>
            </w:r>
          </w:p>
        </w:tc>
        <w:tc>
          <w:tcPr>
            <w:tcW w:w="1373" w:type="dxa"/>
            <w:tcBorders>
              <w:top w:val="nil"/>
              <w:left w:val="nil"/>
              <w:bottom w:val="nil"/>
              <w:right w:val="nil"/>
            </w:tcBorders>
          </w:tcPr>
          <w:p w14:paraId="2341EAF3" w14:textId="752F0A46" w:rsidR="007F1DD9" w:rsidRPr="00BF1181" w:rsidRDefault="007F1DD9" w:rsidP="00AC321D">
            <w:pPr>
              <w:tabs>
                <w:tab w:val="right" w:pos="989"/>
              </w:tabs>
            </w:pPr>
            <w:r w:rsidRPr="00BF1181">
              <w:t>$</w:t>
            </w:r>
            <w:r w:rsidRPr="00BF1181">
              <w:tab/>
            </w:r>
            <w:r w:rsidR="00AC158C">
              <w:t>42,936</w:t>
            </w:r>
          </w:p>
        </w:tc>
      </w:tr>
      <w:tr w:rsidR="007F1DD9" w:rsidRPr="00BF1181" w14:paraId="57B68942" w14:textId="77777777" w:rsidTr="00AB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38D7127D" w14:textId="4C3EA541" w:rsidR="007F1DD9" w:rsidRPr="00BF1181" w:rsidRDefault="00AB6F9C" w:rsidP="00AC321D">
            <w:bookmarkStart w:id="20" w:name="_Hlk108622505"/>
            <w:r>
              <w:t xml:space="preserve">   </w:t>
            </w:r>
            <w:r w:rsidR="007F1DD9">
              <w:t>General and administrative</w:t>
            </w:r>
          </w:p>
        </w:tc>
        <w:tc>
          <w:tcPr>
            <w:tcW w:w="1372" w:type="dxa"/>
            <w:tcBorders>
              <w:bottom w:val="single" w:sz="4" w:space="0" w:color="auto"/>
            </w:tcBorders>
          </w:tcPr>
          <w:p w14:paraId="2DED0D45" w14:textId="528396B0" w:rsidR="007F1DD9" w:rsidRPr="00BF1181" w:rsidRDefault="007F1DD9" w:rsidP="00AC321D">
            <w:pPr>
              <w:tabs>
                <w:tab w:val="right" w:pos="969"/>
              </w:tabs>
            </w:pPr>
            <w:r w:rsidRPr="00BF1181">
              <w:tab/>
            </w:r>
            <w:r w:rsidR="00AC158C">
              <w:t>135,89</w:t>
            </w:r>
            <w:r w:rsidR="00BC6B92">
              <w:t>8</w:t>
            </w:r>
          </w:p>
        </w:tc>
        <w:tc>
          <w:tcPr>
            <w:tcW w:w="1373" w:type="dxa"/>
            <w:tcBorders>
              <w:bottom w:val="single" w:sz="4" w:space="0" w:color="auto"/>
            </w:tcBorders>
          </w:tcPr>
          <w:p w14:paraId="7A22CAF5" w14:textId="5FBDDE99" w:rsidR="007F1DD9" w:rsidRPr="00BF1181" w:rsidRDefault="007F1DD9" w:rsidP="00AC321D">
            <w:pPr>
              <w:tabs>
                <w:tab w:val="right" w:pos="926"/>
                <w:tab w:val="right" w:pos="989"/>
              </w:tabs>
            </w:pPr>
            <w:r w:rsidRPr="00BF1181">
              <w:tab/>
            </w:r>
            <w:r w:rsidR="00AC158C">
              <w:t>34,722</w:t>
            </w:r>
          </w:p>
        </w:tc>
        <w:tc>
          <w:tcPr>
            <w:tcW w:w="1372" w:type="dxa"/>
            <w:tcBorders>
              <w:bottom w:val="single" w:sz="4" w:space="0" w:color="auto"/>
            </w:tcBorders>
          </w:tcPr>
          <w:p w14:paraId="23D1105E" w14:textId="1C87ACFC" w:rsidR="007F1DD9" w:rsidRPr="00BF1181" w:rsidRDefault="007F1DD9" w:rsidP="00AC321D">
            <w:pPr>
              <w:tabs>
                <w:tab w:val="right" w:pos="989"/>
              </w:tabs>
            </w:pPr>
            <w:r w:rsidRPr="00BF1181">
              <w:tab/>
            </w:r>
            <w:r w:rsidR="00AC158C">
              <w:t>271,797</w:t>
            </w:r>
          </w:p>
        </w:tc>
        <w:tc>
          <w:tcPr>
            <w:tcW w:w="1373" w:type="dxa"/>
            <w:tcBorders>
              <w:bottom w:val="single" w:sz="4" w:space="0" w:color="auto"/>
            </w:tcBorders>
          </w:tcPr>
          <w:p w14:paraId="266DA743" w14:textId="51F8AA2E" w:rsidR="007F1DD9" w:rsidRPr="00BF1181" w:rsidRDefault="007F1DD9" w:rsidP="00AC321D">
            <w:pPr>
              <w:tabs>
                <w:tab w:val="right" w:pos="989"/>
              </w:tabs>
            </w:pPr>
            <w:r w:rsidRPr="00BF1181">
              <w:tab/>
            </w:r>
            <w:r w:rsidR="00AC158C">
              <w:t>69,444</w:t>
            </w:r>
          </w:p>
        </w:tc>
      </w:tr>
      <w:tr w:rsidR="007F1DD9" w:rsidRPr="00BF1181" w14:paraId="207B179D" w14:textId="77777777" w:rsidTr="0044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10BC939A" w14:textId="589CC58C" w:rsidR="007F1DD9" w:rsidRPr="00BF1181" w:rsidRDefault="00AB6F9C" w:rsidP="00AC321D">
            <w:bookmarkStart w:id="21" w:name="_Hlk108622530"/>
            <w:bookmarkEnd w:id="20"/>
            <w:r>
              <w:t xml:space="preserve">   </w:t>
            </w:r>
            <w:r w:rsidR="007F1DD9" w:rsidRPr="00BF1181">
              <w:t>Total</w:t>
            </w:r>
            <w:r w:rsidR="0044760B">
              <w:t xml:space="preserve"> stock option expense</w:t>
            </w:r>
          </w:p>
        </w:tc>
        <w:tc>
          <w:tcPr>
            <w:tcW w:w="1372" w:type="dxa"/>
            <w:tcBorders>
              <w:top w:val="single" w:sz="4" w:space="0" w:color="auto"/>
            </w:tcBorders>
          </w:tcPr>
          <w:p w14:paraId="2D7740A1" w14:textId="7F71D33A" w:rsidR="007F1DD9" w:rsidRPr="00BF1181" w:rsidRDefault="007F1DD9" w:rsidP="00AC321D">
            <w:pPr>
              <w:tabs>
                <w:tab w:val="right" w:pos="969"/>
              </w:tabs>
            </w:pPr>
            <w:r w:rsidRPr="00BF1181">
              <w:tab/>
            </w:r>
            <w:r w:rsidR="00AC158C">
              <w:t>190,191</w:t>
            </w:r>
          </w:p>
        </w:tc>
        <w:tc>
          <w:tcPr>
            <w:tcW w:w="1373" w:type="dxa"/>
            <w:tcBorders>
              <w:top w:val="single" w:sz="4" w:space="0" w:color="auto"/>
            </w:tcBorders>
          </w:tcPr>
          <w:p w14:paraId="52F7377B" w14:textId="4CC15427" w:rsidR="007F1DD9" w:rsidRPr="00BF1181" w:rsidRDefault="007F1DD9" w:rsidP="00AC321D">
            <w:pPr>
              <w:tabs>
                <w:tab w:val="right" w:pos="926"/>
                <w:tab w:val="right" w:pos="989"/>
              </w:tabs>
            </w:pPr>
            <w:r w:rsidRPr="00BF1181">
              <w:tab/>
            </w:r>
            <w:r w:rsidR="00AC158C">
              <w:t>56,190</w:t>
            </w:r>
          </w:p>
        </w:tc>
        <w:tc>
          <w:tcPr>
            <w:tcW w:w="1372" w:type="dxa"/>
            <w:tcBorders>
              <w:top w:val="single" w:sz="4" w:space="0" w:color="auto"/>
            </w:tcBorders>
          </w:tcPr>
          <w:p w14:paraId="71183F19" w14:textId="2FC62E37" w:rsidR="007F1DD9" w:rsidRPr="00BF1181" w:rsidRDefault="007F1DD9" w:rsidP="00AC321D">
            <w:pPr>
              <w:tabs>
                <w:tab w:val="right" w:pos="989"/>
              </w:tabs>
            </w:pPr>
            <w:r w:rsidRPr="00BF1181">
              <w:tab/>
            </w:r>
            <w:r w:rsidR="00AC158C">
              <w:t>380,382</w:t>
            </w:r>
          </w:p>
        </w:tc>
        <w:tc>
          <w:tcPr>
            <w:tcW w:w="1373" w:type="dxa"/>
            <w:tcBorders>
              <w:top w:val="single" w:sz="4" w:space="0" w:color="auto"/>
            </w:tcBorders>
          </w:tcPr>
          <w:p w14:paraId="4A39A4FB" w14:textId="60E7C9D9" w:rsidR="007F1DD9" w:rsidRPr="00BF1181" w:rsidRDefault="007F1DD9" w:rsidP="00AC321D">
            <w:pPr>
              <w:tabs>
                <w:tab w:val="right" w:pos="989"/>
              </w:tabs>
            </w:pPr>
            <w:r w:rsidRPr="00BF1181">
              <w:tab/>
            </w:r>
            <w:r w:rsidR="00AC158C">
              <w:t>112,380</w:t>
            </w:r>
          </w:p>
        </w:tc>
      </w:tr>
      <w:tr w:rsidR="00AB6F9C" w:rsidRPr="00BF1181" w14:paraId="0EADC404" w14:textId="77777777" w:rsidTr="0044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06616C13" w14:textId="47AAD31D" w:rsidR="00AB6F9C" w:rsidRPr="00BF1181" w:rsidRDefault="00AB6F9C" w:rsidP="00AC321D">
            <w:r>
              <w:t>Stock award</w:t>
            </w:r>
            <w:r w:rsidR="0044760B">
              <w:t>s</w:t>
            </w:r>
            <w:r w:rsidR="00AE2EB4">
              <w:t xml:space="preserve"> (consultant</w:t>
            </w:r>
            <w:r w:rsidR="0044760B">
              <w:t>s</w:t>
            </w:r>
            <w:r w:rsidR="00AE2EB4">
              <w:t>)</w:t>
            </w:r>
            <w:r>
              <w:t>:</w:t>
            </w:r>
          </w:p>
        </w:tc>
        <w:tc>
          <w:tcPr>
            <w:tcW w:w="1372" w:type="dxa"/>
          </w:tcPr>
          <w:p w14:paraId="627BC3BB" w14:textId="77777777" w:rsidR="00AB6F9C" w:rsidRPr="00BF1181" w:rsidRDefault="00AB6F9C" w:rsidP="00AC321D">
            <w:pPr>
              <w:tabs>
                <w:tab w:val="right" w:pos="969"/>
              </w:tabs>
            </w:pPr>
          </w:p>
        </w:tc>
        <w:tc>
          <w:tcPr>
            <w:tcW w:w="1373" w:type="dxa"/>
          </w:tcPr>
          <w:p w14:paraId="4110CAEE" w14:textId="77777777" w:rsidR="00AB6F9C" w:rsidRPr="00BF1181" w:rsidRDefault="00AB6F9C" w:rsidP="00AC321D">
            <w:pPr>
              <w:tabs>
                <w:tab w:val="right" w:pos="926"/>
                <w:tab w:val="right" w:pos="989"/>
              </w:tabs>
            </w:pPr>
          </w:p>
        </w:tc>
        <w:tc>
          <w:tcPr>
            <w:tcW w:w="1372" w:type="dxa"/>
          </w:tcPr>
          <w:p w14:paraId="3C45D8D0" w14:textId="77777777" w:rsidR="00AB6F9C" w:rsidRPr="00BF1181" w:rsidRDefault="00AB6F9C" w:rsidP="00AC321D">
            <w:pPr>
              <w:tabs>
                <w:tab w:val="right" w:pos="989"/>
              </w:tabs>
            </w:pPr>
          </w:p>
        </w:tc>
        <w:tc>
          <w:tcPr>
            <w:tcW w:w="1373" w:type="dxa"/>
          </w:tcPr>
          <w:p w14:paraId="5E9B80EC" w14:textId="77777777" w:rsidR="00AB6F9C" w:rsidRPr="00BF1181" w:rsidRDefault="00AB6F9C" w:rsidP="00AC321D">
            <w:pPr>
              <w:tabs>
                <w:tab w:val="right" w:pos="989"/>
              </w:tabs>
            </w:pPr>
          </w:p>
        </w:tc>
      </w:tr>
      <w:bookmarkEnd w:id="21"/>
      <w:tr w:rsidR="00B41D77" w:rsidRPr="00BF1181" w14:paraId="3FC6AFFA" w14:textId="77777777" w:rsidTr="00AB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424C9EB2" w14:textId="17D948ED" w:rsidR="00B41D77" w:rsidRPr="00BF1181" w:rsidRDefault="00AB6F9C" w:rsidP="00AC321D">
            <w:r>
              <w:t xml:space="preserve">   </w:t>
            </w:r>
            <w:r w:rsidR="00B41D77">
              <w:t>General and administrative</w:t>
            </w:r>
          </w:p>
        </w:tc>
        <w:tc>
          <w:tcPr>
            <w:tcW w:w="1372" w:type="dxa"/>
            <w:tcBorders>
              <w:bottom w:val="single" w:sz="4" w:space="0" w:color="auto"/>
            </w:tcBorders>
          </w:tcPr>
          <w:p w14:paraId="1070E085" w14:textId="3E1CB174" w:rsidR="00B41D77" w:rsidRPr="00BF1181" w:rsidRDefault="00B41D77" w:rsidP="00AC321D">
            <w:pPr>
              <w:tabs>
                <w:tab w:val="right" w:pos="969"/>
              </w:tabs>
            </w:pPr>
            <w:r w:rsidRPr="00BF1181">
              <w:tab/>
            </w:r>
            <w:r w:rsidR="00AE2EB4">
              <w:t>16,987</w:t>
            </w:r>
          </w:p>
        </w:tc>
        <w:tc>
          <w:tcPr>
            <w:tcW w:w="1373" w:type="dxa"/>
            <w:tcBorders>
              <w:bottom w:val="single" w:sz="4" w:space="0" w:color="auto"/>
            </w:tcBorders>
          </w:tcPr>
          <w:p w14:paraId="5561F73A" w14:textId="1CFEF105" w:rsidR="00B41D77" w:rsidRPr="00BF1181" w:rsidRDefault="00B41D77" w:rsidP="00AC321D">
            <w:pPr>
              <w:tabs>
                <w:tab w:val="right" w:pos="926"/>
                <w:tab w:val="right" w:pos="989"/>
              </w:tabs>
            </w:pPr>
            <w:r w:rsidRPr="00BF1181">
              <w:tab/>
            </w:r>
            <w:r w:rsidR="00AB6F9C">
              <w:t>30,573</w:t>
            </w:r>
          </w:p>
        </w:tc>
        <w:tc>
          <w:tcPr>
            <w:tcW w:w="1372" w:type="dxa"/>
            <w:tcBorders>
              <w:bottom w:val="single" w:sz="4" w:space="0" w:color="auto"/>
            </w:tcBorders>
          </w:tcPr>
          <w:p w14:paraId="2A564CA8" w14:textId="0FBC894B" w:rsidR="00B41D77" w:rsidRPr="00BF1181" w:rsidRDefault="00B41D77" w:rsidP="00AC321D">
            <w:pPr>
              <w:tabs>
                <w:tab w:val="right" w:pos="989"/>
              </w:tabs>
            </w:pPr>
            <w:r w:rsidRPr="00BF1181">
              <w:tab/>
            </w:r>
            <w:r>
              <w:t>31,947</w:t>
            </w:r>
          </w:p>
        </w:tc>
        <w:tc>
          <w:tcPr>
            <w:tcW w:w="1373" w:type="dxa"/>
            <w:tcBorders>
              <w:bottom w:val="single" w:sz="4" w:space="0" w:color="auto"/>
            </w:tcBorders>
          </w:tcPr>
          <w:p w14:paraId="4BC781AD" w14:textId="67F53F7A" w:rsidR="00B41D77" w:rsidRPr="00BF1181" w:rsidRDefault="00B41D77" w:rsidP="00AC321D">
            <w:pPr>
              <w:tabs>
                <w:tab w:val="right" w:pos="989"/>
              </w:tabs>
            </w:pPr>
            <w:r w:rsidRPr="00BF1181">
              <w:tab/>
            </w:r>
            <w:r>
              <w:t>51,173</w:t>
            </w:r>
          </w:p>
        </w:tc>
      </w:tr>
      <w:tr w:rsidR="00B41D77" w:rsidRPr="00BF1181" w14:paraId="33DA19AA" w14:textId="77777777" w:rsidTr="00AC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18BF98DB" w14:textId="4C8F86F4" w:rsidR="00B41D77" w:rsidRPr="00BF1181" w:rsidRDefault="00B41D77" w:rsidP="00AC321D">
            <w:r w:rsidRPr="00BF1181">
              <w:t>Total</w:t>
            </w:r>
            <w:r w:rsidR="00AB6F9C">
              <w:t xml:space="preserve"> stock-based compensation expense</w:t>
            </w:r>
          </w:p>
        </w:tc>
        <w:tc>
          <w:tcPr>
            <w:tcW w:w="1372" w:type="dxa"/>
            <w:tcBorders>
              <w:top w:val="single" w:sz="4" w:space="0" w:color="auto"/>
              <w:bottom w:val="double" w:sz="4" w:space="0" w:color="auto"/>
            </w:tcBorders>
          </w:tcPr>
          <w:p w14:paraId="0957C1D5" w14:textId="773F0AE5" w:rsidR="00B41D77" w:rsidRPr="00BF1181" w:rsidRDefault="00B41D77" w:rsidP="00AC321D">
            <w:pPr>
              <w:tabs>
                <w:tab w:val="right" w:pos="969"/>
              </w:tabs>
            </w:pPr>
            <w:r w:rsidRPr="00BF1181">
              <w:t>$</w:t>
            </w:r>
            <w:r w:rsidRPr="00BF1181">
              <w:tab/>
            </w:r>
            <w:r>
              <w:t>20</w:t>
            </w:r>
            <w:r w:rsidR="00AE2EB4">
              <w:t>7,178</w:t>
            </w:r>
          </w:p>
        </w:tc>
        <w:tc>
          <w:tcPr>
            <w:tcW w:w="1373" w:type="dxa"/>
            <w:tcBorders>
              <w:top w:val="single" w:sz="4" w:space="0" w:color="auto"/>
              <w:bottom w:val="double" w:sz="4" w:space="0" w:color="auto"/>
            </w:tcBorders>
          </w:tcPr>
          <w:p w14:paraId="06B3CBAB" w14:textId="5B3B4571" w:rsidR="00B41D77" w:rsidRPr="00BF1181" w:rsidRDefault="00B41D77" w:rsidP="00AC321D">
            <w:pPr>
              <w:tabs>
                <w:tab w:val="right" w:pos="926"/>
                <w:tab w:val="right" w:pos="989"/>
              </w:tabs>
            </w:pPr>
            <w:r w:rsidRPr="00BF1181">
              <w:t>$</w:t>
            </w:r>
            <w:r w:rsidRPr="00BF1181">
              <w:tab/>
            </w:r>
            <w:r w:rsidR="00AE2EB4">
              <w:t>86,763</w:t>
            </w:r>
          </w:p>
        </w:tc>
        <w:tc>
          <w:tcPr>
            <w:tcW w:w="1372" w:type="dxa"/>
            <w:tcBorders>
              <w:top w:val="single" w:sz="4" w:space="0" w:color="auto"/>
              <w:bottom w:val="double" w:sz="4" w:space="0" w:color="auto"/>
            </w:tcBorders>
          </w:tcPr>
          <w:p w14:paraId="3A9916F1" w14:textId="32F1D3BB" w:rsidR="00B41D77" w:rsidRPr="00BF1181" w:rsidRDefault="00B41D77" w:rsidP="00AC321D">
            <w:pPr>
              <w:tabs>
                <w:tab w:val="right" w:pos="989"/>
              </w:tabs>
            </w:pPr>
            <w:r w:rsidRPr="00BF1181">
              <w:t>$</w:t>
            </w:r>
            <w:r w:rsidRPr="00BF1181">
              <w:tab/>
            </w:r>
            <w:r>
              <w:t>412,329</w:t>
            </w:r>
          </w:p>
        </w:tc>
        <w:tc>
          <w:tcPr>
            <w:tcW w:w="1373" w:type="dxa"/>
            <w:tcBorders>
              <w:top w:val="single" w:sz="4" w:space="0" w:color="auto"/>
              <w:bottom w:val="double" w:sz="4" w:space="0" w:color="auto"/>
            </w:tcBorders>
          </w:tcPr>
          <w:p w14:paraId="1E1201C1" w14:textId="585ACC27" w:rsidR="00B41D77" w:rsidRPr="00BF1181" w:rsidRDefault="00B41D77" w:rsidP="00AC321D">
            <w:pPr>
              <w:tabs>
                <w:tab w:val="right" w:pos="989"/>
              </w:tabs>
            </w:pPr>
            <w:r w:rsidRPr="00BF1181">
              <w:t>$</w:t>
            </w:r>
            <w:r w:rsidRPr="00BF1181">
              <w:tab/>
            </w:r>
            <w:r>
              <w:t>163,553</w:t>
            </w:r>
          </w:p>
        </w:tc>
      </w:tr>
    </w:tbl>
    <w:p w14:paraId="58E9052D" w14:textId="77777777" w:rsidR="005918D5" w:rsidRDefault="005918D5" w:rsidP="007D4278">
      <w:pPr>
        <w:rPr>
          <w:color w:val="000000"/>
        </w:rPr>
      </w:pPr>
    </w:p>
    <w:p w14:paraId="46DAD27B" w14:textId="332648B7" w:rsidR="005918D5" w:rsidRPr="001C6303" w:rsidRDefault="005918D5" w:rsidP="005918D5">
      <w:pPr>
        <w:pStyle w:val="ListNumbering"/>
        <w:spacing w:after="0"/>
      </w:pPr>
      <w:r>
        <w:t>7</w:t>
      </w:r>
      <w:r w:rsidRPr="001C6303">
        <w:t>.</w:t>
      </w:r>
      <w:r w:rsidRPr="001C6303">
        <w:tab/>
      </w:r>
      <w:r>
        <w:t xml:space="preserve">Net </w:t>
      </w:r>
      <w:r w:rsidRPr="001C6303">
        <w:t>Loss Per Share</w:t>
      </w:r>
    </w:p>
    <w:p w14:paraId="41CB3F3D" w14:textId="77777777" w:rsidR="004C192E" w:rsidRDefault="004C192E" w:rsidP="005918D5">
      <w:pPr>
        <w:pStyle w:val="BodyText"/>
        <w:spacing w:after="0"/>
      </w:pPr>
    </w:p>
    <w:p w14:paraId="798233C4" w14:textId="1D38C052" w:rsidR="005918D5" w:rsidRDefault="005918D5" w:rsidP="005918D5">
      <w:pPr>
        <w:pStyle w:val="BodyText"/>
        <w:spacing w:after="0"/>
      </w:pPr>
      <w:r w:rsidRPr="00E576BB">
        <w:t xml:space="preserve">Basic and diluted loss per common share </w:t>
      </w:r>
      <w:proofErr w:type="gramStart"/>
      <w:r w:rsidRPr="00E576BB">
        <w:t>are</w:t>
      </w:r>
      <w:proofErr w:type="gramEnd"/>
      <w:r w:rsidRPr="00E576BB">
        <w:t xml:space="preserve"> computed based on the weighted average number of common shares outstanding</w:t>
      </w:r>
      <w:r w:rsidR="00CB1D71">
        <w:t>, including the May 2022 Pre-Funded Warrants outstanding at June 30, 2022</w:t>
      </w:r>
      <w:r w:rsidRPr="00E576BB">
        <w:t xml:space="preserve">. </w:t>
      </w:r>
      <w:r w:rsidRPr="00E321CC">
        <w:t xml:space="preserve">The Company’s </w:t>
      </w:r>
      <w:r w:rsidR="00CB1D71">
        <w:t xml:space="preserve">additional </w:t>
      </w:r>
      <w:r w:rsidRPr="00E321CC">
        <w:t xml:space="preserve">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22" w:name="_Hlk107585474"/>
      <w:r>
        <w:t xml:space="preserve">The securities that could potentially dilute basic earnings per share in the future and that have been excluded </w:t>
      </w:r>
      <w:bookmarkEnd w:id="22"/>
      <w:r>
        <w:t>from the computation of diluted net loss per share</w:t>
      </w:r>
      <w:r w:rsidRPr="00E321CC">
        <w:t xml:space="preserve"> totaled </w:t>
      </w:r>
      <w:r w:rsidR="00CB1D71">
        <w:t>18,967,629</w:t>
      </w:r>
      <w:r w:rsidRPr="00E321CC">
        <w:t xml:space="preserve"> and </w:t>
      </w:r>
      <w:r>
        <w:t>3,395,635</w:t>
      </w:r>
      <w:r w:rsidRPr="00E321CC">
        <w:t xml:space="preserve"> shares </w:t>
      </w:r>
      <w:proofErr w:type="gramStart"/>
      <w:r w:rsidRPr="00E321CC">
        <w:t>at</w:t>
      </w:r>
      <w:proofErr w:type="gramEnd"/>
      <w:r w:rsidRPr="00E321CC">
        <w:t xml:space="preserve"> </w:t>
      </w:r>
      <w:r>
        <w:t>June</w:t>
      </w:r>
      <w:r w:rsidRPr="00E321CC">
        <w:t xml:space="preserve"> 3</w:t>
      </w:r>
      <w:r>
        <w:t>0</w:t>
      </w:r>
      <w:r w:rsidRPr="00E321CC">
        <w:t>, 2022 and 2021, respectively.</w:t>
      </w:r>
    </w:p>
    <w:p w14:paraId="1D8760F8" w14:textId="77777777" w:rsidR="007D4278" w:rsidRDefault="007D4278" w:rsidP="000A55AE">
      <w:pPr>
        <w:rPr>
          <w:color w:val="000000"/>
        </w:rPr>
      </w:pPr>
    </w:p>
    <w:p w14:paraId="45163D60" w14:textId="5102002A" w:rsidR="00881E20" w:rsidRPr="001C6303" w:rsidRDefault="00716911" w:rsidP="000A55AE">
      <w:pPr>
        <w:pStyle w:val="ListNumbering"/>
        <w:spacing w:after="0"/>
      </w:pPr>
      <w:bookmarkStart w:id="23" w:name="_Hlk108686754"/>
      <w:r>
        <w:t>8</w:t>
      </w:r>
      <w:r w:rsidR="00881E20" w:rsidRPr="001C6303">
        <w:t>.</w:t>
      </w:r>
      <w:r w:rsidR="00881E20" w:rsidRPr="001C6303">
        <w:tab/>
        <w:t>Income Taxes</w:t>
      </w:r>
    </w:p>
    <w:p w14:paraId="270FFEB0" w14:textId="77777777" w:rsidR="004C192E" w:rsidRDefault="004C192E" w:rsidP="004C192E">
      <w:pPr>
        <w:pStyle w:val="BodyText"/>
        <w:spacing w:after="0"/>
      </w:pPr>
    </w:p>
    <w:p w14:paraId="2879B306" w14:textId="5FD5C5BE" w:rsidR="004C192E" w:rsidRDefault="004C192E" w:rsidP="004C192E">
      <w:pPr>
        <w:pStyle w:val="BodyText"/>
        <w:spacing w:after="0"/>
      </w:pPr>
      <w:r>
        <w:t xml:space="preserve">No provision for income taxes was recorded in either of the six-month periods ended June 30, </w:t>
      </w:r>
      <w:proofErr w:type="gramStart"/>
      <w:r>
        <w:t>2022</w:t>
      </w:r>
      <w:proofErr w:type="gramEnd"/>
      <w:r>
        <w:t xml:space="preserve"> and 2021. The Company remains in a cumulative loss position with a full valuation allowance recorded against its net deferred income tax assets as of June 30, 2022.</w:t>
      </w:r>
    </w:p>
    <w:bookmarkEnd w:id="23"/>
    <w:p w14:paraId="0C44511C" w14:textId="5E14D63E" w:rsidR="000A55AE" w:rsidRDefault="000A55AE" w:rsidP="000A55AE">
      <w:pPr>
        <w:pStyle w:val="BodyText"/>
        <w:spacing w:after="0"/>
      </w:pPr>
    </w:p>
    <w:p w14:paraId="08A07941" w14:textId="301287E8" w:rsidR="002A1016" w:rsidRPr="001C6303" w:rsidRDefault="002A1016" w:rsidP="002A1016">
      <w:pPr>
        <w:pStyle w:val="ListNumbering"/>
        <w:spacing w:after="0"/>
      </w:pPr>
      <w:r>
        <w:t>9</w:t>
      </w:r>
      <w:r w:rsidRPr="001C6303">
        <w:t>.</w:t>
      </w:r>
      <w:r w:rsidRPr="001C6303">
        <w:tab/>
      </w:r>
      <w:r>
        <w:t>Subsequent Events</w:t>
      </w:r>
    </w:p>
    <w:p w14:paraId="0F5875C1" w14:textId="77777777" w:rsidR="002A1016" w:rsidRDefault="002A1016" w:rsidP="002A1016">
      <w:pPr>
        <w:pStyle w:val="BodyText"/>
        <w:spacing w:after="0"/>
      </w:pPr>
    </w:p>
    <w:p w14:paraId="7D9C449C" w14:textId="304C8B62" w:rsidR="00C31EBA" w:rsidRDefault="00C31EBA" w:rsidP="00C31EBA">
      <w:r>
        <w:t>During July 2022</w:t>
      </w:r>
      <w:r w:rsidR="00CC7A74">
        <w:t>,</w:t>
      </w:r>
      <w:r>
        <w:t xml:space="preserve"> we issued 7</w:t>
      </w:r>
      <w:r w:rsidR="00CC7A74">
        <w:t>5</w:t>
      </w:r>
      <w:r>
        <w:t xml:space="preserve">,000 </w:t>
      </w:r>
      <w:r w:rsidRPr="003E6788">
        <w:t xml:space="preserve">shares of </w:t>
      </w:r>
      <w:r>
        <w:t>restricted</w:t>
      </w:r>
      <w:r w:rsidRPr="003E6788">
        <w:t xml:space="preserve"> common stock </w:t>
      </w:r>
      <w:r>
        <w:t xml:space="preserve">to a consultant </w:t>
      </w:r>
      <w:r w:rsidR="0044760B">
        <w:t xml:space="preserve">and </w:t>
      </w:r>
      <w:r w:rsidR="00CC7A74">
        <w:t>will recognize</w:t>
      </w:r>
      <w:r>
        <w:t xml:space="preserve"> the related expense </w:t>
      </w:r>
      <w:r w:rsidR="00CC7A74">
        <w:t xml:space="preserve">of $60,750 </w:t>
      </w:r>
      <w:r>
        <w:t>over the term of the related agreement.</w:t>
      </w:r>
      <w:r w:rsidRPr="00593DF1">
        <w:t xml:space="preserve"> </w:t>
      </w:r>
    </w:p>
    <w:p w14:paraId="267C05DE" w14:textId="7EF9EB96" w:rsidR="00C31EBA" w:rsidRDefault="00C31EBA" w:rsidP="00C31EBA"/>
    <w:p w14:paraId="54CFE6CE" w14:textId="42DEEAA8" w:rsidR="00C31EBA" w:rsidRDefault="00CC7A74" w:rsidP="00C31EBA">
      <w:r>
        <w:t>During July 2022, we issued</w:t>
      </w:r>
      <w:r w:rsidR="00BB4B3D">
        <w:t xml:space="preserve"> an aggregate of</w:t>
      </w:r>
      <w:r>
        <w:t xml:space="preserve"> </w:t>
      </w:r>
      <w:r w:rsidR="00BB4B3D">
        <w:t>5,4</w:t>
      </w:r>
      <w:r>
        <w:t>00,000 shares of common stock</w:t>
      </w:r>
      <w:r w:rsidR="000A6F1B">
        <w:t xml:space="preserve"> upon the exercise of the May 2022 Pre-Funded Warrants.</w:t>
      </w:r>
      <w:r w:rsidR="00BB4B3D">
        <w:t xml:space="preserve"> Subsequent to these exercises, none of the May 2022 Pre-Funded Warrants remain outstanding.</w:t>
      </w:r>
    </w:p>
    <w:p w14:paraId="3B4786F3" w14:textId="34D9E87A" w:rsidR="002A1016" w:rsidRDefault="002A1016" w:rsidP="000A55AE">
      <w:pPr>
        <w:pStyle w:val="BodyText"/>
        <w:spacing w:after="0"/>
      </w:pPr>
    </w:p>
    <w:p w14:paraId="23A1290C" w14:textId="66B0FCC2" w:rsidR="00937753" w:rsidRDefault="00937753" w:rsidP="00937753">
      <w:r>
        <w:t xml:space="preserve">During August 2022, we issued an aggregate of 3,030,304 shares of common stock upon the partial exercise of the May 2022 </w:t>
      </w:r>
      <w:r w:rsidR="00F74A72">
        <w:t>Preferred Investment Options</w:t>
      </w:r>
      <w:r>
        <w:t xml:space="preserve">, with gross cash proceeds to us of $5,000,000. Subsequent to these exercises, 9,090,910 of the May 2022 </w:t>
      </w:r>
      <w:r w:rsidR="00F74A72">
        <w:t>Preferred Investment Options</w:t>
      </w:r>
      <w:r>
        <w:t xml:space="preserve"> remain outstanding.</w:t>
      </w:r>
    </w:p>
    <w:p w14:paraId="26B85063" w14:textId="77777777" w:rsidR="00937753" w:rsidRDefault="00937753" w:rsidP="000A55AE">
      <w:pPr>
        <w:pStyle w:val="BodyText"/>
        <w:spacing w:after="0"/>
      </w:pPr>
    </w:p>
    <w:p w14:paraId="6E23F9E8" w14:textId="77777777" w:rsidR="00E5783E" w:rsidRPr="00323128" w:rsidRDefault="00E5783E">
      <w:pPr>
        <w:rPr>
          <w:iCs/>
        </w:rPr>
      </w:pPr>
    </w:p>
    <w:p w14:paraId="364CA039" w14:textId="77777777" w:rsidR="00ED4468" w:rsidRDefault="00ED4468">
      <w:pPr>
        <w:rPr>
          <w:b/>
        </w:rPr>
      </w:pPr>
      <w:r>
        <w:br w:type="page"/>
      </w:r>
    </w:p>
    <w:p w14:paraId="511152B0" w14:textId="06C7B3E2" w:rsidR="00BD6BBE" w:rsidRPr="001C6303" w:rsidRDefault="0054260E" w:rsidP="000A55AE">
      <w:pPr>
        <w:pStyle w:val="Heading2"/>
        <w:numPr>
          <w:ilvl w:val="0"/>
          <w:numId w:val="0"/>
        </w:numPr>
        <w:tabs>
          <w:tab w:val="left" w:pos="1080"/>
        </w:tabs>
        <w:spacing w:after="0"/>
      </w:pPr>
      <w:r w:rsidRPr="001C6303">
        <w:rPr>
          <w:u w:val="none"/>
        </w:rPr>
        <w:t>Item 2</w:t>
      </w:r>
      <w:r w:rsidRPr="001C6303">
        <w:rPr>
          <w:u w:val="none"/>
        </w:rPr>
        <w:tab/>
      </w:r>
      <w:r w:rsidR="00BD6BBE" w:rsidRPr="001C6303">
        <w:t>Management</w:t>
      </w:r>
      <w:r w:rsidR="00B44A4C" w:rsidRPr="001C6303">
        <w:t>’</w:t>
      </w:r>
      <w:r w:rsidR="00BD6BBE" w:rsidRPr="001C6303">
        <w:t xml:space="preserve">s Discussion and Analysis of Financial Condition </w:t>
      </w:r>
      <w:proofErr w:type="gramStart"/>
      <w:r w:rsidR="00BD6BBE" w:rsidRPr="001C6303">
        <w:t>And</w:t>
      </w:r>
      <w:proofErr w:type="gramEnd"/>
      <w:r w:rsidR="00BD6BBE" w:rsidRPr="001C6303">
        <w:t xml:space="preserve"> Results of Operations</w:t>
      </w:r>
      <w:bookmarkEnd w:id="18"/>
    </w:p>
    <w:p w14:paraId="4F114C50" w14:textId="77777777" w:rsidR="00244465" w:rsidRDefault="00244465" w:rsidP="00B70FE8">
      <w:pPr>
        <w:tabs>
          <w:tab w:val="decimal" w:pos="9180"/>
        </w:tabs>
        <w:rPr>
          <w:bCs/>
          <w:i/>
          <w:iCs/>
        </w:rPr>
      </w:pPr>
    </w:p>
    <w:p w14:paraId="577F7BF7" w14:textId="51734B01" w:rsidR="00B70FE8" w:rsidRPr="0009354D" w:rsidRDefault="00B70FE8" w:rsidP="00B70FE8">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Pr>
          <w:bCs/>
          <w:i/>
          <w:iCs/>
        </w:rPr>
        <w:t>1</w:t>
      </w:r>
      <w:r w:rsidRPr="0009354D">
        <w:rPr>
          <w:bCs/>
          <w:i/>
          <w:iCs/>
        </w:rPr>
        <w:t xml:space="preserve">, which was filed with the Securities and Exchange Commission on March </w:t>
      </w:r>
      <w:r>
        <w:rPr>
          <w:bCs/>
          <w:i/>
          <w:iCs/>
        </w:rPr>
        <w:t>9</w:t>
      </w:r>
      <w:r w:rsidRPr="0009354D">
        <w:rPr>
          <w:bCs/>
          <w:i/>
          <w:iCs/>
        </w:rPr>
        <w:t>, 202</w:t>
      </w:r>
      <w:r>
        <w:rPr>
          <w:bCs/>
          <w:i/>
          <w:iCs/>
        </w:rPr>
        <w:t>2</w:t>
      </w:r>
      <w:r w:rsidRPr="0009354D">
        <w:rPr>
          <w:bCs/>
          <w:i/>
          <w:iCs/>
        </w:rPr>
        <w:t>.</w:t>
      </w:r>
    </w:p>
    <w:p w14:paraId="50C394BC" w14:textId="77777777" w:rsidR="00B70FE8" w:rsidRPr="0009354D" w:rsidRDefault="00B70FE8" w:rsidP="00B70FE8">
      <w:pPr>
        <w:tabs>
          <w:tab w:val="decimal" w:pos="9180"/>
        </w:tabs>
        <w:rPr>
          <w:bCs/>
        </w:rPr>
      </w:pPr>
    </w:p>
    <w:p w14:paraId="7A2DE09C" w14:textId="77777777" w:rsidR="00B70FE8" w:rsidRPr="0009354D" w:rsidRDefault="00B70FE8" w:rsidP="00B70FE8">
      <w:pPr>
        <w:tabs>
          <w:tab w:val="decimal" w:pos="9180"/>
        </w:tabs>
        <w:rPr>
          <w:b/>
        </w:rPr>
      </w:pPr>
      <w:r w:rsidRPr="0009354D">
        <w:rPr>
          <w:b/>
        </w:rPr>
        <w:t>Forward-Looking Statements</w:t>
      </w:r>
    </w:p>
    <w:p w14:paraId="4D0ECB97" w14:textId="77777777" w:rsidR="00B70FE8" w:rsidRPr="0009354D" w:rsidRDefault="00B70FE8" w:rsidP="00B70FE8">
      <w:pPr>
        <w:tabs>
          <w:tab w:val="decimal" w:pos="9180"/>
        </w:tabs>
        <w:rPr>
          <w:bCs/>
        </w:rPr>
      </w:pPr>
    </w:p>
    <w:p w14:paraId="4BA530B4" w14:textId="5E5C77AE" w:rsidR="00B70FE8" w:rsidRPr="0009354D" w:rsidRDefault="00B70FE8" w:rsidP="00B70FE8">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rPr>
        <w:t>1</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4D0EE904" w14:textId="58A70E4A" w:rsidR="00E271E8" w:rsidRPr="00E16A75" w:rsidRDefault="00E271E8" w:rsidP="00E271E8">
      <w:proofErr w:type="spellStart"/>
      <w:r w:rsidRPr="00E16A75">
        <w:t>GeoVax</w:t>
      </w:r>
      <w:proofErr w:type="spellEnd"/>
      <w:r w:rsidRPr="00E16A75">
        <w:t xml:space="preserve"> is a clinical-stage biotechnology company developing immunotherapies and vaccines against infectious diseases and cancers using novel vector vaccine platforms. </w:t>
      </w:r>
      <w:proofErr w:type="spellStart"/>
      <w:r w:rsidRPr="00E16A75">
        <w:rPr>
          <w:bCs/>
        </w:rPr>
        <w:t>GeoVax’s</w:t>
      </w:r>
      <w:proofErr w:type="spellEnd"/>
      <w:r w:rsidRPr="00E16A75">
        <w:rPr>
          <w:bCs/>
        </w:rPr>
        <w:t xml:space="preserve"> product pipeline includes ongoing human clinical trials in COVID-19 and </w:t>
      </w:r>
      <w:r w:rsidRPr="00E16A75">
        <w:t xml:space="preserve">head and neck cancer. Additional research and development programs include preventive vaccines against Zika Virus, hemorrhagic fever viruses (Ebola, Sudan, Marburg, and Lassa) and malaria, as well as immunotherapies for solid tumors. </w:t>
      </w:r>
    </w:p>
    <w:p w14:paraId="14453091" w14:textId="77777777" w:rsidR="007318C7" w:rsidRPr="00E16A75" w:rsidRDefault="007318C7" w:rsidP="007318C7"/>
    <w:p w14:paraId="0F12E51F" w14:textId="260D75DB" w:rsidR="00177E79" w:rsidRPr="00E16A75" w:rsidRDefault="00177E79" w:rsidP="00177E79">
      <w:r w:rsidRPr="00E16A75">
        <w:t>Our programs are in various stages of development</w:t>
      </w:r>
      <w:bookmarkStart w:id="24" w:name="_Hlk86323645"/>
      <w:r w:rsidR="00B26669">
        <w:t>, the most significant of which are summarized below:</w:t>
      </w:r>
    </w:p>
    <w:p w14:paraId="123A7144" w14:textId="253B9533" w:rsidR="00862EEA" w:rsidRDefault="006874E2" w:rsidP="00177E79">
      <w:pPr>
        <w:pStyle w:val="ListParagraph"/>
        <w:numPr>
          <w:ilvl w:val="0"/>
          <w:numId w:val="11"/>
        </w:numPr>
        <w:ind w:left="360"/>
        <w:rPr>
          <w:rFonts w:ascii="Times New Roman" w:hAnsi="Times New Roman"/>
          <w:bCs/>
        </w:rPr>
      </w:pPr>
      <w:r w:rsidRPr="00E16A75">
        <w:rPr>
          <w:rFonts w:ascii="Times New Roman" w:hAnsi="Times New Roman"/>
          <w:bCs/>
        </w:rPr>
        <w:t>GEO-CM</w:t>
      </w:r>
      <w:r w:rsidR="00177E79" w:rsidRPr="00E16A75">
        <w:rPr>
          <w:rFonts w:ascii="Times New Roman" w:hAnsi="Times New Roman"/>
          <w:bCs/>
        </w:rPr>
        <w:t>04S1 is currently undergoing a Phase 2 clinical trial</w:t>
      </w:r>
      <w:r w:rsidR="00E16A75" w:rsidRPr="00E16A75">
        <w:rPr>
          <w:rFonts w:ascii="Times New Roman" w:hAnsi="Times New Roman"/>
          <w:bCs/>
        </w:rPr>
        <w:t xml:space="preserve"> (NCT04977024)</w:t>
      </w:r>
      <w:r w:rsidR="00177E79" w:rsidRPr="00E16A75">
        <w:rPr>
          <w:rFonts w:ascii="Times New Roman" w:hAnsi="Times New Roman"/>
          <w:bCs/>
        </w:rPr>
        <w:t>, evaluating its safety and efficacy as a preventive COVID-19 vaccine</w:t>
      </w:r>
      <w:r w:rsidR="00937B1B">
        <w:rPr>
          <w:rFonts w:ascii="Times New Roman" w:hAnsi="Times New Roman"/>
          <w:bCs/>
        </w:rPr>
        <w:t xml:space="preserve"> </w:t>
      </w:r>
      <w:r w:rsidR="00862EEA" w:rsidRPr="00C42559">
        <w:rPr>
          <w:rFonts w:ascii="Times New Roman" w:hAnsi="Times New Roman"/>
          <w:bCs/>
        </w:rPr>
        <w:t>in patients who have previously received either an allogeneic hematopoietic cell transplant, an autologous hematopoietic cell transplant or chimeric antigen receptor (CAR) T cell therapy</w:t>
      </w:r>
      <w:r w:rsidR="00862EEA">
        <w:rPr>
          <w:rFonts w:ascii="Times New Roman" w:hAnsi="Times New Roman"/>
          <w:bCs/>
        </w:rPr>
        <w:t xml:space="preserve">. </w:t>
      </w:r>
      <w:r w:rsidR="00862EEA" w:rsidRPr="00C42559">
        <w:rPr>
          <w:rFonts w:ascii="Times New Roman" w:hAnsi="Times New Roman"/>
          <w:bCs/>
        </w:rPr>
        <w:t>GEO-CM04S1 is the only COVID-19 vaccine that includes both SARS-CoV-2 spike and nucleocapsid proteins to advance to a Phase 2 trial in cancer patients. The trial is also the first to compare an investigational multi-antigenic COVID-19 vaccine to the current Food and Drug Administration (FDA)-approved mRNA vaccine from Pfizer/BioNTech in people who are immunocompromised</w:t>
      </w:r>
      <w:r w:rsidR="00862EEA">
        <w:rPr>
          <w:rFonts w:ascii="Times New Roman" w:hAnsi="Times New Roman"/>
          <w:bCs/>
        </w:rPr>
        <w:t>.</w:t>
      </w:r>
    </w:p>
    <w:p w14:paraId="280029D1" w14:textId="2E525057" w:rsidR="006874E2" w:rsidRPr="00862EEA" w:rsidRDefault="00862EEA" w:rsidP="00862EEA">
      <w:pPr>
        <w:pStyle w:val="ListParagraph"/>
        <w:numPr>
          <w:ilvl w:val="0"/>
          <w:numId w:val="11"/>
        </w:numPr>
        <w:ind w:left="360"/>
        <w:rPr>
          <w:rFonts w:ascii="Times New Roman" w:hAnsi="Times New Roman"/>
          <w:bCs/>
        </w:rPr>
      </w:pPr>
      <w:r>
        <w:rPr>
          <w:rFonts w:ascii="Times New Roman" w:hAnsi="Times New Roman"/>
          <w:bCs/>
        </w:rPr>
        <w:t xml:space="preserve">GEO-CM04S1 is also undergoing </w:t>
      </w:r>
      <w:r w:rsidR="00937B1B" w:rsidRPr="00862EEA">
        <w:rPr>
          <w:bCs/>
        </w:rPr>
        <w:t>the Phase 2 portion of a Phase 1/2 trial (NCT04639466), evaluating its use as a universal booster vaccine to current FDA-approved two-shot mRNA vaccines from Pfizer/BioNTech and Moderna</w:t>
      </w:r>
      <w:r w:rsidR="006874E2" w:rsidRPr="00862EEA">
        <w:rPr>
          <w:bCs/>
        </w:rPr>
        <w:t>.</w:t>
      </w:r>
    </w:p>
    <w:p w14:paraId="28FC775C" w14:textId="679D6AB8" w:rsidR="00177E79" w:rsidRPr="00E16A75" w:rsidRDefault="00177E79" w:rsidP="00177E79">
      <w:pPr>
        <w:pStyle w:val="ListParagraph"/>
        <w:numPr>
          <w:ilvl w:val="0"/>
          <w:numId w:val="11"/>
        </w:numPr>
        <w:ind w:left="360"/>
        <w:rPr>
          <w:rFonts w:ascii="Times New Roman" w:hAnsi="Times New Roman"/>
          <w:bCs/>
        </w:rPr>
      </w:pPr>
      <w:proofErr w:type="spellStart"/>
      <w:r w:rsidRPr="00E16A75">
        <w:rPr>
          <w:rFonts w:ascii="Times New Roman" w:hAnsi="Times New Roman"/>
          <w:bCs/>
        </w:rPr>
        <w:t>Gedeptin</w:t>
      </w:r>
      <w:proofErr w:type="spellEnd"/>
      <w:r w:rsidRPr="00E16A75">
        <w:rPr>
          <w:rFonts w:ascii="Times New Roman" w:hAnsi="Times New Roman"/>
          <w:bCs/>
          <w:vertAlign w:val="superscript"/>
        </w:rPr>
        <w:t>®</w:t>
      </w:r>
      <w:r w:rsidRPr="00E16A75">
        <w:rPr>
          <w:rFonts w:ascii="Times New Roman" w:hAnsi="Times New Roman"/>
          <w:bCs/>
        </w:rPr>
        <w:t xml:space="preserve"> is currently undergoing a Phase 1/2 clinical trial </w:t>
      </w:r>
      <w:r w:rsidR="00937B1B" w:rsidRPr="00937B1B">
        <w:rPr>
          <w:rFonts w:ascii="Times New Roman" w:hAnsi="Times New Roman"/>
          <w:bCs/>
        </w:rPr>
        <w:t>(NCT03754933)</w:t>
      </w:r>
      <w:r w:rsidR="00937B1B">
        <w:rPr>
          <w:rFonts w:ascii="Times New Roman" w:hAnsi="Times New Roman"/>
          <w:bCs/>
        </w:rPr>
        <w:t xml:space="preserve"> </w:t>
      </w:r>
      <w:r w:rsidRPr="00E16A75">
        <w:rPr>
          <w:rFonts w:ascii="Times New Roman" w:hAnsi="Times New Roman"/>
          <w:bCs/>
        </w:rPr>
        <w:t xml:space="preserve">for treatment of patients with </w:t>
      </w:r>
      <w:r w:rsidR="00862EEA">
        <w:rPr>
          <w:rFonts w:ascii="Times New Roman" w:hAnsi="Times New Roman"/>
          <w:bCs/>
        </w:rPr>
        <w:t>recurrent head and neck squamous cell carcinoma (HNSCC). The initial stage of this trial</w:t>
      </w:r>
      <w:bookmarkEnd w:id="24"/>
      <w:r w:rsidRPr="00E16A75">
        <w:rPr>
          <w:rFonts w:ascii="Times New Roman" w:hAnsi="Times New Roman"/>
          <w:bCs/>
        </w:rPr>
        <w:t xml:space="preserve"> is being conducted with funding support from the U.S. Food &amp; Drug Administration (FDA) pursuant to its Orphan Products</w:t>
      </w:r>
      <w:r w:rsidR="00862EEA">
        <w:rPr>
          <w:rFonts w:ascii="Times New Roman" w:hAnsi="Times New Roman"/>
          <w:bCs/>
        </w:rPr>
        <w:t xml:space="preserve"> Clinical Trials</w:t>
      </w:r>
      <w:r w:rsidRPr="00E16A75">
        <w:rPr>
          <w:rFonts w:ascii="Times New Roman" w:hAnsi="Times New Roman"/>
          <w:bCs/>
        </w:rPr>
        <w:t xml:space="preserve"> Grants Program.  </w:t>
      </w:r>
    </w:p>
    <w:p w14:paraId="7650BD5C" w14:textId="65E40333" w:rsidR="00177E79" w:rsidRDefault="00BB4AA3" w:rsidP="00177E79">
      <w:pPr>
        <w:pStyle w:val="ListParagraph"/>
        <w:numPr>
          <w:ilvl w:val="0"/>
          <w:numId w:val="11"/>
        </w:numPr>
        <w:ind w:left="360"/>
        <w:rPr>
          <w:rFonts w:ascii="Times New Roman" w:hAnsi="Times New Roman"/>
        </w:rPr>
      </w:pPr>
      <w:r>
        <w:rPr>
          <w:rFonts w:ascii="Times New Roman" w:hAnsi="Times New Roman"/>
        </w:rPr>
        <w:t>GEO-CM02 (o</w:t>
      </w:r>
      <w:r w:rsidR="00177E79" w:rsidRPr="00E16A75">
        <w:rPr>
          <w:rFonts w:ascii="Times New Roman" w:hAnsi="Times New Roman"/>
        </w:rPr>
        <w:t xml:space="preserve">ur pan coronavirus vaccine) </w:t>
      </w:r>
      <w:r w:rsidR="00937B1B">
        <w:rPr>
          <w:rFonts w:ascii="Times New Roman" w:hAnsi="Times New Roman"/>
        </w:rPr>
        <w:t xml:space="preserve">has shown promising results in preclinical studies to </w:t>
      </w:r>
      <w:proofErr w:type="gramStart"/>
      <w:r w:rsidR="00937B1B">
        <w:rPr>
          <w:rFonts w:ascii="Times New Roman" w:hAnsi="Times New Roman"/>
        </w:rPr>
        <w:t>date</w:t>
      </w:r>
      <w:proofErr w:type="gramEnd"/>
      <w:r w:rsidR="00937B1B">
        <w:rPr>
          <w:rFonts w:ascii="Times New Roman" w:hAnsi="Times New Roman"/>
        </w:rPr>
        <w:t xml:space="preserve"> and</w:t>
      </w:r>
      <w:r w:rsidR="00177E79" w:rsidRPr="00E16A75">
        <w:rPr>
          <w:rFonts w:ascii="Times New Roman" w:hAnsi="Times New Roman"/>
        </w:rPr>
        <w:t xml:space="preserve"> </w:t>
      </w:r>
      <w:r>
        <w:rPr>
          <w:rFonts w:ascii="Times New Roman" w:hAnsi="Times New Roman"/>
        </w:rPr>
        <w:t xml:space="preserve">we have </w:t>
      </w:r>
      <w:r w:rsidR="003A420F">
        <w:rPr>
          <w:rFonts w:ascii="Times New Roman" w:hAnsi="Times New Roman"/>
        </w:rPr>
        <w:t xml:space="preserve">recently </w:t>
      </w:r>
      <w:r>
        <w:rPr>
          <w:rFonts w:ascii="Times New Roman" w:hAnsi="Times New Roman"/>
        </w:rPr>
        <w:t>initiated</w:t>
      </w:r>
      <w:r w:rsidR="00177E79" w:rsidRPr="00E16A75">
        <w:rPr>
          <w:rFonts w:ascii="Times New Roman" w:hAnsi="Times New Roman"/>
        </w:rPr>
        <w:t xml:space="preserve"> </w:t>
      </w:r>
      <w:r w:rsidR="00937B1B">
        <w:rPr>
          <w:rFonts w:ascii="Times New Roman" w:hAnsi="Times New Roman"/>
        </w:rPr>
        <w:t>additional studies to prepare for IND (Investigational New Drug) filing and subsequent human clinical trials.</w:t>
      </w:r>
    </w:p>
    <w:p w14:paraId="77FB0724" w14:textId="2FFE9227" w:rsidR="003A420F" w:rsidRPr="000F378F" w:rsidRDefault="003A420F" w:rsidP="003A420F">
      <w:pPr>
        <w:pStyle w:val="ListParagraph"/>
        <w:numPr>
          <w:ilvl w:val="0"/>
          <w:numId w:val="11"/>
        </w:numPr>
        <w:ind w:left="360"/>
        <w:rPr>
          <w:rFonts w:ascii="Times New Roman" w:hAnsi="Times New Roman"/>
        </w:rPr>
      </w:pPr>
      <w:r>
        <w:rPr>
          <w:rFonts w:ascii="Times New Roman" w:hAnsi="Times New Roman"/>
        </w:rPr>
        <w:t>Our research program for treatment of solid tumors (MVA-VLP-MUC1)</w:t>
      </w:r>
      <w:r w:rsidR="000F378F">
        <w:rPr>
          <w:rFonts w:ascii="Times New Roman" w:hAnsi="Times New Roman"/>
        </w:rPr>
        <w:t xml:space="preserve"> is progressing with additional preclinical studies recently initiated. </w:t>
      </w:r>
      <w:r w:rsidR="000F378F" w:rsidRPr="00C42559">
        <w:t xml:space="preserve">The initial animal studies of our MVA-VLP-MUC1 vaccine and ICI combination, have been encouraging, showing that a combination of our MVA-VLP-MUC1 vaccine candidate with a MUC1 synthetic peptide was capable of breaking tolerance to human MUC1 in transgenic mice and inducing immune responses with efficacy against challenge in a lymphoma tumor model. Our studies also demonstrated a significant reduction of the tumor burden in a mouse model for colorectal cancer. </w:t>
      </w:r>
      <w:r w:rsidR="000F378F">
        <w:t>W</w:t>
      </w:r>
      <w:r w:rsidR="000F378F" w:rsidRPr="00C42559">
        <w:t xml:space="preserve">e </w:t>
      </w:r>
      <w:r w:rsidR="000F378F">
        <w:t>have initiated</w:t>
      </w:r>
      <w:r w:rsidR="000F378F" w:rsidRPr="00C42559">
        <w:t xml:space="preserve"> animal studies to </w:t>
      </w:r>
      <w:r w:rsidR="000F378F">
        <w:t>determine</w:t>
      </w:r>
      <w:r w:rsidR="000F378F" w:rsidRPr="00C42559">
        <w:t xml:space="preserve"> the optimal course and schedule of vaccination to define a protocol that can be evaluated in a Phase 1 clinical trial</w:t>
      </w:r>
      <w:r w:rsidR="000F378F">
        <w:t>.</w:t>
      </w:r>
    </w:p>
    <w:p w14:paraId="43EF751C" w14:textId="5439B99C" w:rsidR="00684966" w:rsidRDefault="00177E79" w:rsidP="00177E79">
      <w:pPr>
        <w:pStyle w:val="ListParagraph"/>
        <w:numPr>
          <w:ilvl w:val="0"/>
          <w:numId w:val="11"/>
        </w:numPr>
        <w:ind w:left="360"/>
        <w:rPr>
          <w:rFonts w:ascii="Times New Roman" w:hAnsi="Times New Roman"/>
        </w:rPr>
      </w:pPr>
      <w:r w:rsidRPr="00E16A75">
        <w:rPr>
          <w:rFonts w:ascii="Times New Roman" w:hAnsi="Times New Roman"/>
        </w:rPr>
        <w:t>Our</w:t>
      </w:r>
      <w:r w:rsidR="00684966">
        <w:rPr>
          <w:rFonts w:ascii="Times New Roman" w:hAnsi="Times New Roman"/>
        </w:rPr>
        <w:t xml:space="preserve"> additional</w:t>
      </w:r>
      <w:r w:rsidRPr="00E16A75">
        <w:rPr>
          <w:rFonts w:ascii="Times New Roman" w:hAnsi="Times New Roman"/>
        </w:rPr>
        <w:t xml:space="preserve"> </w:t>
      </w:r>
      <w:r w:rsidR="00684966">
        <w:rPr>
          <w:rFonts w:ascii="Times New Roman" w:hAnsi="Times New Roman"/>
        </w:rPr>
        <w:t>research programs for vaccines against Zika virus, malaria and hemorrhagic fever viruses are at various stages of preclinical development.</w:t>
      </w:r>
    </w:p>
    <w:p w14:paraId="4B0F4CCA" w14:textId="3E0A2BC5" w:rsidR="00E377E4" w:rsidRDefault="00E377E4" w:rsidP="00177E79"/>
    <w:p w14:paraId="273E0B5F" w14:textId="05AF22A5" w:rsidR="00AD2EAC" w:rsidRPr="00AD2EAC" w:rsidRDefault="00AD2EAC" w:rsidP="00177E79">
      <w:pPr>
        <w:rPr>
          <w:b/>
          <w:bCs/>
        </w:rPr>
      </w:pPr>
      <w:r w:rsidRPr="00AD2EAC">
        <w:rPr>
          <w:b/>
          <w:bCs/>
        </w:rPr>
        <w:t>Financial Overview</w:t>
      </w:r>
    </w:p>
    <w:p w14:paraId="2AD0D222" w14:textId="281A330D" w:rsidR="00AD2EAC" w:rsidRDefault="00AD2EAC" w:rsidP="00177E79"/>
    <w:p w14:paraId="10254541" w14:textId="1034CBA0" w:rsidR="00AD2EAC" w:rsidRPr="00D00C59" w:rsidRDefault="00AD2EAC" w:rsidP="00177E79">
      <w:pPr>
        <w:rPr>
          <w:i/>
          <w:iCs/>
        </w:rPr>
      </w:pPr>
      <w:r w:rsidRPr="00D00C59">
        <w:rPr>
          <w:i/>
          <w:iCs/>
        </w:rPr>
        <w:t>Revenues</w:t>
      </w:r>
    </w:p>
    <w:p w14:paraId="57A23B2F" w14:textId="77777777" w:rsidR="00AD2EAC" w:rsidRDefault="00AD2EAC" w:rsidP="00AD2EAC"/>
    <w:p w14:paraId="02C54075" w14:textId="1141ED5E" w:rsidR="00AD2EAC" w:rsidRDefault="000C38A3" w:rsidP="00177E79">
      <w:r w:rsidRPr="008B37AD">
        <w:t>Our grant revenues relate to grants and contracts from agencies of the U.S. government in support of our vaccine development activities.</w:t>
      </w:r>
      <w:r>
        <w:t xml:space="preserve"> </w:t>
      </w:r>
      <w:r w:rsidRPr="00640BA0">
        <w:t>We record revenue associated with these grants as the related costs and expenses are incurred.</w:t>
      </w:r>
      <w:r>
        <w:t xml:space="preserve"> </w:t>
      </w:r>
      <w:r w:rsidR="00AD2EAC" w:rsidRPr="00687303">
        <w:t xml:space="preserve">We have not generated any revenues from </w:t>
      </w:r>
      <w:r w:rsidR="007F0E80">
        <w:t>product sales to date</w:t>
      </w:r>
      <w:r w:rsidR="00AD2EAC" w:rsidRPr="00687303">
        <w:t>.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w:t>
      </w:r>
      <w:r w:rsidR="007F0E80">
        <w:t xml:space="preserve"> </w:t>
      </w:r>
    </w:p>
    <w:p w14:paraId="5AE788C7" w14:textId="77777777" w:rsidR="00F41634" w:rsidRDefault="00F41634" w:rsidP="00177E79"/>
    <w:p w14:paraId="20330042" w14:textId="4D661747" w:rsidR="00AD2EAC" w:rsidRPr="00D00C59" w:rsidRDefault="00AD2EAC" w:rsidP="00177E79">
      <w:pPr>
        <w:rPr>
          <w:i/>
          <w:iCs/>
        </w:rPr>
      </w:pPr>
      <w:r w:rsidRPr="00D00C59">
        <w:rPr>
          <w:i/>
          <w:iCs/>
        </w:rPr>
        <w:t>Research and development expenses</w:t>
      </w:r>
    </w:p>
    <w:p w14:paraId="5C8D4106" w14:textId="77777777" w:rsidR="000C38A3" w:rsidRDefault="000C38A3" w:rsidP="00177E79"/>
    <w:p w14:paraId="449154D8" w14:textId="40871599" w:rsidR="0036720F" w:rsidRDefault="000C38A3" w:rsidP="0036720F">
      <w:r w:rsidRPr="000C38A3">
        <w:t xml:space="preserve">Since our inception, we have focused </w:t>
      </w:r>
      <w:r w:rsidR="00D57A25">
        <w:t xml:space="preserve">and we continue to focus </w:t>
      </w:r>
      <w:r w:rsidRPr="000C38A3">
        <w:t xml:space="preserve">significant resources on our research and development activities, </w:t>
      </w:r>
      <w:r w:rsidR="00D57A25">
        <w:t xml:space="preserve">including developing our </w:t>
      </w:r>
      <w:r w:rsidR="005570D6">
        <w:t xml:space="preserve">vector </w:t>
      </w:r>
      <w:r w:rsidR="00D57A25">
        <w:t xml:space="preserve">platform and analytical testing methods, </w:t>
      </w:r>
      <w:r w:rsidRPr="000C38A3">
        <w:t>conducting preclinical studies, developing</w:t>
      </w:r>
      <w:r w:rsidR="00D57A25">
        <w:t xml:space="preserve"> </w:t>
      </w:r>
      <w:r w:rsidRPr="000C38A3">
        <w:t>manufacturing process</w:t>
      </w:r>
      <w:r w:rsidR="00D57A25">
        <w:t>es, and conducting clinical trials</w:t>
      </w:r>
      <w:r w:rsidRPr="000C38A3">
        <w:t>. Research and development costs are expensed as incurred</w:t>
      </w:r>
      <w:r w:rsidR="004D4562">
        <w:t xml:space="preserve"> and </w:t>
      </w:r>
      <w:r w:rsidR="0036720F" w:rsidRPr="001F4209">
        <w:t>consist primarily of the following:</w:t>
      </w:r>
    </w:p>
    <w:p w14:paraId="217D2F0B" w14:textId="556B1B5B" w:rsidR="00FE5B3F" w:rsidRDefault="00FE5B3F" w:rsidP="00564078">
      <w:pPr>
        <w:pStyle w:val="ListParagraph"/>
        <w:numPr>
          <w:ilvl w:val="0"/>
          <w:numId w:val="12"/>
        </w:numPr>
        <w:ind w:left="360"/>
      </w:pPr>
      <w:r>
        <w:t>personnel costs in our research, development and regulatory functions</w:t>
      </w:r>
      <w:r w:rsidRPr="001F4209">
        <w:t xml:space="preserve">, which include salaries, benefits and stock-based </w:t>
      </w:r>
      <w:proofErr w:type="gramStart"/>
      <w:r w:rsidRPr="001F4209">
        <w:t>compensation</w:t>
      </w:r>
      <w:r w:rsidR="00564078">
        <w:t>;</w:t>
      </w:r>
      <w:proofErr w:type="gramEnd"/>
    </w:p>
    <w:p w14:paraId="5AAA570E" w14:textId="09054EC0" w:rsidR="00FE5B3F" w:rsidRDefault="00FE5B3F" w:rsidP="00564078">
      <w:pPr>
        <w:pStyle w:val="ListParagraph"/>
        <w:numPr>
          <w:ilvl w:val="0"/>
          <w:numId w:val="12"/>
        </w:numPr>
        <w:ind w:left="360"/>
      </w:pPr>
      <w:r w:rsidRPr="001F4209">
        <w:t xml:space="preserve">expenses incurred under agreements with contract research organizations (“CROs”), that conduct clinical trials on our </w:t>
      </w:r>
      <w:proofErr w:type="gramStart"/>
      <w:r w:rsidRPr="001F4209">
        <w:t>behalf</w:t>
      </w:r>
      <w:r w:rsidR="00564078">
        <w:t>;</w:t>
      </w:r>
      <w:proofErr w:type="gramEnd"/>
    </w:p>
    <w:p w14:paraId="05D6687E" w14:textId="2BAAC350" w:rsidR="00FE5B3F" w:rsidRDefault="00FE5B3F" w:rsidP="00564078">
      <w:pPr>
        <w:pStyle w:val="ListParagraph"/>
        <w:numPr>
          <w:ilvl w:val="0"/>
          <w:numId w:val="12"/>
        </w:numPr>
        <w:ind w:left="360"/>
      </w:pPr>
      <w:r w:rsidRPr="001F4209">
        <w:t xml:space="preserve">expenses incurred under agreements with contract manufacturing organizations (“CMOs”), that manufacture product used in the clinical </w:t>
      </w:r>
      <w:proofErr w:type="gramStart"/>
      <w:r w:rsidRPr="001F4209">
        <w:t>trials</w:t>
      </w:r>
      <w:r w:rsidR="00564078">
        <w:t>;</w:t>
      </w:r>
      <w:proofErr w:type="gramEnd"/>
    </w:p>
    <w:p w14:paraId="1EE6E540" w14:textId="5113AA4E" w:rsidR="00FE5B3F" w:rsidRDefault="00FE5B3F" w:rsidP="00564078">
      <w:pPr>
        <w:pStyle w:val="ListParagraph"/>
        <w:numPr>
          <w:ilvl w:val="0"/>
          <w:numId w:val="12"/>
        </w:numPr>
        <w:ind w:left="360"/>
      </w:pPr>
      <w:r w:rsidRPr="001F4209">
        <w:t xml:space="preserve">expenses incurred in procuring materials and for analytical and release testing services required to produce vaccine candidates used in clinical </w:t>
      </w:r>
      <w:proofErr w:type="gramStart"/>
      <w:r w:rsidRPr="001F4209">
        <w:t>trials</w:t>
      </w:r>
      <w:r w:rsidR="00564078">
        <w:t>;</w:t>
      </w:r>
      <w:proofErr w:type="gramEnd"/>
    </w:p>
    <w:p w14:paraId="78A41248" w14:textId="4216B047" w:rsidR="00FE5B3F" w:rsidRDefault="00FE5B3F" w:rsidP="00564078">
      <w:pPr>
        <w:pStyle w:val="ListParagraph"/>
        <w:numPr>
          <w:ilvl w:val="0"/>
          <w:numId w:val="12"/>
        </w:numPr>
        <w:ind w:left="360"/>
      </w:pPr>
      <w:r w:rsidRPr="001F4209">
        <w:t xml:space="preserve">process development expenses incurred internally and externally to improve the efficiency and yield of the bulk </w:t>
      </w:r>
      <w:proofErr w:type="gramStart"/>
      <w:r w:rsidRPr="001F4209">
        <w:t>vaccine;</w:t>
      </w:r>
      <w:proofErr w:type="gramEnd"/>
    </w:p>
    <w:p w14:paraId="43CB741A" w14:textId="617C4FDA" w:rsidR="00FE5B3F" w:rsidRDefault="00FE5B3F" w:rsidP="00564078">
      <w:pPr>
        <w:pStyle w:val="ListParagraph"/>
        <w:numPr>
          <w:ilvl w:val="0"/>
          <w:numId w:val="12"/>
        </w:numPr>
        <w:ind w:left="360"/>
      </w:pPr>
      <w:r w:rsidRPr="001F4209">
        <w:t>laboratory supplies</w:t>
      </w:r>
      <w:r>
        <w:t xml:space="preserve">, </w:t>
      </w:r>
      <w:r w:rsidRPr="001F4209">
        <w:t>vendor expenses</w:t>
      </w:r>
      <w:r>
        <w:t xml:space="preserve"> and other third-party contract expenses</w:t>
      </w:r>
      <w:r w:rsidRPr="001F4209">
        <w:t xml:space="preserve"> related to preclinical research </w:t>
      </w:r>
      <w:proofErr w:type="gramStart"/>
      <w:r w:rsidRPr="001F4209">
        <w:t>activities</w:t>
      </w:r>
      <w:r w:rsidR="00564078">
        <w:t>;</w:t>
      </w:r>
      <w:proofErr w:type="gramEnd"/>
    </w:p>
    <w:p w14:paraId="791049A4" w14:textId="1602E1E8" w:rsidR="0016138B" w:rsidRDefault="0016138B" w:rsidP="00564078">
      <w:pPr>
        <w:pStyle w:val="ListParagraph"/>
        <w:numPr>
          <w:ilvl w:val="0"/>
          <w:numId w:val="12"/>
        </w:numPr>
        <w:ind w:left="360"/>
      </w:pPr>
      <w:r>
        <w:t xml:space="preserve">technology license </w:t>
      </w:r>
      <w:proofErr w:type="gramStart"/>
      <w:r>
        <w:t>fees;</w:t>
      </w:r>
      <w:proofErr w:type="gramEnd"/>
    </w:p>
    <w:p w14:paraId="671762A1" w14:textId="364D62DD" w:rsidR="00FE5B3F" w:rsidRDefault="00FE5B3F" w:rsidP="00564078">
      <w:pPr>
        <w:pStyle w:val="ListParagraph"/>
        <w:numPr>
          <w:ilvl w:val="0"/>
          <w:numId w:val="12"/>
        </w:numPr>
        <w:ind w:left="360"/>
      </w:pPr>
      <w:r w:rsidRPr="001F4209">
        <w:t>consultant expenses for services supporting our clinical, regulatory and manufacturing activities; and</w:t>
      </w:r>
    </w:p>
    <w:p w14:paraId="51D69100" w14:textId="1AD0C77F" w:rsidR="00FE5B3F" w:rsidRDefault="00FE5B3F" w:rsidP="00564078">
      <w:pPr>
        <w:pStyle w:val="ListParagraph"/>
        <w:numPr>
          <w:ilvl w:val="0"/>
          <w:numId w:val="12"/>
        </w:numPr>
        <w:ind w:left="360"/>
      </w:pPr>
      <w:r w:rsidRPr="001F4209">
        <w:t xml:space="preserve">facilities, depreciation and </w:t>
      </w:r>
      <w:r>
        <w:t>other general</w:t>
      </w:r>
      <w:r w:rsidRPr="001F4209">
        <w:t xml:space="preserve"> overhead expenses</w:t>
      </w:r>
      <w:r w:rsidR="00564078">
        <w:t>.</w:t>
      </w:r>
    </w:p>
    <w:p w14:paraId="30EEB3A4" w14:textId="77777777" w:rsidR="00FE5B3F" w:rsidRDefault="00FE5B3F" w:rsidP="0036720F"/>
    <w:p w14:paraId="587EAE3A" w14:textId="630058DD" w:rsidR="000C38A3" w:rsidRDefault="00564078" w:rsidP="000C38A3">
      <w:r>
        <w:t>We track our external</w:t>
      </w:r>
      <w:r w:rsidR="000C38A3" w:rsidRPr="000C38A3">
        <w:t xml:space="preserve"> research and development costs on a program-by-program basis. We do not track our internal research and development expenses on a program-by-program basis as they primarily relate to shared costs deployed across multiple projects under development.</w:t>
      </w:r>
    </w:p>
    <w:p w14:paraId="3CFD4FDE" w14:textId="77777777" w:rsidR="0036720F" w:rsidRPr="000C38A3" w:rsidRDefault="0036720F" w:rsidP="000C38A3"/>
    <w:p w14:paraId="0EEEBDD7" w14:textId="2B23CAA4" w:rsidR="000C38A3" w:rsidRDefault="005F3175" w:rsidP="000C38A3">
      <w:r w:rsidRPr="0009354D">
        <w:t>Our research and development expenses can fluctuate considerably on a period-to-period basis</w:t>
      </w:r>
      <w:r w:rsidR="00BC27AA">
        <w:t xml:space="preserve">. </w:t>
      </w:r>
      <w:r w:rsidR="000C38A3" w:rsidRPr="000C38A3">
        <w:t>We expect our research and development expenses to increase substantially in the future as we advance our existing and future product candidates into and through clinical trials and pursue regulatory approval. The process of conducting the necessary clinical studies to obtain regulatory approval is costly and time-consuming. Clinical trials generally become larger and more costly to conduct as they advance into later stages.</w:t>
      </w:r>
    </w:p>
    <w:p w14:paraId="27DE58DD" w14:textId="77777777" w:rsidR="0036720F" w:rsidRPr="000C38A3" w:rsidRDefault="0036720F" w:rsidP="000C38A3"/>
    <w:p w14:paraId="0058F0DA" w14:textId="42004166" w:rsidR="00AD2EAC" w:rsidRDefault="000C38A3" w:rsidP="00177E79">
      <w:r w:rsidRPr="000C38A3">
        <w:t>At this time, we cannot reasonably estimate or know the nature, timing and estimated costs of the efforts that will be necessary to complete the development of any product candidates that we develop from our programs. We are also unable to predict when, if ever, material net cash inflows will commence from sales of product candidates we develop, if at all. This is due to the numerous risks and uncertainties associated with developing product candidates</w:t>
      </w:r>
      <w:r w:rsidR="0036720F">
        <w:t>.</w:t>
      </w:r>
    </w:p>
    <w:p w14:paraId="37B0D61B" w14:textId="77777777" w:rsidR="00AD2EAC" w:rsidRDefault="00AD2EAC" w:rsidP="00177E79"/>
    <w:p w14:paraId="1A76CE54" w14:textId="3DACB629" w:rsidR="00AD2EAC" w:rsidRPr="00D00C59" w:rsidRDefault="00AD2EAC" w:rsidP="00177E79">
      <w:pPr>
        <w:rPr>
          <w:i/>
          <w:iCs/>
        </w:rPr>
      </w:pPr>
      <w:r w:rsidRPr="00D00C59">
        <w:rPr>
          <w:i/>
          <w:iCs/>
        </w:rPr>
        <w:t>General and administrative e</w:t>
      </w:r>
      <w:r w:rsidR="000C38A3" w:rsidRPr="00D00C59">
        <w:rPr>
          <w:i/>
          <w:iCs/>
        </w:rPr>
        <w:t>x</w:t>
      </w:r>
      <w:r w:rsidRPr="00D00C59">
        <w:rPr>
          <w:i/>
          <w:iCs/>
        </w:rPr>
        <w:t>penses</w:t>
      </w:r>
    </w:p>
    <w:p w14:paraId="0C6D2B88" w14:textId="16128BF9" w:rsidR="00AD2EAC" w:rsidRDefault="00AD2EAC" w:rsidP="00177E79"/>
    <w:p w14:paraId="464708B9" w14:textId="07A14146" w:rsidR="00AD2EAC" w:rsidRDefault="000C38A3" w:rsidP="00177E79">
      <w:r w:rsidRPr="000C38A3">
        <w:t>Our general and administrative expenses consist primarily of personnel costs in our executive, finance and investor relations, business development and administrative functions</w:t>
      </w:r>
      <w:r w:rsidR="00D00C59">
        <w:t>, including stock-based compensation</w:t>
      </w:r>
      <w:r w:rsidRPr="000C38A3">
        <w:t>. Other general and administrative expenses include consulting fees</w:t>
      </w:r>
      <w:r w:rsidR="00D00C59">
        <w:t xml:space="preserve">, </w:t>
      </w:r>
      <w:r w:rsidRPr="000C38A3">
        <w:t xml:space="preserve">professional service fees for </w:t>
      </w:r>
      <w:r w:rsidR="00BE5EE1">
        <w:t>accounting and</w:t>
      </w:r>
      <w:r w:rsidRPr="000C38A3">
        <w:t xml:space="preserve"> legal services, lease expenses related to our offices, </w:t>
      </w:r>
      <w:r w:rsidR="00D00C59">
        <w:t xml:space="preserve">insurance </w:t>
      </w:r>
      <w:r w:rsidRPr="000C38A3">
        <w:t>premiums, intellectual property costs incurred in connection with filing and prosecuting patent applications, depreciation and other costs. We expect our general and administrative expenses to continue to increase in the future as we expand our operating activities and prepare for potential commercialization of our current and future product candidates, increase our headcount and investor relations activities and maintain compliance with requirements of Nasdaq and the Securities and Exchange Commission.</w:t>
      </w:r>
    </w:p>
    <w:p w14:paraId="49ABE958" w14:textId="77777777" w:rsidR="00A87862" w:rsidRDefault="00A87862" w:rsidP="00177E79"/>
    <w:p w14:paraId="1636DA1B" w14:textId="77777777" w:rsidR="00AD2EAC" w:rsidRPr="00D00C59" w:rsidRDefault="00AD2EAC" w:rsidP="00AD2EAC">
      <w:pPr>
        <w:rPr>
          <w:rFonts w:eastAsia="????"/>
          <w:bCs/>
          <w:i/>
          <w:iCs/>
        </w:rPr>
      </w:pPr>
      <w:r w:rsidRPr="00D00C59">
        <w:rPr>
          <w:rFonts w:eastAsia="????"/>
          <w:bCs/>
          <w:i/>
          <w:iCs/>
        </w:rPr>
        <w:t>Critical Accounting Policies and Estimates</w:t>
      </w:r>
    </w:p>
    <w:p w14:paraId="515A0DFB" w14:textId="77777777" w:rsidR="00AD2EAC" w:rsidRPr="0009354D" w:rsidRDefault="00AD2EAC" w:rsidP="00AD2EAC"/>
    <w:p w14:paraId="06D73DAA" w14:textId="08B62C72" w:rsidR="00AD2EAC" w:rsidRPr="0009354D" w:rsidRDefault="00AD2EAC" w:rsidP="00AD2EAC">
      <w:r w:rsidRPr="0009354D">
        <w:t xml:space="preserve">This discussion and analysis of our financial condition and results of operations is based on our </w:t>
      </w:r>
      <w:r w:rsidR="004F6810">
        <w:t xml:space="preserve">condensed </w:t>
      </w:r>
      <w:r w:rsidRPr="0009354D">
        <w:t>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0A655051" w14:textId="77777777" w:rsidR="00AD2EAC" w:rsidRPr="0009354D" w:rsidRDefault="00AD2EAC" w:rsidP="00AD2EAC"/>
    <w:p w14:paraId="6BC6F7AF" w14:textId="77777777" w:rsidR="00AD2EAC" w:rsidRPr="0009354D" w:rsidRDefault="00AD2EAC" w:rsidP="00AD2EAC">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to Item 7 in Management’s Discussion and Analysis of Financial Condition and Results of Operations and Note 2 to our Consolidated Financial Statements contained in our Annual Report on Form 10-K for the year ended December 31, 202</w:t>
      </w:r>
      <w:r>
        <w:t>1</w:t>
      </w:r>
      <w:r w:rsidRPr="0009354D">
        <w:t>. There have been no significant changes to our critical accounting policies from those disclosed in our 202</w:t>
      </w:r>
      <w:r>
        <w:t>1</w:t>
      </w:r>
      <w:r w:rsidRPr="0009354D">
        <w:t xml:space="preserve"> Annual Report.</w:t>
      </w:r>
    </w:p>
    <w:p w14:paraId="4B18E09F" w14:textId="77777777" w:rsidR="00AD2EAC" w:rsidRPr="0009354D" w:rsidRDefault="00AD2EAC" w:rsidP="00AD2EAC">
      <w:pPr>
        <w:rPr>
          <w:rFonts w:eastAsia="????"/>
          <w:b/>
        </w:rPr>
      </w:pPr>
    </w:p>
    <w:p w14:paraId="146E0AE8" w14:textId="0AED52DF" w:rsidR="00AD2EAC" w:rsidRPr="0009354D" w:rsidRDefault="00AD2EAC" w:rsidP="00AD2EAC">
      <w:pPr>
        <w:rPr>
          <w:rFonts w:eastAsia="????"/>
          <w:b/>
        </w:rPr>
      </w:pPr>
      <w:r w:rsidRPr="0009354D">
        <w:rPr>
          <w:rFonts w:eastAsia="????"/>
        </w:rPr>
        <w:t>Information regarding recent accounting pronouncements is contained in Note</w:t>
      </w:r>
      <w:r>
        <w:rPr>
          <w:rFonts w:eastAsia="????"/>
        </w:rPr>
        <w:t xml:space="preserve"> 2</w:t>
      </w:r>
      <w:r w:rsidRPr="0009354D">
        <w:rPr>
          <w:rFonts w:eastAsia="????"/>
        </w:rPr>
        <w:t xml:space="preserve"> to the </w:t>
      </w:r>
      <w:bookmarkStart w:id="25" w:name="_Hlk108708228"/>
      <w:r w:rsidRPr="0009354D">
        <w:rPr>
          <w:rFonts w:eastAsia="????"/>
        </w:rPr>
        <w:t>condensed consolidated financial statements, included in this Quarterly Report</w:t>
      </w:r>
      <w:bookmarkEnd w:id="25"/>
      <w:r w:rsidRPr="0009354D">
        <w:rPr>
          <w:rFonts w:eastAsia="????"/>
        </w:rPr>
        <w:t>.</w:t>
      </w:r>
    </w:p>
    <w:p w14:paraId="56FE6470" w14:textId="3356EDC7" w:rsidR="00AD2EAC" w:rsidRDefault="00AD2EAC" w:rsidP="00177E79"/>
    <w:p w14:paraId="36D17C89" w14:textId="77777777" w:rsidR="0016138B" w:rsidRPr="00A87862" w:rsidRDefault="0016138B" w:rsidP="0016138B">
      <w:pPr>
        <w:rPr>
          <w:bCs/>
          <w:i/>
        </w:rPr>
      </w:pPr>
      <w:r w:rsidRPr="00A87862">
        <w:rPr>
          <w:bCs/>
          <w:i/>
        </w:rPr>
        <w:t>Off-Balance Sheet Arrangements</w:t>
      </w:r>
    </w:p>
    <w:p w14:paraId="1DA3624C" w14:textId="77777777" w:rsidR="0016138B" w:rsidRPr="00640BA0" w:rsidRDefault="0016138B" w:rsidP="0016138B"/>
    <w:p w14:paraId="1FFEBEE0" w14:textId="77777777" w:rsidR="0016138B" w:rsidRDefault="0016138B" w:rsidP="0016138B">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26F77DAF" w14:textId="77777777" w:rsidR="0016138B" w:rsidRDefault="0016138B" w:rsidP="00177E79"/>
    <w:p w14:paraId="1FE83587" w14:textId="77777777" w:rsidR="00177E79" w:rsidRPr="0009354D" w:rsidRDefault="00177E79" w:rsidP="00177E79">
      <w:pPr>
        <w:rPr>
          <w:rFonts w:eastAsia="????"/>
          <w:b/>
        </w:rPr>
      </w:pPr>
      <w:r w:rsidRPr="0009354D">
        <w:rPr>
          <w:rFonts w:eastAsia="????"/>
          <w:b/>
        </w:rPr>
        <w:t>Results of Operations</w:t>
      </w:r>
    </w:p>
    <w:p w14:paraId="2A5A41A7" w14:textId="77777777" w:rsidR="00177E79" w:rsidRPr="0009354D" w:rsidRDefault="00177E79" w:rsidP="00177E79">
      <w:pPr>
        <w:rPr>
          <w:i/>
          <w:iCs/>
        </w:rPr>
      </w:pPr>
    </w:p>
    <w:p w14:paraId="6BC9744A" w14:textId="1D193135" w:rsidR="006539B0" w:rsidRPr="0009354D" w:rsidRDefault="006539B0" w:rsidP="006539B0">
      <w:pPr>
        <w:tabs>
          <w:tab w:val="left" w:pos="1080"/>
          <w:tab w:val="left" w:pos="1260"/>
          <w:tab w:val="left" w:pos="2340"/>
          <w:tab w:val="right" w:pos="9180"/>
        </w:tabs>
        <w:ind w:right="36"/>
        <w:rPr>
          <w:bCs/>
        </w:rPr>
      </w:pPr>
      <w:r w:rsidRPr="0009354D">
        <w:rPr>
          <w:bCs/>
        </w:rPr>
        <w:t xml:space="preserve">The following tables summarize our results of operations for the </w:t>
      </w:r>
      <w:bookmarkStart w:id="26" w:name="_Hlk108530487"/>
      <w:r w:rsidRPr="0009354D">
        <w:rPr>
          <w:bCs/>
        </w:rPr>
        <w:t xml:space="preserve">three-month and six-month periods ended June 30, </w:t>
      </w:r>
      <w:proofErr w:type="gramStart"/>
      <w:r w:rsidRPr="0009354D">
        <w:rPr>
          <w:bCs/>
        </w:rPr>
        <w:t>202</w:t>
      </w:r>
      <w:r>
        <w:rPr>
          <w:bCs/>
        </w:rPr>
        <w:t>2</w:t>
      </w:r>
      <w:proofErr w:type="gramEnd"/>
      <w:r w:rsidRPr="0009354D">
        <w:rPr>
          <w:bCs/>
        </w:rPr>
        <w:t xml:space="preserve"> and 202</w:t>
      </w:r>
      <w:r>
        <w:rPr>
          <w:bCs/>
        </w:rPr>
        <w:t>1</w:t>
      </w:r>
      <w:bookmarkEnd w:id="26"/>
      <w:r w:rsidRPr="0009354D">
        <w:rPr>
          <w:bCs/>
        </w:rPr>
        <w:t>:</w:t>
      </w:r>
    </w:p>
    <w:tbl>
      <w:tblPr>
        <w:tblW w:w="9288" w:type="dxa"/>
        <w:tblLayout w:type="fixed"/>
        <w:tblLook w:val="01E0" w:firstRow="1" w:lastRow="1" w:firstColumn="1" w:lastColumn="1" w:noHBand="0" w:noVBand="0"/>
      </w:tblPr>
      <w:tblGrid>
        <w:gridCol w:w="378"/>
        <w:gridCol w:w="450"/>
        <w:gridCol w:w="450"/>
        <w:gridCol w:w="2160"/>
        <w:gridCol w:w="1440"/>
        <w:gridCol w:w="1440"/>
        <w:gridCol w:w="1440"/>
        <w:gridCol w:w="1530"/>
      </w:tblGrid>
      <w:tr w:rsidR="006539B0" w:rsidRPr="0009354D" w14:paraId="12E948F9" w14:textId="77777777" w:rsidTr="00DA1002">
        <w:tc>
          <w:tcPr>
            <w:tcW w:w="378" w:type="dxa"/>
          </w:tcPr>
          <w:p w14:paraId="2A7F1F37" w14:textId="77777777" w:rsidR="006539B0" w:rsidRPr="0009354D" w:rsidRDefault="006539B0" w:rsidP="00DA1002">
            <w:pPr>
              <w:ind w:right="-360"/>
            </w:pPr>
          </w:p>
        </w:tc>
        <w:tc>
          <w:tcPr>
            <w:tcW w:w="450" w:type="dxa"/>
          </w:tcPr>
          <w:p w14:paraId="69DD3CD9" w14:textId="77777777" w:rsidR="006539B0" w:rsidRPr="0009354D" w:rsidRDefault="006539B0" w:rsidP="00DA1002">
            <w:pPr>
              <w:ind w:right="-360"/>
            </w:pPr>
          </w:p>
        </w:tc>
        <w:tc>
          <w:tcPr>
            <w:tcW w:w="450" w:type="dxa"/>
          </w:tcPr>
          <w:p w14:paraId="67742FB0" w14:textId="77777777" w:rsidR="006539B0" w:rsidRPr="0009354D" w:rsidRDefault="006539B0" w:rsidP="00DA1002">
            <w:pPr>
              <w:ind w:right="-360"/>
            </w:pPr>
          </w:p>
        </w:tc>
        <w:tc>
          <w:tcPr>
            <w:tcW w:w="2160" w:type="dxa"/>
          </w:tcPr>
          <w:p w14:paraId="6F56717D" w14:textId="77777777" w:rsidR="006539B0" w:rsidRPr="0009354D" w:rsidRDefault="006539B0" w:rsidP="00DA1002">
            <w:pPr>
              <w:tabs>
                <w:tab w:val="right" w:pos="9180"/>
              </w:tabs>
              <w:ind w:right="-360"/>
            </w:pPr>
          </w:p>
        </w:tc>
        <w:tc>
          <w:tcPr>
            <w:tcW w:w="1440" w:type="dxa"/>
          </w:tcPr>
          <w:p w14:paraId="624CC098" w14:textId="77777777" w:rsidR="006539B0" w:rsidRPr="0009354D" w:rsidRDefault="006539B0" w:rsidP="00DA1002">
            <w:pPr>
              <w:tabs>
                <w:tab w:val="right" w:pos="9180"/>
              </w:tabs>
              <w:ind w:right="-46"/>
              <w:jc w:val="center"/>
            </w:pPr>
          </w:p>
        </w:tc>
        <w:tc>
          <w:tcPr>
            <w:tcW w:w="2880" w:type="dxa"/>
            <w:gridSpan w:val="2"/>
            <w:tcBorders>
              <w:bottom w:val="single" w:sz="4" w:space="0" w:color="auto"/>
            </w:tcBorders>
          </w:tcPr>
          <w:p w14:paraId="35856E8C" w14:textId="77777777" w:rsidR="006539B0" w:rsidRPr="0009354D" w:rsidRDefault="006539B0" w:rsidP="00DA1002">
            <w:pPr>
              <w:tabs>
                <w:tab w:val="right" w:pos="9180"/>
              </w:tabs>
              <w:ind w:right="-18"/>
              <w:jc w:val="center"/>
            </w:pPr>
            <w:r w:rsidRPr="0009354D">
              <w:t>Three Months Ended June 30,</w:t>
            </w:r>
          </w:p>
        </w:tc>
        <w:tc>
          <w:tcPr>
            <w:tcW w:w="1530" w:type="dxa"/>
          </w:tcPr>
          <w:p w14:paraId="5AEEB6D7" w14:textId="77777777" w:rsidR="006539B0" w:rsidRPr="0009354D" w:rsidRDefault="006539B0" w:rsidP="00DA1002">
            <w:pPr>
              <w:tabs>
                <w:tab w:val="right" w:pos="9180"/>
              </w:tabs>
              <w:ind w:right="-18"/>
              <w:jc w:val="center"/>
            </w:pPr>
          </w:p>
        </w:tc>
      </w:tr>
      <w:tr w:rsidR="006539B0" w:rsidRPr="0009354D" w14:paraId="0E1D34A1" w14:textId="77777777" w:rsidTr="00DA1002">
        <w:tc>
          <w:tcPr>
            <w:tcW w:w="378" w:type="dxa"/>
          </w:tcPr>
          <w:p w14:paraId="1AA13D65" w14:textId="77777777" w:rsidR="006539B0" w:rsidRPr="0009354D" w:rsidRDefault="006539B0" w:rsidP="00DA1002">
            <w:pPr>
              <w:ind w:right="-360"/>
            </w:pPr>
          </w:p>
        </w:tc>
        <w:tc>
          <w:tcPr>
            <w:tcW w:w="450" w:type="dxa"/>
          </w:tcPr>
          <w:p w14:paraId="36BD035D" w14:textId="77777777" w:rsidR="006539B0" w:rsidRPr="0009354D" w:rsidRDefault="006539B0" w:rsidP="00DA1002">
            <w:pPr>
              <w:ind w:right="-360"/>
            </w:pPr>
          </w:p>
        </w:tc>
        <w:tc>
          <w:tcPr>
            <w:tcW w:w="450" w:type="dxa"/>
          </w:tcPr>
          <w:p w14:paraId="0C36DF0E" w14:textId="77777777" w:rsidR="006539B0" w:rsidRPr="0009354D" w:rsidRDefault="006539B0" w:rsidP="00DA1002">
            <w:pPr>
              <w:ind w:right="-360"/>
            </w:pPr>
          </w:p>
        </w:tc>
        <w:tc>
          <w:tcPr>
            <w:tcW w:w="2160" w:type="dxa"/>
          </w:tcPr>
          <w:p w14:paraId="3017CE84" w14:textId="77777777" w:rsidR="006539B0" w:rsidRPr="0009354D" w:rsidRDefault="006539B0" w:rsidP="00DA1002">
            <w:pPr>
              <w:tabs>
                <w:tab w:val="right" w:pos="9180"/>
              </w:tabs>
              <w:ind w:right="-360"/>
            </w:pPr>
          </w:p>
        </w:tc>
        <w:tc>
          <w:tcPr>
            <w:tcW w:w="1440" w:type="dxa"/>
          </w:tcPr>
          <w:p w14:paraId="1C5A5ACC" w14:textId="77777777" w:rsidR="006539B0" w:rsidRPr="0009354D" w:rsidRDefault="006539B0" w:rsidP="00DA1002">
            <w:pPr>
              <w:tabs>
                <w:tab w:val="right" w:pos="9180"/>
              </w:tabs>
              <w:ind w:right="-46"/>
              <w:jc w:val="center"/>
            </w:pPr>
          </w:p>
        </w:tc>
        <w:tc>
          <w:tcPr>
            <w:tcW w:w="1440" w:type="dxa"/>
            <w:tcBorders>
              <w:bottom w:val="single" w:sz="4" w:space="0" w:color="auto"/>
            </w:tcBorders>
          </w:tcPr>
          <w:p w14:paraId="515A0A77" w14:textId="3A3012D4" w:rsidR="006539B0" w:rsidRPr="0009354D" w:rsidRDefault="006539B0" w:rsidP="00DA1002">
            <w:pPr>
              <w:tabs>
                <w:tab w:val="right" w:pos="9180"/>
              </w:tabs>
              <w:ind w:right="-46"/>
              <w:jc w:val="center"/>
            </w:pPr>
            <w:r w:rsidRPr="0009354D">
              <w:t>202</w:t>
            </w:r>
            <w:r w:rsidR="00045778">
              <w:t>2</w:t>
            </w:r>
          </w:p>
        </w:tc>
        <w:tc>
          <w:tcPr>
            <w:tcW w:w="1440" w:type="dxa"/>
            <w:tcBorders>
              <w:bottom w:val="single" w:sz="4" w:space="0" w:color="auto"/>
            </w:tcBorders>
          </w:tcPr>
          <w:p w14:paraId="06506694" w14:textId="03791EA9" w:rsidR="006539B0" w:rsidRPr="0009354D" w:rsidRDefault="006539B0" w:rsidP="00DA1002">
            <w:pPr>
              <w:tabs>
                <w:tab w:val="right" w:pos="9180"/>
              </w:tabs>
              <w:ind w:right="-18"/>
              <w:jc w:val="center"/>
            </w:pPr>
            <w:r w:rsidRPr="0009354D">
              <w:t>202</w:t>
            </w:r>
            <w:r>
              <w:t>1</w:t>
            </w:r>
          </w:p>
        </w:tc>
        <w:tc>
          <w:tcPr>
            <w:tcW w:w="1530" w:type="dxa"/>
            <w:tcBorders>
              <w:bottom w:val="single" w:sz="4" w:space="0" w:color="auto"/>
            </w:tcBorders>
          </w:tcPr>
          <w:p w14:paraId="557BEC18" w14:textId="77777777" w:rsidR="006539B0" w:rsidRPr="0009354D" w:rsidRDefault="006539B0" w:rsidP="00DA1002">
            <w:pPr>
              <w:tabs>
                <w:tab w:val="right" w:pos="9180"/>
              </w:tabs>
              <w:ind w:right="-18"/>
              <w:jc w:val="center"/>
            </w:pPr>
            <w:r w:rsidRPr="0009354D">
              <w:t>Change</w:t>
            </w:r>
          </w:p>
        </w:tc>
      </w:tr>
      <w:tr w:rsidR="006539B0" w:rsidRPr="0009354D" w14:paraId="585C90CC" w14:textId="77777777" w:rsidTr="00DA1002">
        <w:tc>
          <w:tcPr>
            <w:tcW w:w="3438" w:type="dxa"/>
            <w:gridSpan w:val="4"/>
          </w:tcPr>
          <w:p w14:paraId="1178CB26" w14:textId="013768BB" w:rsidR="006539B0" w:rsidRPr="0009354D" w:rsidRDefault="006539B0" w:rsidP="00DA1002">
            <w:pPr>
              <w:tabs>
                <w:tab w:val="right" w:pos="9180"/>
              </w:tabs>
              <w:ind w:right="-360"/>
            </w:pPr>
            <w:r w:rsidRPr="0009354D">
              <w:t>Grant revenue</w:t>
            </w:r>
          </w:p>
        </w:tc>
        <w:tc>
          <w:tcPr>
            <w:tcW w:w="1440" w:type="dxa"/>
          </w:tcPr>
          <w:p w14:paraId="62162F4B" w14:textId="77777777" w:rsidR="006539B0" w:rsidRPr="0009354D" w:rsidRDefault="006539B0" w:rsidP="00DA1002">
            <w:pPr>
              <w:tabs>
                <w:tab w:val="decimal" w:pos="1062"/>
                <w:tab w:val="right" w:pos="9180"/>
              </w:tabs>
              <w:ind w:right="-46"/>
            </w:pPr>
          </w:p>
        </w:tc>
        <w:tc>
          <w:tcPr>
            <w:tcW w:w="1440" w:type="dxa"/>
            <w:tcBorders>
              <w:top w:val="single" w:sz="4" w:space="0" w:color="auto"/>
            </w:tcBorders>
          </w:tcPr>
          <w:p w14:paraId="08213CD2" w14:textId="61B24838" w:rsidR="006539B0" w:rsidRPr="0009354D" w:rsidRDefault="006539B0" w:rsidP="00DA1002">
            <w:pPr>
              <w:tabs>
                <w:tab w:val="decimal" w:pos="1062"/>
                <w:tab w:val="right" w:pos="9180"/>
              </w:tabs>
              <w:ind w:right="-46"/>
            </w:pPr>
            <w:r w:rsidRPr="0009354D">
              <w:t>$</w:t>
            </w:r>
            <w:r w:rsidRPr="0009354D">
              <w:tab/>
            </w:r>
            <w:r w:rsidR="00045778">
              <w:t>-</w:t>
            </w:r>
          </w:p>
        </w:tc>
        <w:tc>
          <w:tcPr>
            <w:tcW w:w="1440" w:type="dxa"/>
          </w:tcPr>
          <w:p w14:paraId="7E26FF54" w14:textId="7C257702" w:rsidR="006539B0" w:rsidRPr="0009354D" w:rsidRDefault="006539B0" w:rsidP="00DA1002">
            <w:pPr>
              <w:tabs>
                <w:tab w:val="decimal" w:pos="1062"/>
                <w:tab w:val="right" w:pos="9180"/>
              </w:tabs>
              <w:ind w:right="-18"/>
            </w:pPr>
            <w:r w:rsidRPr="0009354D">
              <w:t>$</w:t>
            </w:r>
            <w:r w:rsidRPr="0009354D">
              <w:tab/>
            </w:r>
            <w:r>
              <w:t>79,708</w:t>
            </w:r>
          </w:p>
        </w:tc>
        <w:tc>
          <w:tcPr>
            <w:tcW w:w="1530" w:type="dxa"/>
          </w:tcPr>
          <w:p w14:paraId="391E3ED0" w14:textId="6A0B5E6E" w:rsidR="006539B0" w:rsidRPr="0009354D" w:rsidRDefault="006539B0" w:rsidP="00DA1002">
            <w:pPr>
              <w:tabs>
                <w:tab w:val="decimal" w:pos="1152"/>
                <w:tab w:val="right" w:pos="9180"/>
              </w:tabs>
              <w:ind w:right="-18"/>
            </w:pPr>
            <w:r w:rsidRPr="0009354D">
              <w:t>$</w:t>
            </w:r>
            <w:r w:rsidRPr="0009354D">
              <w:tab/>
            </w:r>
            <w:r w:rsidR="00045778">
              <w:t>(79,708)</w:t>
            </w:r>
          </w:p>
        </w:tc>
      </w:tr>
      <w:tr w:rsidR="006539B0" w:rsidRPr="0009354D" w14:paraId="1FC5B0A1" w14:textId="77777777" w:rsidTr="00DA1002">
        <w:tc>
          <w:tcPr>
            <w:tcW w:w="3438" w:type="dxa"/>
            <w:gridSpan w:val="4"/>
          </w:tcPr>
          <w:p w14:paraId="722BB6C7" w14:textId="77777777" w:rsidR="006539B0" w:rsidRPr="0009354D" w:rsidRDefault="006539B0" w:rsidP="00DA1002">
            <w:pPr>
              <w:tabs>
                <w:tab w:val="right" w:pos="9180"/>
              </w:tabs>
              <w:ind w:right="-360"/>
            </w:pPr>
            <w:r w:rsidRPr="0009354D">
              <w:t>Operating expenses:</w:t>
            </w:r>
          </w:p>
        </w:tc>
        <w:tc>
          <w:tcPr>
            <w:tcW w:w="1440" w:type="dxa"/>
          </w:tcPr>
          <w:p w14:paraId="120FD3E0" w14:textId="77777777" w:rsidR="006539B0" w:rsidRPr="0009354D" w:rsidRDefault="006539B0" w:rsidP="00DA1002">
            <w:pPr>
              <w:tabs>
                <w:tab w:val="right" w:pos="9180"/>
              </w:tabs>
              <w:ind w:right="-46"/>
            </w:pPr>
          </w:p>
        </w:tc>
        <w:tc>
          <w:tcPr>
            <w:tcW w:w="1440" w:type="dxa"/>
          </w:tcPr>
          <w:p w14:paraId="043FFB4A" w14:textId="77777777" w:rsidR="006539B0" w:rsidRPr="0009354D" w:rsidRDefault="006539B0" w:rsidP="00DA1002">
            <w:pPr>
              <w:tabs>
                <w:tab w:val="right" w:pos="9180"/>
              </w:tabs>
              <w:ind w:right="-46"/>
            </w:pPr>
          </w:p>
        </w:tc>
        <w:tc>
          <w:tcPr>
            <w:tcW w:w="1440" w:type="dxa"/>
          </w:tcPr>
          <w:p w14:paraId="2598013A" w14:textId="77777777" w:rsidR="006539B0" w:rsidRPr="0009354D" w:rsidRDefault="006539B0" w:rsidP="00DA1002">
            <w:pPr>
              <w:tabs>
                <w:tab w:val="right" w:pos="9180"/>
              </w:tabs>
              <w:ind w:right="-18"/>
            </w:pPr>
          </w:p>
        </w:tc>
        <w:tc>
          <w:tcPr>
            <w:tcW w:w="1530" w:type="dxa"/>
          </w:tcPr>
          <w:p w14:paraId="5373E283" w14:textId="77777777" w:rsidR="006539B0" w:rsidRPr="0009354D" w:rsidRDefault="006539B0" w:rsidP="00DA1002">
            <w:pPr>
              <w:tabs>
                <w:tab w:val="right" w:pos="9180"/>
              </w:tabs>
              <w:ind w:right="-18"/>
            </w:pPr>
          </w:p>
        </w:tc>
      </w:tr>
      <w:tr w:rsidR="006539B0" w:rsidRPr="0009354D" w14:paraId="327C9484" w14:textId="77777777" w:rsidTr="00DA1002">
        <w:tc>
          <w:tcPr>
            <w:tcW w:w="378" w:type="dxa"/>
          </w:tcPr>
          <w:p w14:paraId="7E15DFAF" w14:textId="77777777" w:rsidR="006539B0" w:rsidRPr="0009354D" w:rsidRDefault="006539B0" w:rsidP="00DA1002">
            <w:pPr>
              <w:ind w:right="-360"/>
            </w:pPr>
          </w:p>
        </w:tc>
        <w:tc>
          <w:tcPr>
            <w:tcW w:w="3060" w:type="dxa"/>
            <w:gridSpan w:val="3"/>
          </w:tcPr>
          <w:p w14:paraId="28333C8E" w14:textId="77777777" w:rsidR="006539B0" w:rsidRPr="0009354D" w:rsidRDefault="006539B0" w:rsidP="00DA1002">
            <w:pPr>
              <w:tabs>
                <w:tab w:val="right" w:pos="9180"/>
              </w:tabs>
              <w:ind w:right="-360"/>
            </w:pPr>
            <w:r w:rsidRPr="0009354D">
              <w:t>Research and development</w:t>
            </w:r>
          </w:p>
        </w:tc>
        <w:tc>
          <w:tcPr>
            <w:tcW w:w="1440" w:type="dxa"/>
          </w:tcPr>
          <w:p w14:paraId="50A6D05A" w14:textId="77777777" w:rsidR="006539B0" w:rsidRPr="0009354D" w:rsidRDefault="006539B0" w:rsidP="00DA1002">
            <w:pPr>
              <w:tabs>
                <w:tab w:val="decimal" w:pos="1062"/>
                <w:tab w:val="right" w:pos="9180"/>
              </w:tabs>
              <w:ind w:right="-46"/>
            </w:pPr>
          </w:p>
        </w:tc>
        <w:tc>
          <w:tcPr>
            <w:tcW w:w="1440" w:type="dxa"/>
          </w:tcPr>
          <w:p w14:paraId="2A93F273" w14:textId="1E7601C3" w:rsidR="006539B0" w:rsidRPr="0009354D" w:rsidRDefault="006539B0" w:rsidP="00DA1002">
            <w:pPr>
              <w:tabs>
                <w:tab w:val="decimal" w:pos="1062"/>
                <w:tab w:val="right" w:pos="9180"/>
              </w:tabs>
              <w:ind w:right="-46"/>
            </w:pPr>
            <w:r w:rsidRPr="0009354D">
              <w:tab/>
            </w:r>
            <w:r w:rsidR="00045778">
              <w:t>1,</w:t>
            </w:r>
            <w:r w:rsidR="0071637B">
              <w:t>307,177</w:t>
            </w:r>
          </w:p>
        </w:tc>
        <w:tc>
          <w:tcPr>
            <w:tcW w:w="1440" w:type="dxa"/>
          </w:tcPr>
          <w:p w14:paraId="08C8F2E2" w14:textId="69219F5F" w:rsidR="006539B0" w:rsidRPr="0009354D" w:rsidRDefault="006539B0" w:rsidP="00DA1002">
            <w:pPr>
              <w:tabs>
                <w:tab w:val="decimal" w:pos="1062"/>
                <w:tab w:val="right" w:pos="9180"/>
              </w:tabs>
              <w:ind w:right="-18"/>
            </w:pPr>
            <w:r w:rsidRPr="0009354D">
              <w:tab/>
            </w:r>
            <w:r>
              <w:t>832,835</w:t>
            </w:r>
          </w:p>
        </w:tc>
        <w:tc>
          <w:tcPr>
            <w:tcW w:w="1530" w:type="dxa"/>
          </w:tcPr>
          <w:p w14:paraId="201A780F" w14:textId="6084D32A" w:rsidR="006539B0" w:rsidRPr="0009354D" w:rsidRDefault="006539B0" w:rsidP="00DA1002">
            <w:pPr>
              <w:tabs>
                <w:tab w:val="decimal" w:pos="1152"/>
                <w:tab w:val="right" w:pos="9180"/>
              </w:tabs>
              <w:ind w:right="-18"/>
            </w:pPr>
            <w:r w:rsidRPr="0009354D">
              <w:tab/>
            </w:r>
            <w:r w:rsidR="00045778">
              <w:t>4</w:t>
            </w:r>
            <w:r w:rsidR="0071637B">
              <w:t>74,342</w:t>
            </w:r>
          </w:p>
        </w:tc>
      </w:tr>
      <w:tr w:rsidR="006539B0" w:rsidRPr="0009354D" w14:paraId="66FE035F" w14:textId="77777777" w:rsidTr="00DA1002">
        <w:tc>
          <w:tcPr>
            <w:tcW w:w="378" w:type="dxa"/>
          </w:tcPr>
          <w:p w14:paraId="705A6737" w14:textId="77777777" w:rsidR="006539B0" w:rsidRPr="0009354D" w:rsidRDefault="006539B0" w:rsidP="00DA1002">
            <w:pPr>
              <w:ind w:right="-360"/>
            </w:pPr>
          </w:p>
        </w:tc>
        <w:tc>
          <w:tcPr>
            <w:tcW w:w="3060" w:type="dxa"/>
            <w:gridSpan w:val="3"/>
          </w:tcPr>
          <w:p w14:paraId="57368BF6" w14:textId="77777777" w:rsidR="006539B0" w:rsidRPr="0009354D" w:rsidRDefault="006539B0" w:rsidP="00DA1002">
            <w:pPr>
              <w:tabs>
                <w:tab w:val="right" w:pos="9180"/>
              </w:tabs>
              <w:ind w:right="-360"/>
            </w:pPr>
            <w:r w:rsidRPr="0009354D">
              <w:t>General and administrative</w:t>
            </w:r>
          </w:p>
        </w:tc>
        <w:tc>
          <w:tcPr>
            <w:tcW w:w="1440" w:type="dxa"/>
          </w:tcPr>
          <w:p w14:paraId="62A43442" w14:textId="77777777" w:rsidR="006539B0" w:rsidRPr="0009354D" w:rsidRDefault="006539B0" w:rsidP="00DA1002">
            <w:pPr>
              <w:tabs>
                <w:tab w:val="decimal" w:pos="1062"/>
                <w:tab w:val="right" w:pos="9180"/>
              </w:tabs>
              <w:ind w:right="-46"/>
            </w:pPr>
          </w:p>
        </w:tc>
        <w:tc>
          <w:tcPr>
            <w:tcW w:w="1440" w:type="dxa"/>
          </w:tcPr>
          <w:p w14:paraId="5075A44A" w14:textId="3CC2BFC8" w:rsidR="006539B0" w:rsidRPr="0009354D" w:rsidRDefault="006539B0" w:rsidP="00DA1002">
            <w:pPr>
              <w:tabs>
                <w:tab w:val="decimal" w:pos="1062"/>
                <w:tab w:val="right" w:pos="9180"/>
              </w:tabs>
              <w:ind w:right="-46"/>
            </w:pPr>
            <w:r w:rsidRPr="0009354D">
              <w:tab/>
            </w:r>
            <w:r w:rsidR="00045778">
              <w:t>935,311</w:t>
            </w:r>
          </w:p>
        </w:tc>
        <w:tc>
          <w:tcPr>
            <w:tcW w:w="1440" w:type="dxa"/>
          </w:tcPr>
          <w:p w14:paraId="4C2C7C54" w14:textId="6A0C3CB6" w:rsidR="006539B0" w:rsidRPr="0009354D" w:rsidRDefault="006539B0" w:rsidP="00DA1002">
            <w:pPr>
              <w:tabs>
                <w:tab w:val="decimal" w:pos="1062"/>
                <w:tab w:val="right" w:pos="9180"/>
              </w:tabs>
              <w:ind w:right="-18"/>
            </w:pPr>
            <w:r w:rsidRPr="0009354D">
              <w:tab/>
            </w:r>
            <w:r>
              <w:t>733,499</w:t>
            </w:r>
          </w:p>
        </w:tc>
        <w:tc>
          <w:tcPr>
            <w:tcW w:w="1530" w:type="dxa"/>
          </w:tcPr>
          <w:p w14:paraId="61AA8D5D" w14:textId="4A2621A6" w:rsidR="006539B0" w:rsidRPr="0009354D" w:rsidRDefault="006539B0" w:rsidP="00DA1002">
            <w:pPr>
              <w:tabs>
                <w:tab w:val="decimal" w:pos="1152"/>
                <w:tab w:val="right" w:pos="9180"/>
              </w:tabs>
              <w:ind w:right="-18"/>
            </w:pPr>
            <w:r w:rsidRPr="0009354D">
              <w:tab/>
            </w:r>
            <w:r w:rsidR="00045778">
              <w:t>201,812</w:t>
            </w:r>
          </w:p>
        </w:tc>
      </w:tr>
      <w:tr w:rsidR="006539B0" w:rsidRPr="0009354D" w14:paraId="48B2CB6A" w14:textId="77777777" w:rsidTr="00DA1002">
        <w:tc>
          <w:tcPr>
            <w:tcW w:w="3438" w:type="dxa"/>
            <w:gridSpan w:val="4"/>
          </w:tcPr>
          <w:p w14:paraId="39D44481" w14:textId="77777777" w:rsidR="006539B0" w:rsidRPr="0009354D" w:rsidRDefault="006539B0" w:rsidP="00DA1002">
            <w:pPr>
              <w:tabs>
                <w:tab w:val="right" w:pos="9180"/>
              </w:tabs>
              <w:ind w:right="-360"/>
            </w:pPr>
            <w:r w:rsidRPr="0009354D">
              <w:t>Total operating expenses</w:t>
            </w:r>
          </w:p>
        </w:tc>
        <w:tc>
          <w:tcPr>
            <w:tcW w:w="1440" w:type="dxa"/>
          </w:tcPr>
          <w:p w14:paraId="1F54DF68" w14:textId="77777777" w:rsidR="006539B0" w:rsidRPr="0009354D" w:rsidRDefault="006539B0" w:rsidP="00DA1002">
            <w:pPr>
              <w:tabs>
                <w:tab w:val="decimal" w:pos="1062"/>
                <w:tab w:val="right" w:pos="9180"/>
              </w:tabs>
              <w:ind w:right="-46"/>
            </w:pPr>
          </w:p>
        </w:tc>
        <w:tc>
          <w:tcPr>
            <w:tcW w:w="1440" w:type="dxa"/>
            <w:tcBorders>
              <w:top w:val="single" w:sz="4" w:space="0" w:color="auto"/>
              <w:bottom w:val="single" w:sz="4" w:space="0" w:color="auto"/>
            </w:tcBorders>
          </w:tcPr>
          <w:p w14:paraId="160B6AC1" w14:textId="1781D363" w:rsidR="006539B0" w:rsidRPr="0009354D" w:rsidRDefault="006539B0" w:rsidP="00DA1002">
            <w:pPr>
              <w:tabs>
                <w:tab w:val="decimal" w:pos="1062"/>
                <w:tab w:val="right" w:pos="9180"/>
              </w:tabs>
              <w:ind w:right="-46"/>
            </w:pPr>
            <w:r w:rsidRPr="0009354D">
              <w:tab/>
            </w:r>
            <w:r w:rsidR="00045778">
              <w:t>2,</w:t>
            </w:r>
            <w:r w:rsidR="0071637B">
              <w:t>242,488</w:t>
            </w:r>
          </w:p>
        </w:tc>
        <w:tc>
          <w:tcPr>
            <w:tcW w:w="1440" w:type="dxa"/>
            <w:tcBorders>
              <w:top w:val="single" w:sz="4" w:space="0" w:color="auto"/>
              <w:bottom w:val="single" w:sz="4" w:space="0" w:color="auto"/>
            </w:tcBorders>
          </w:tcPr>
          <w:p w14:paraId="4F0B3D03" w14:textId="4AD80C2F" w:rsidR="006539B0" w:rsidRPr="0009354D" w:rsidRDefault="006539B0" w:rsidP="00DA1002">
            <w:pPr>
              <w:tabs>
                <w:tab w:val="decimal" w:pos="1062"/>
                <w:tab w:val="right" w:pos="9180"/>
              </w:tabs>
              <w:ind w:right="-18"/>
            </w:pPr>
            <w:r w:rsidRPr="0009354D">
              <w:tab/>
            </w:r>
            <w:r>
              <w:t>1,566,334</w:t>
            </w:r>
          </w:p>
        </w:tc>
        <w:tc>
          <w:tcPr>
            <w:tcW w:w="1530" w:type="dxa"/>
            <w:tcBorders>
              <w:top w:val="single" w:sz="4" w:space="0" w:color="auto"/>
              <w:bottom w:val="single" w:sz="4" w:space="0" w:color="auto"/>
            </w:tcBorders>
          </w:tcPr>
          <w:p w14:paraId="7D308031" w14:textId="5A2D504D" w:rsidR="006539B0" w:rsidRPr="0009354D" w:rsidRDefault="006539B0" w:rsidP="00DA1002">
            <w:pPr>
              <w:tabs>
                <w:tab w:val="decimal" w:pos="1152"/>
                <w:tab w:val="right" w:pos="9180"/>
              </w:tabs>
              <w:ind w:right="-18"/>
            </w:pPr>
            <w:r w:rsidRPr="0009354D">
              <w:tab/>
            </w:r>
            <w:r w:rsidR="0071637B">
              <w:t>676,154</w:t>
            </w:r>
          </w:p>
        </w:tc>
      </w:tr>
      <w:tr w:rsidR="006539B0" w:rsidRPr="0009354D" w14:paraId="1C18194E" w14:textId="77777777" w:rsidTr="00DA1002">
        <w:tc>
          <w:tcPr>
            <w:tcW w:w="3438" w:type="dxa"/>
            <w:gridSpan w:val="4"/>
          </w:tcPr>
          <w:p w14:paraId="0E3285D7" w14:textId="77777777" w:rsidR="006539B0" w:rsidRPr="0009354D" w:rsidRDefault="006539B0" w:rsidP="00DA1002">
            <w:pPr>
              <w:tabs>
                <w:tab w:val="right" w:pos="9180"/>
              </w:tabs>
              <w:ind w:right="-360"/>
            </w:pPr>
            <w:r w:rsidRPr="0009354D">
              <w:t>Loss from operations</w:t>
            </w:r>
          </w:p>
        </w:tc>
        <w:tc>
          <w:tcPr>
            <w:tcW w:w="1440" w:type="dxa"/>
          </w:tcPr>
          <w:p w14:paraId="434544E6" w14:textId="77777777" w:rsidR="006539B0" w:rsidRPr="0009354D" w:rsidRDefault="006539B0" w:rsidP="00DA1002">
            <w:pPr>
              <w:tabs>
                <w:tab w:val="decimal" w:pos="1062"/>
                <w:tab w:val="right" w:pos="9180"/>
              </w:tabs>
              <w:ind w:right="-46"/>
            </w:pPr>
          </w:p>
        </w:tc>
        <w:tc>
          <w:tcPr>
            <w:tcW w:w="1440" w:type="dxa"/>
          </w:tcPr>
          <w:p w14:paraId="53710372" w14:textId="1B9DB4B2" w:rsidR="006539B0" w:rsidRPr="0009354D" w:rsidRDefault="006539B0" w:rsidP="00DA1002">
            <w:pPr>
              <w:tabs>
                <w:tab w:val="decimal" w:pos="1062"/>
                <w:tab w:val="right" w:pos="9180"/>
              </w:tabs>
              <w:ind w:right="-46"/>
            </w:pPr>
            <w:r w:rsidRPr="0009354D">
              <w:tab/>
              <w:t>(</w:t>
            </w:r>
            <w:r w:rsidR="00045778">
              <w:t>2,</w:t>
            </w:r>
            <w:r w:rsidR="0071637B">
              <w:t>242,488</w:t>
            </w:r>
            <w:r w:rsidRPr="0009354D">
              <w:t>)</w:t>
            </w:r>
          </w:p>
        </w:tc>
        <w:tc>
          <w:tcPr>
            <w:tcW w:w="1440" w:type="dxa"/>
          </w:tcPr>
          <w:p w14:paraId="319E08BA" w14:textId="3BF8403C" w:rsidR="006539B0" w:rsidRPr="0009354D" w:rsidRDefault="006539B0" w:rsidP="00DA1002">
            <w:pPr>
              <w:tabs>
                <w:tab w:val="decimal" w:pos="1044"/>
                <w:tab w:val="right" w:pos="9180"/>
              </w:tabs>
              <w:ind w:right="-18"/>
            </w:pPr>
            <w:r w:rsidRPr="0009354D">
              <w:tab/>
              <w:t>(</w:t>
            </w:r>
            <w:r>
              <w:t>1,486,626</w:t>
            </w:r>
            <w:r w:rsidRPr="0009354D">
              <w:t>)</w:t>
            </w:r>
          </w:p>
        </w:tc>
        <w:tc>
          <w:tcPr>
            <w:tcW w:w="1530" w:type="dxa"/>
          </w:tcPr>
          <w:p w14:paraId="16C19905" w14:textId="2E4489DD" w:rsidR="006539B0" w:rsidRPr="0009354D" w:rsidRDefault="006539B0" w:rsidP="00DA1002">
            <w:pPr>
              <w:tabs>
                <w:tab w:val="decimal" w:pos="1152"/>
                <w:tab w:val="right" w:pos="9180"/>
              </w:tabs>
              <w:ind w:right="-18"/>
            </w:pPr>
            <w:r w:rsidRPr="0009354D">
              <w:tab/>
            </w:r>
            <w:r w:rsidR="00045778">
              <w:t>(</w:t>
            </w:r>
            <w:r w:rsidR="00D82F3E">
              <w:t>7</w:t>
            </w:r>
            <w:r w:rsidR="0071637B">
              <w:t>55,862</w:t>
            </w:r>
            <w:r w:rsidR="00045778">
              <w:t>)</w:t>
            </w:r>
          </w:p>
        </w:tc>
      </w:tr>
      <w:tr w:rsidR="006539B0" w:rsidRPr="0009354D" w14:paraId="274BEA60" w14:textId="77777777" w:rsidTr="00DA1002">
        <w:tc>
          <w:tcPr>
            <w:tcW w:w="3438" w:type="dxa"/>
            <w:gridSpan w:val="4"/>
          </w:tcPr>
          <w:p w14:paraId="638F798F" w14:textId="35EBDC84" w:rsidR="006539B0" w:rsidRPr="0009354D" w:rsidRDefault="006539B0" w:rsidP="00DA1002">
            <w:pPr>
              <w:tabs>
                <w:tab w:val="right" w:pos="9180"/>
              </w:tabs>
              <w:ind w:right="-360"/>
            </w:pPr>
            <w:r w:rsidRPr="0009354D">
              <w:t>Total other income (expense)</w:t>
            </w:r>
            <w:r w:rsidR="00045778">
              <w:t>, net</w:t>
            </w:r>
          </w:p>
        </w:tc>
        <w:tc>
          <w:tcPr>
            <w:tcW w:w="1440" w:type="dxa"/>
          </w:tcPr>
          <w:p w14:paraId="123753F2" w14:textId="77777777" w:rsidR="006539B0" w:rsidRPr="0009354D" w:rsidRDefault="006539B0" w:rsidP="00DA1002">
            <w:pPr>
              <w:tabs>
                <w:tab w:val="decimal" w:pos="1062"/>
                <w:tab w:val="right" w:pos="9180"/>
              </w:tabs>
              <w:ind w:right="-46"/>
            </w:pPr>
          </w:p>
        </w:tc>
        <w:tc>
          <w:tcPr>
            <w:tcW w:w="1440" w:type="dxa"/>
            <w:tcBorders>
              <w:bottom w:val="single" w:sz="4" w:space="0" w:color="auto"/>
            </w:tcBorders>
          </w:tcPr>
          <w:p w14:paraId="6F9C1B17" w14:textId="30AE7812" w:rsidR="006539B0" w:rsidRPr="0009354D" w:rsidRDefault="006539B0" w:rsidP="00DA1002">
            <w:pPr>
              <w:tabs>
                <w:tab w:val="decimal" w:pos="1062"/>
                <w:tab w:val="right" w:pos="9180"/>
              </w:tabs>
              <w:ind w:right="-46"/>
            </w:pPr>
            <w:r w:rsidRPr="0009354D">
              <w:tab/>
            </w:r>
            <w:r w:rsidR="00045778">
              <w:t>789</w:t>
            </w:r>
          </w:p>
        </w:tc>
        <w:tc>
          <w:tcPr>
            <w:tcW w:w="1440" w:type="dxa"/>
            <w:tcBorders>
              <w:bottom w:val="single" w:sz="4" w:space="0" w:color="auto"/>
            </w:tcBorders>
          </w:tcPr>
          <w:p w14:paraId="52C839B1" w14:textId="5BD950DF" w:rsidR="006539B0" w:rsidRPr="0009354D" w:rsidRDefault="006539B0" w:rsidP="00DA1002">
            <w:pPr>
              <w:tabs>
                <w:tab w:val="decimal" w:pos="1062"/>
                <w:tab w:val="right" w:pos="9180"/>
              </w:tabs>
              <w:ind w:right="-18"/>
            </w:pPr>
            <w:r w:rsidRPr="0009354D">
              <w:tab/>
            </w:r>
            <w:r>
              <w:t>172,593</w:t>
            </w:r>
          </w:p>
        </w:tc>
        <w:tc>
          <w:tcPr>
            <w:tcW w:w="1530" w:type="dxa"/>
            <w:tcBorders>
              <w:bottom w:val="single" w:sz="4" w:space="0" w:color="auto"/>
            </w:tcBorders>
          </w:tcPr>
          <w:p w14:paraId="665A0A59" w14:textId="5ABF6305" w:rsidR="006539B0" w:rsidRPr="0009354D" w:rsidRDefault="006539B0" w:rsidP="00DA1002">
            <w:pPr>
              <w:tabs>
                <w:tab w:val="decimal" w:pos="1152"/>
                <w:tab w:val="right" w:pos="9180"/>
              </w:tabs>
              <w:ind w:right="-18"/>
            </w:pPr>
            <w:r w:rsidRPr="0009354D">
              <w:tab/>
            </w:r>
            <w:r w:rsidR="00E1248A">
              <w:t>(171,804)</w:t>
            </w:r>
          </w:p>
        </w:tc>
      </w:tr>
      <w:tr w:rsidR="006539B0" w:rsidRPr="0009354D" w14:paraId="174F2A53" w14:textId="77777777" w:rsidTr="00DA1002">
        <w:tc>
          <w:tcPr>
            <w:tcW w:w="3438" w:type="dxa"/>
            <w:gridSpan w:val="4"/>
          </w:tcPr>
          <w:p w14:paraId="266B29E3" w14:textId="77777777" w:rsidR="006539B0" w:rsidRPr="0009354D" w:rsidRDefault="006539B0" w:rsidP="00DA1002">
            <w:pPr>
              <w:tabs>
                <w:tab w:val="right" w:pos="9180"/>
              </w:tabs>
              <w:ind w:right="-360"/>
            </w:pPr>
            <w:r w:rsidRPr="0009354D">
              <w:t>Net loss</w:t>
            </w:r>
          </w:p>
        </w:tc>
        <w:tc>
          <w:tcPr>
            <w:tcW w:w="1440" w:type="dxa"/>
          </w:tcPr>
          <w:p w14:paraId="7832A81A" w14:textId="77777777" w:rsidR="006539B0" w:rsidRPr="0009354D" w:rsidRDefault="006539B0" w:rsidP="00DA1002">
            <w:pPr>
              <w:tabs>
                <w:tab w:val="decimal" w:pos="1062"/>
                <w:tab w:val="right" w:pos="9180"/>
              </w:tabs>
              <w:ind w:right="-46"/>
            </w:pPr>
          </w:p>
        </w:tc>
        <w:tc>
          <w:tcPr>
            <w:tcW w:w="1440" w:type="dxa"/>
            <w:tcBorders>
              <w:bottom w:val="double" w:sz="4" w:space="0" w:color="auto"/>
            </w:tcBorders>
          </w:tcPr>
          <w:p w14:paraId="4A67E7F4" w14:textId="4FBC46B9" w:rsidR="006539B0" w:rsidRPr="0009354D" w:rsidRDefault="006539B0" w:rsidP="00DA1002">
            <w:pPr>
              <w:tabs>
                <w:tab w:val="decimal" w:pos="1062"/>
                <w:tab w:val="right" w:pos="9180"/>
              </w:tabs>
              <w:ind w:right="-46"/>
            </w:pPr>
            <w:r w:rsidRPr="0009354D">
              <w:t>$</w:t>
            </w:r>
            <w:r w:rsidRPr="0009354D">
              <w:tab/>
              <w:t>(</w:t>
            </w:r>
            <w:r w:rsidR="00045778">
              <w:t>2,</w:t>
            </w:r>
            <w:r w:rsidR="0071637B">
              <w:t>241,699</w:t>
            </w:r>
            <w:r w:rsidRPr="0009354D">
              <w:t>)</w:t>
            </w:r>
          </w:p>
        </w:tc>
        <w:tc>
          <w:tcPr>
            <w:tcW w:w="1440" w:type="dxa"/>
            <w:tcBorders>
              <w:top w:val="single" w:sz="4" w:space="0" w:color="auto"/>
              <w:bottom w:val="double" w:sz="4" w:space="0" w:color="auto"/>
            </w:tcBorders>
          </w:tcPr>
          <w:p w14:paraId="0F3A54E2" w14:textId="09FED6A1" w:rsidR="006539B0" w:rsidRPr="0009354D" w:rsidRDefault="006539B0" w:rsidP="00DA1002">
            <w:pPr>
              <w:tabs>
                <w:tab w:val="decimal" w:pos="1044"/>
                <w:tab w:val="right" w:pos="9180"/>
              </w:tabs>
              <w:ind w:right="-18"/>
            </w:pPr>
            <w:r w:rsidRPr="0009354D">
              <w:t>$</w:t>
            </w:r>
            <w:r w:rsidRPr="0009354D">
              <w:tab/>
              <w:t>(</w:t>
            </w:r>
            <w:r>
              <w:t>1,314,033</w:t>
            </w:r>
            <w:r w:rsidRPr="0009354D">
              <w:t>)</w:t>
            </w:r>
          </w:p>
        </w:tc>
        <w:tc>
          <w:tcPr>
            <w:tcW w:w="1530" w:type="dxa"/>
            <w:tcBorders>
              <w:top w:val="single" w:sz="4" w:space="0" w:color="auto"/>
              <w:bottom w:val="double" w:sz="4" w:space="0" w:color="auto"/>
            </w:tcBorders>
          </w:tcPr>
          <w:p w14:paraId="4BD72264" w14:textId="655D7FD3" w:rsidR="006539B0" w:rsidRPr="0009354D" w:rsidRDefault="006539B0" w:rsidP="00DA1002">
            <w:pPr>
              <w:tabs>
                <w:tab w:val="decimal" w:pos="1152"/>
                <w:tab w:val="right" w:pos="9180"/>
              </w:tabs>
              <w:ind w:right="-18"/>
            </w:pPr>
            <w:r w:rsidRPr="0009354D">
              <w:t>$</w:t>
            </w:r>
            <w:r w:rsidRPr="0009354D">
              <w:tab/>
            </w:r>
            <w:r w:rsidR="00E1248A">
              <w:t>(</w:t>
            </w:r>
            <w:r w:rsidR="0071637B">
              <w:t>927,666</w:t>
            </w:r>
            <w:r w:rsidR="00E1248A">
              <w:t>)</w:t>
            </w:r>
          </w:p>
        </w:tc>
      </w:tr>
    </w:tbl>
    <w:p w14:paraId="53177D61" w14:textId="77777777" w:rsidR="006539B0" w:rsidRPr="0009354D" w:rsidRDefault="006539B0" w:rsidP="006539B0">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440"/>
        <w:gridCol w:w="1440"/>
        <w:gridCol w:w="1440"/>
        <w:gridCol w:w="1530"/>
      </w:tblGrid>
      <w:tr w:rsidR="006539B0" w:rsidRPr="0009354D" w14:paraId="6C831496" w14:textId="77777777" w:rsidTr="00DA1002">
        <w:tc>
          <w:tcPr>
            <w:tcW w:w="378" w:type="dxa"/>
          </w:tcPr>
          <w:p w14:paraId="4731DA2A" w14:textId="77777777" w:rsidR="006539B0" w:rsidRPr="0009354D" w:rsidRDefault="006539B0" w:rsidP="00DA1002">
            <w:pPr>
              <w:ind w:right="-360"/>
            </w:pPr>
            <w:bookmarkStart w:id="27" w:name="_Hlk77171462"/>
            <w:bookmarkStart w:id="28" w:name="_Hlk77088476"/>
          </w:p>
        </w:tc>
        <w:tc>
          <w:tcPr>
            <w:tcW w:w="450" w:type="dxa"/>
          </w:tcPr>
          <w:p w14:paraId="5E8B549F" w14:textId="77777777" w:rsidR="006539B0" w:rsidRPr="0009354D" w:rsidRDefault="006539B0" w:rsidP="00DA1002">
            <w:pPr>
              <w:ind w:right="-360"/>
            </w:pPr>
          </w:p>
        </w:tc>
        <w:tc>
          <w:tcPr>
            <w:tcW w:w="450" w:type="dxa"/>
          </w:tcPr>
          <w:p w14:paraId="223A5006" w14:textId="77777777" w:rsidR="006539B0" w:rsidRPr="0009354D" w:rsidRDefault="006539B0" w:rsidP="00DA1002">
            <w:pPr>
              <w:ind w:right="-360"/>
            </w:pPr>
          </w:p>
        </w:tc>
        <w:tc>
          <w:tcPr>
            <w:tcW w:w="2160" w:type="dxa"/>
          </w:tcPr>
          <w:p w14:paraId="321CBE1D" w14:textId="77777777" w:rsidR="006539B0" w:rsidRPr="0009354D" w:rsidRDefault="006539B0" w:rsidP="00DA1002">
            <w:pPr>
              <w:tabs>
                <w:tab w:val="right" w:pos="9180"/>
              </w:tabs>
              <w:ind w:right="-360"/>
            </w:pPr>
          </w:p>
        </w:tc>
        <w:tc>
          <w:tcPr>
            <w:tcW w:w="1440" w:type="dxa"/>
          </w:tcPr>
          <w:p w14:paraId="13B62066" w14:textId="77777777" w:rsidR="006539B0" w:rsidRPr="0009354D" w:rsidRDefault="006539B0" w:rsidP="00DA1002">
            <w:pPr>
              <w:tabs>
                <w:tab w:val="right" w:pos="9180"/>
              </w:tabs>
              <w:ind w:right="-46"/>
              <w:jc w:val="center"/>
            </w:pPr>
          </w:p>
        </w:tc>
        <w:tc>
          <w:tcPr>
            <w:tcW w:w="2880" w:type="dxa"/>
            <w:gridSpan w:val="2"/>
            <w:tcBorders>
              <w:bottom w:val="single" w:sz="4" w:space="0" w:color="auto"/>
            </w:tcBorders>
          </w:tcPr>
          <w:p w14:paraId="4D05B5EE" w14:textId="77777777" w:rsidR="006539B0" w:rsidRPr="0009354D" w:rsidRDefault="006539B0" w:rsidP="00DA1002">
            <w:pPr>
              <w:tabs>
                <w:tab w:val="right" w:pos="9180"/>
              </w:tabs>
              <w:ind w:right="-18"/>
              <w:jc w:val="center"/>
            </w:pPr>
            <w:r w:rsidRPr="0009354D">
              <w:t>Six Months Ended June 30,</w:t>
            </w:r>
          </w:p>
        </w:tc>
        <w:tc>
          <w:tcPr>
            <w:tcW w:w="1530" w:type="dxa"/>
          </w:tcPr>
          <w:p w14:paraId="6F21533C" w14:textId="77777777" w:rsidR="006539B0" w:rsidRPr="0009354D" w:rsidRDefault="006539B0" w:rsidP="00DA1002">
            <w:pPr>
              <w:tabs>
                <w:tab w:val="right" w:pos="9180"/>
              </w:tabs>
              <w:ind w:right="-18"/>
              <w:jc w:val="center"/>
            </w:pPr>
          </w:p>
        </w:tc>
      </w:tr>
      <w:bookmarkEnd w:id="27"/>
      <w:tr w:rsidR="006539B0" w:rsidRPr="0009354D" w14:paraId="783BE6A3" w14:textId="77777777" w:rsidTr="00DA1002">
        <w:tc>
          <w:tcPr>
            <w:tcW w:w="378" w:type="dxa"/>
          </w:tcPr>
          <w:p w14:paraId="7BB9BEFE" w14:textId="77777777" w:rsidR="006539B0" w:rsidRPr="0009354D" w:rsidRDefault="006539B0" w:rsidP="00DA1002">
            <w:pPr>
              <w:ind w:right="-360"/>
            </w:pPr>
          </w:p>
        </w:tc>
        <w:tc>
          <w:tcPr>
            <w:tcW w:w="450" w:type="dxa"/>
          </w:tcPr>
          <w:p w14:paraId="1FE103E5" w14:textId="77777777" w:rsidR="006539B0" w:rsidRPr="0009354D" w:rsidRDefault="006539B0" w:rsidP="00DA1002">
            <w:pPr>
              <w:ind w:right="-360"/>
            </w:pPr>
          </w:p>
        </w:tc>
        <w:tc>
          <w:tcPr>
            <w:tcW w:w="450" w:type="dxa"/>
          </w:tcPr>
          <w:p w14:paraId="165F3825" w14:textId="77777777" w:rsidR="006539B0" w:rsidRPr="0009354D" w:rsidRDefault="006539B0" w:rsidP="00DA1002">
            <w:pPr>
              <w:ind w:right="-360"/>
            </w:pPr>
          </w:p>
        </w:tc>
        <w:tc>
          <w:tcPr>
            <w:tcW w:w="2160" w:type="dxa"/>
          </w:tcPr>
          <w:p w14:paraId="5DF98FA6" w14:textId="77777777" w:rsidR="006539B0" w:rsidRPr="0009354D" w:rsidRDefault="006539B0" w:rsidP="00DA1002">
            <w:pPr>
              <w:tabs>
                <w:tab w:val="right" w:pos="9180"/>
              </w:tabs>
              <w:ind w:right="-360"/>
            </w:pPr>
          </w:p>
        </w:tc>
        <w:tc>
          <w:tcPr>
            <w:tcW w:w="1440" w:type="dxa"/>
          </w:tcPr>
          <w:p w14:paraId="4A08B396" w14:textId="77777777" w:rsidR="006539B0" w:rsidRPr="0009354D" w:rsidRDefault="006539B0" w:rsidP="00DA1002">
            <w:pPr>
              <w:tabs>
                <w:tab w:val="right" w:pos="9180"/>
              </w:tabs>
              <w:ind w:right="-46"/>
              <w:jc w:val="center"/>
            </w:pPr>
          </w:p>
        </w:tc>
        <w:tc>
          <w:tcPr>
            <w:tcW w:w="1440" w:type="dxa"/>
            <w:tcBorders>
              <w:bottom w:val="single" w:sz="4" w:space="0" w:color="auto"/>
            </w:tcBorders>
          </w:tcPr>
          <w:p w14:paraId="4ADE6AFE" w14:textId="25B58B34" w:rsidR="006539B0" w:rsidRPr="0009354D" w:rsidRDefault="006539B0" w:rsidP="00DA1002">
            <w:pPr>
              <w:tabs>
                <w:tab w:val="right" w:pos="9180"/>
              </w:tabs>
              <w:ind w:right="-46"/>
              <w:jc w:val="center"/>
            </w:pPr>
            <w:r w:rsidRPr="0009354D">
              <w:t>202</w:t>
            </w:r>
            <w:r w:rsidR="00045778">
              <w:t>2</w:t>
            </w:r>
          </w:p>
        </w:tc>
        <w:tc>
          <w:tcPr>
            <w:tcW w:w="1440" w:type="dxa"/>
            <w:tcBorders>
              <w:bottom w:val="single" w:sz="4" w:space="0" w:color="auto"/>
            </w:tcBorders>
          </w:tcPr>
          <w:p w14:paraId="51BB6285" w14:textId="28CC3166" w:rsidR="006539B0" w:rsidRPr="0009354D" w:rsidRDefault="006539B0" w:rsidP="00DA1002">
            <w:pPr>
              <w:tabs>
                <w:tab w:val="right" w:pos="9180"/>
              </w:tabs>
              <w:ind w:right="-18"/>
              <w:jc w:val="center"/>
            </w:pPr>
            <w:r w:rsidRPr="0009354D">
              <w:t>202</w:t>
            </w:r>
            <w:r>
              <w:t>1</w:t>
            </w:r>
          </w:p>
        </w:tc>
        <w:tc>
          <w:tcPr>
            <w:tcW w:w="1530" w:type="dxa"/>
            <w:tcBorders>
              <w:bottom w:val="single" w:sz="4" w:space="0" w:color="auto"/>
            </w:tcBorders>
          </w:tcPr>
          <w:p w14:paraId="1CBF76C3" w14:textId="77777777" w:rsidR="006539B0" w:rsidRPr="0009354D" w:rsidRDefault="006539B0" w:rsidP="00DA1002">
            <w:pPr>
              <w:tabs>
                <w:tab w:val="right" w:pos="9180"/>
              </w:tabs>
              <w:ind w:right="-18"/>
              <w:jc w:val="center"/>
            </w:pPr>
            <w:r w:rsidRPr="0009354D">
              <w:t>Change</w:t>
            </w:r>
          </w:p>
        </w:tc>
      </w:tr>
      <w:tr w:rsidR="006539B0" w:rsidRPr="0009354D" w14:paraId="62C4548A" w14:textId="77777777" w:rsidTr="00DA1002">
        <w:tc>
          <w:tcPr>
            <w:tcW w:w="3438" w:type="dxa"/>
            <w:gridSpan w:val="4"/>
          </w:tcPr>
          <w:p w14:paraId="2D0BE637" w14:textId="511CB24A" w:rsidR="006539B0" w:rsidRPr="0009354D" w:rsidRDefault="006539B0" w:rsidP="00DA1002">
            <w:pPr>
              <w:tabs>
                <w:tab w:val="right" w:pos="9180"/>
              </w:tabs>
              <w:ind w:right="-360"/>
            </w:pPr>
            <w:r w:rsidRPr="0009354D">
              <w:t>Grant revenue</w:t>
            </w:r>
          </w:p>
        </w:tc>
        <w:tc>
          <w:tcPr>
            <w:tcW w:w="1440" w:type="dxa"/>
          </w:tcPr>
          <w:p w14:paraId="3C8B8E25" w14:textId="77777777" w:rsidR="006539B0" w:rsidRPr="0009354D" w:rsidRDefault="006539B0" w:rsidP="00DA1002">
            <w:pPr>
              <w:tabs>
                <w:tab w:val="decimal" w:pos="1062"/>
                <w:tab w:val="right" w:pos="9180"/>
              </w:tabs>
              <w:ind w:right="-46"/>
            </w:pPr>
          </w:p>
        </w:tc>
        <w:tc>
          <w:tcPr>
            <w:tcW w:w="1440" w:type="dxa"/>
            <w:tcBorders>
              <w:top w:val="single" w:sz="4" w:space="0" w:color="auto"/>
            </w:tcBorders>
          </w:tcPr>
          <w:p w14:paraId="50D8E3D4" w14:textId="598BC975" w:rsidR="006539B0" w:rsidRPr="0009354D" w:rsidRDefault="006539B0" w:rsidP="00DA1002">
            <w:pPr>
              <w:tabs>
                <w:tab w:val="decimal" w:pos="1062"/>
                <w:tab w:val="right" w:pos="9180"/>
              </w:tabs>
              <w:ind w:right="-46"/>
            </w:pPr>
            <w:r w:rsidRPr="0009354D">
              <w:t>$</w:t>
            </w:r>
            <w:r w:rsidRPr="0009354D">
              <w:tab/>
            </w:r>
            <w:r w:rsidR="00045778">
              <w:t>81,526</w:t>
            </w:r>
          </w:p>
        </w:tc>
        <w:tc>
          <w:tcPr>
            <w:tcW w:w="1440" w:type="dxa"/>
          </w:tcPr>
          <w:p w14:paraId="2BA9134F" w14:textId="70B27D8B" w:rsidR="006539B0" w:rsidRPr="0009354D" w:rsidRDefault="006539B0" w:rsidP="00DA1002">
            <w:pPr>
              <w:tabs>
                <w:tab w:val="decimal" w:pos="1062"/>
                <w:tab w:val="right" w:pos="9180"/>
              </w:tabs>
              <w:ind w:right="-18"/>
            </w:pPr>
            <w:r w:rsidRPr="0009354D">
              <w:t>$</w:t>
            </w:r>
            <w:r w:rsidRPr="0009354D">
              <w:tab/>
            </w:r>
            <w:r>
              <w:t>190,125</w:t>
            </w:r>
          </w:p>
        </w:tc>
        <w:tc>
          <w:tcPr>
            <w:tcW w:w="1530" w:type="dxa"/>
          </w:tcPr>
          <w:p w14:paraId="105688A1" w14:textId="4B4BD335" w:rsidR="006539B0" w:rsidRPr="0009354D" w:rsidRDefault="006539B0" w:rsidP="00DA1002">
            <w:pPr>
              <w:tabs>
                <w:tab w:val="decimal" w:pos="1152"/>
                <w:tab w:val="right" w:pos="9180"/>
              </w:tabs>
              <w:ind w:right="-18"/>
            </w:pPr>
            <w:r w:rsidRPr="0009354D">
              <w:t>$</w:t>
            </w:r>
            <w:r w:rsidRPr="0009354D">
              <w:tab/>
            </w:r>
            <w:r w:rsidR="00E1248A">
              <w:t>(108,599)</w:t>
            </w:r>
          </w:p>
        </w:tc>
      </w:tr>
      <w:tr w:rsidR="006539B0" w:rsidRPr="0009354D" w14:paraId="6F9EC607" w14:textId="77777777" w:rsidTr="00DA1002">
        <w:tc>
          <w:tcPr>
            <w:tcW w:w="3438" w:type="dxa"/>
            <w:gridSpan w:val="4"/>
          </w:tcPr>
          <w:p w14:paraId="20EC19FC" w14:textId="77777777" w:rsidR="006539B0" w:rsidRPr="0009354D" w:rsidRDefault="006539B0" w:rsidP="00DA1002">
            <w:pPr>
              <w:tabs>
                <w:tab w:val="right" w:pos="9180"/>
              </w:tabs>
              <w:ind w:right="-360"/>
            </w:pPr>
            <w:r w:rsidRPr="0009354D">
              <w:t>Operating expenses:</w:t>
            </w:r>
          </w:p>
        </w:tc>
        <w:tc>
          <w:tcPr>
            <w:tcW w:w="1440" w:type="dxa"/>
          </w:tcPr>
          <w:p w14:paraId="1CADA8F3" w14:textId="77777777" w:rsidR="006539B0" w:rsidRPr="0009354D" w:rsidRDefault="006539B0" w:rsidP="00DA1002">
            <w:pPr>
              <w:tabs>
                <w:tab w:val="right" w:pos="9180"/>
              </w:tabs>
              <w:ind w:right="-46"/>
            </w:pPr>
          </w:p>
        </w:tc>
        <w:tc>
          <w:tcPr>
            <w:tcW w:w="1440" w:type="dxa"/>
          </w:tcPr>
          <w:p w14:paraId="4D3721EE" w14:textId="77777777" w:rsidR="006539B0" w:rsidRPr="0009354D" w:rsidRDefault="006539B0" w:rsidP="00DA1002">
            <w:pPr>
              <w:tabs>
                <w:tab w:val="right" w:pos="9180"/>
              </w:tabs>
              <w:ind w:right="-46"/>
            </w:pPr>
          </w:p>
        </w:tc>
        <w:tc>
          <w:tcPr>
            <w:tcW w:w="1440" w:type="dxa"/>
          </w:tcPr>
          <w:p w14:paraId="571D9561" w14:textId="77777777" w:rsidR="006539B0" w:rsidRPr="0009354D" w:rsidRDefault="006539B0" w:rsidP="00DA1002">
            <w:pPr>
              <w:tabs>
                <w:tab w:val="right" w:pos="9180"/>
              </w:tabs>
              <w:ind w:right="-18"/>
            </w:pPr>
          </w:p>
        </w:tc>
        <w:tc>
          <w:tcPr>
            <w:tcW w:w="1530" w:type="dxa"/>
          </w:tcPr>
          <w:p w14:paraId="24F895FD" w14:textId="77777777" w:rsidR="006539B0" w:rsidRPr="0009354D" w:rsidRDefault="006539B0" w:rsidP="00DA1002">
            <w:pPr>
              <w:tabs>
                <w:tab w:val="right" w:pos="9180"/>
              </w:tabs>
              <w:ind w:right="-18"/>
            </w:pPr>
          </w:p>
        </w:tc>
      </w:tr>
      <w:tr w:rsidR="006539B0" w:rsidRPr="0009354D" w14:paraId="73753EAE" w14:textId="77777777" w:rsidTr="00DA1002">
        <w:tc>
          <w:tcPr>
            <w:tcW w:w="378" w:type="dxa"/>
          </w:tcPr>
          <w:p w14:paraId="391FE072" w14:textId="77777777" w:rsidR="006539B0" w:rsidRPr="0009354D" w:rsidRDefault="006539B0" w:rsidP="00DA1002">
            <w:pPr>
              <w:ind w:right="-360"/>
            </w:pPr>
          </w:p>
        </w:tc>
        <w:tc>
          <w:tcPr>
            <w:tcW w:w="3060" w:type="dxa"/>
            <w:gridSpan w:val="3"/>
          </w:tcPr>
          <w:p w14:paraId="16F25074" w14:textId="77777777" w:rsidR="006539B0" w:rsidRPr="0009354D" w:rsidRDefault="006539B0" w:rsidP="00DA1002">
            <w:pPr>
              <w:tabs>
                <w:tab w:val="right" w:pos="9180"/>
              </w:tabs>
              <w:ind w:right="-360"/>
            </w:pPr>
            <w:r w:rsidRPr="0009354D">
              <w:t>Research and development</w:t>
            </w:r>
          </w:p>
        </w:tc>
        <w:tc>
          <w:tcPr>
            <w:tcW w:w="1440" w:type="dxa"/>
          </w:tcPr>
          <w:p w14:paraId="69054037" w14:textId="77777777" w:rsidR="006539B0" w:rsidRPr="0009354D" w:rsidRDefault="006539B0" w:rsidP="00DA1002">
            <w:pPr>
              <w:tabs>
                <w:tab w:val="decimal" w:pos="1062"/>
                <w:tab w:val="right" w:pos="9180"/>
              </w:tabs>
              <w:ind w:right="-46"/>
            </w:pPr>
          </w:p>
        </w:tc>
        <w:tc>
          <w:tcPr>
            <w:tcW w:w="1440" w:type="dxa"/>
          </w:tcPr>
          <w:p w14:paraId="097D622A" w14:textId="0FB6F62B" w:rsidR="006539B0" w:rsidRPr="0009354D" w:rsidRDefault="006539B0" w:rsidP="00DA1002">
            <w:pPr>
              <w:tabs>
                <w:tab w:val="decimal" w:pos="1062"/>
                <w:tab w:val="right" w:pos="9180"/>
              </w:tabs>
              <w:ind w:right="-46"/>
            </w:pPr>
            <w:r w:rsidRPr="0009354D">
              <w:tab/>
            </w:r>
            <w:r w:rsidR="00045778">
              <w:t>2,</w:t>
            </w:r>
            <w:r w:rsidR="0071637B">
              <w:t>637,721</w:t>
            </w:r>
          </w:p>
        </w:tc>
        <w:tc>
          <w:tcPr>
            <w:tcW w:w="1440" w:type="dxa"/>
          </w:tcPr>
          <w:p w14:paraId="2A2B931E" w14:textId="07382E4A" w:rsidR="006539B0" w:rsidRPr="0009354D" w:rsidRDefault="006539B0" w:rsidP="00DA1002">
            <w:pPr>
              <w:tabs>
                <w:tab w:val="decimal" w:pos="1062"/>
                <w:tab w:val="right" w:pos="9180"/>
              </w:tabs>
              <w:ind w:right="-18"/>
            </w:pPr>
            <w:r w:rsidRPr="0009354D">
              <w:tab/>
              <w:t>1</w:t>
            </w:r>
            <w:r>
              <w:t>,435,618</w:t>
            </w:r>
          </w:p>
        </w:tc>
        <w:tc>
          <w:tcPr>
            <w:tcW w:w="1530" w:type="dxa"/>
          </w:tcPr>
          <w:p w14:paraId="64B79FAB" w14:textId="039FE5D0" w:rsidR="006539B0" w:rsidRPr="0009354D" w:rsidRDefault="006539B0" w:rsidP="00DA1002">
            <w:pPr>
              <w:tabs>
                <w:tab w:val="decimal" w:pos="1152"/>
                <w:tab w:val="right" w:pos="9180"/>
              </w:tabs>
              <w:ind w:right="-18"/>
            </w:pPr>
            <w:r w:rsidRPr="0009354D">
              <w:tab/>
            </w:r>
            <w:r w:rsidR="00E1248A">
              <w:t>1,</w:t>
            </w:r>
            <w:r w:rsidR="0071637B">
              <w:t>20</w:t>
            </w:r>
            <w:r w:rsidR="00BC6B92">
              <w:t>2</w:t>
            </w:r>
            <w:r w:rsidR="0071637B">
              <w:t>,103</w:t>
            </w:r>
          </w:p>
        </w:tc>
      </w:tr>
      <w:tr w:rsidR="006539B0" w:rsidRPr="0009354D" w14:paraId="6ECDBB17" w14:textId="77777777" w:rsidTr="00DA1002">
        <w:tc>
          <w:tcPr>
            <w:tcW w:w="378" w:type="dxa"/>
          </w:tcPr>
          <w:p w14:paraId="73F29810" w14:textId="77777777" w:rsidR="006539B0" w:rsidRPr="0009354D" w:rsidRDefault="006539B0" w:rsidP="00DA1002">
            <w:pPr>
              <w:ind w:right="-360"/>
            </w:pPr>
          </w:p>
        </w:tc>
        <w:tc>
          <w:tcPr>
            <w:tcW w:w="3060" w:type="dxa"/>
            <w:gridSpan w:val="3"/>
          </w:tcPr>
          <w:p w14:paraId="3CC08B95" w14:textId="77777777" w:rsidR="006539B0" w:rsidRPr="0009354D" w:rsidRDefault="006539B0" w:rsidP="00DA1002">
            <w:pPr>
              <w:tabs>
                <w:tab w:val="right" w:pos="9180"/>
              </w:tabs>
              <w:ind w:right="-360"/>
            </w:pPr>
            <w:r w:rsidRPr="0009354D">
              <w:t>General and administrative</w:t>
            </w:r>
          </w:p>
        </w:tc>
        <w:tc>
          <w:tcPr>
            <w:tcW w:w="1440" w:type="dxa"/>
          </w:tcPr>
          <w:p w14:paraId="41B7B104" w14:textId="77777777" w:rsidR="006539B0" w:rsidRPr="0009354D" w:rsidRDefault="006539B0" w:rsidP="00DA1002">
            <w:pPr>
              <w:tabs>
                <w:tab w:val="decimal" w:pos="1062"/>
                <w:tab w:val="right" w:pos="9180"/>
              </w:tabs>
              <w:ind w:right="-46"/>
            </w:pPr>
          </w:p>
        </w:tc>
        <w:tc>
          <w:tcPr>
            <w:tcW w:w="1440" w:type="dxa"/>
          </w:tcPr>
          <w:p w14:paraId="3F0EB0C8" w14:textId="6262B796" w:rsidR="006539B0" w:rsidRPr="0009354D" w:rsidRDefault="006539B0" w:rsidP="00DA1002">
            <w:pPr>
              <w:tabs>
                <w:tab w:val="decimal" w:pos="1062"/>
                <w:tab w:val="right" w:pos="9180"/>
              </w:tabs>
              <w:ind w:right="-46"/>
            </w:pPr>
            <w:r w:rsidRPr="0009354D">
              <w:tab/>
            </w:r>
            <w:r w:rsidR="00045778">
              <w:t>2,114,335</w:t>
            </w:r>
          </w:p>
        </w:tc>
        <w:tc>
          <w:tcPr>
            <w:tcW w:w="1440" w:type="dxa"/>
          </w:tcPr>
          <w:p w14:paraId="31A0C9B1" w14:textId="7C108A8F" w:rsidR="006539B0" w:rsidRPr="0009354D" w:rsidRDefault="006539B0" w:rsidP="00DA1002">
            <w:pPr>
              <w:tabs>
                <w:tab w:val="decimal" w:pos="1062"/>
                <w:tab w:val="right" w:pos="9180"/>
              </w:tabs>
              <w:ind w:right="-18"/>
            </w:pPr>
            <w:r w:rsidRPr="0009354D">
              <w:tab/>
            </w:r>
            <w:r>
              <w:t>1,805,209</w:t>
            </w:r>
          </w:p>
        </w:tc>
        <w:tc>
          <w:tcPr>
            <w:tcW w:w="1530" w:type="dxa"/>
          </w:tcPr>
          <w:p w14:paraId="00664766" w14:textId="73ED11B9" w:rsidR="006539B0" w:rsidRPr="0009354D" w:rsidRDefault="006539B0" w:rsidP="00DA1002">
            <w:pPr>
              <w:tabs>
                <w:tab w:val="decimal" w:pos="1152"/>
                <w:tab w:val="right" w:pos="9180"/>
              </w:tabs>
              <w:ind w:right="-18"/>
            </w:pPr>
            <w:r w:rsidRPr="0009354D">
              <w:tab/>
            </w:r>
            <w:r w:rsidR="00E1248A">
              <w:t>309,126</w:t>
            </w:r>
          </w:p>
        </w:tc>
      </w:tr>
      <w:tr w:rsidR="006539B0" w:rsidRPr="0009354D" w14:paraId="62E1D19A" w14:textId="77777777" w:rsidTr="00DA1002">
        <w:tc>
          <w:tcPr>
            <w:tcW w:w="3438" w:type="dxa"/>
            <w:gridSpan w:val="4"/>
          </w:tcPr>
          <w:p w14:paraId="658F538C" w14:textId="77777777" w:rsidR="006539B0" w:rsidRPr="0009354D" w:rsidRDefault="006539B0" w:rsidP="00DA1002">
            <w:pPr>
              <w:tabs>
                <w:tab w:val="right" w:pos="9180"/>
              </w:tabs>
              <w:ind w:right="-360"/>
            </w:pPr>
            <w:r w:rsidRPr="0009354D">
              <w:t>Total operating expenses</w:t>
            </w:r>
          </w:p>
        </w:tc>
        <w:tc>
          <w:tcPr>
            <w:tcW w:w="1440" w:type="dxa"/>
          </w:tcPr>
          <w:p w14:paraId="46850331" w14:textId="77777777" w:rsidR="006539B0" w:rsidRPr="0009354D" w:rsidRDefault="006539B0" w:rsidP="00DA1002">
            <w:pPr>
              <w:tabs>
                <w:tab w:val="decimal" w:pos="1062"/>
                <w:tab w:val="right" w:pos="9180"/>
              </w:tabs>
              <w:ind w:right="-46"/>
            </w:pPr>
          </w:p>
        </w:tc>
        <w:tc>
          <w:tcPr>
            <w:tcW w:w="1440" w:type="dxa"/>
            <w:tcBorders>
              <w:top w:val="single" w:sz="4" w:space="0" w:color="auto"/>
              <w:bottom w:val="single" w:sz="4" w:space="0" w:color="auto"/>
            </w:tcBorders>
          </w:tcPr>
          <w:p w14:paraId="77D846C3" w14:textId="2FCBEAD8" w:rsidR="006539B0" w:rsidRPr="0009354D" w:rsidRDefault="006539B0" w:rsidP="00DA1002">
            <w:pPr>
              <w:tabs>
                <w:tab w:val="decimal" w:pos="1062"/>
                <w:tab w:val="right" w:pos="9180"/>
              </w:tabs>
              <w:ind w:right="-46"/>
            </w:pPr>
            <w:r w:rsidRPr="0009354D">
              <w:tab/>
            </w:r>
            <w:r w:rsidR="0071637B">
              <w:t>4,752,056</w:t>
            </w:r>
          </w:p>
        </w:tc>
        <w:tc>
          <w:tcPr>
            <w:tcW w:w="1440" w:type="dxa"/>
            <w:tcBorders>
              <w:top w:val="single" w:sz="4" w:space="0" w:color="auto"/>
              <w:bottom w:val="single" w:sz="4" w:space="0" w:color="auto"/>
            </w:tcBorders>
          </w:tcPr>
          <w:p w14:paraId="3F1FB07C" w14:textId="6EEB0E42" w:rsidR="006539B0" w:rsidRPr="0009354D" w:rsidRDefault="006539B0" w:rsidP="00DA1002">
            <w:pPr>
              <w:tabs>
                <w:tab w:val="decimal" w:pos="1062"/>
                <w:tab w:val="right" w:pos="9180"/>
              </w:tabs>
              <w:ind w:right="-18"/>
            </w:pPr>
            <w:r w:rsidRPr="0009354D">
              <w:tab/>
            </w:r>
            <w:r>
              <w:t>3,240,827</w:t>
            </w:r>
          </w:p>
        </w:tc>
        <w:tc>
          <w:tcPr>
            <w:tcW w:w="1530" w:type="dxa"/>
            <w:tcBorders>
              <w:top w:val="single" w:sz="4" w:space="0" w:color="auto"/>
              <w:bottom w:val="single" w:sz="4" w:space="0" w:color="auto"/>
            </w:tcBorders>
          </w:tcPr>
          <w:p w14:paraId="3DC25273" w14:textId="1F334876" w:rsidR="006539B0" w:rsidRPr="0009354D" w:rsidRDefault="006539B0" w:rsidP="00DA1002">
            <w:pPr>
              <w:tabs>
                <w:tab w:val="decimal" w:pos="1152"/>
                <w:tab w:val="right" w:pos="9180"/>
              </w:tabs>
              <w:ind w:right="-18"/>
            </w:pPr>
            <w:r w:rsidRPr="0009354D">
              <w:tab/>
            </w:r>
            <w:r w:rsidR="00E1248A">
              <w:t>1,</w:t>
            </w:r>
            <w:r w:rsidR="0071637B">
              <w:t>511,229</w:t>
            </w:r>
          </w:p>
        </w:tc>
      </w:tr>
      <w:tr w:rsidR="006539B0" w:rsidRPr="0009354D" w14:paraId="067FE1DF" w14:textId="77777777" w:rsidTr="00DA1002">
        <w:tc>
          <w:tcPr>
            <w:tcW w:w="3438" w:type="dxa"/>
            <w:gridSpan w:val="4"/>
          </w:tcPr>
          <w:p w14:paraId="0C32FA42" w14:textId="77777777" w:rsidR="006539B0" w:rsidRPr="0009354D" w:rsidRDefault="006539B0" w:rsidP="00DA1002">
            <w:pPr>
              <w:tabs>
                <w:tab w:val="right" w:pos="9180"/>
              </w:tabs>
              <w:ind w:right="-360"/>
            </w:pPr>
            <w:r w:rsidRPr="0009354D">
              <w:t>Loss from operations</w:t>
            </w:r>
          </w:p>
        </w:tc>
        <w:tc>
          <w:tcPr>
            <w:tcW w:w="1440" w:type="dxa"/>
          </w:tcPr>
          <w:p w14:paraId="1AB76C61" w14:textId="77777777" w:rsidR="006539B0" w:rsidRPr="0009354D" w:rsidRDefault="006539B0" w:rsidP="00DA1002">
            <w:pPr>
              <w:tabs>
                <w:tab w:val="decimal" w:pos="1062"/>
                <w:tab w:val="right" w:pos="9180"/>
              </w:tabs>
              <w:ind w:right="-46"/>
            </w:pPr>
          </w:p>
        </w:tc>
        <w:tc>
          <w:tcPr>
            <w:tcW w:w="1440" w:type="dxa"/>
          </w:tcPr>
          <w:p w14:paraId="09C573C6" w14:textId="632D9355" w:rsidR="006539B0" w:rsidRPr="0009354D" w:rsidRDefault="006539B0" w:rsidP="00DA1002">
            <w:pPr>
              <w:tabs>
                <w:tab w:val="decimal" w:pos="1062"/>
                <w:tab w:val="right" w:pos="9180"/>
              </w:tabs>
              <w:ind w:right="-46"/>
            </w:pPr>
            <w:r w:rsidRPr="0009354D">
              <w:tab/>
              <w:t>(</w:t>
            </w:r>
            <w:r w:rsidR="00045778">
              <w:t>4,</w:t>
            </w:r>
            <w:r w:rsidR="0071637B">
              <w:t>670,530</w:t>
            </w:r>
            <w:r w:rsidRPr="0009354D">
              <w:t>)</w:t>
            </w:r>
          </w:p>
        </w:tc>
        <w:tc>
          <w:tcPr>
            <w:tcW w:w="1440" w:type="dxa"/>
          </w:tcPr>
          <w:p w14:paraId="76F71EAF" w14:textId="0269B29F" w:rsidR="006539B0" w:rsidRPr="0009354D" w:rsidRDefault="006539B0" w:rsidP="00DA1002">
            <w:pPr>
              <w:tabs>
                <w:tab w:val="decimal" w:pos="1044"/>
                <w:tab w:val="right" w:pos="9180"/>
              </w:tabs>
              <w:ind w:right="-18"/>
            </w:pPr>
            <w:r w:rsidRPr="0009354D">
              <w:tab/>
              <w:t>(</w:t>
            </w:r>
            <w:r>
              <w:t>3,050,702</w:t>
            </w:r>
            <w:r w:rsidRPr="0009354D">
              <w:t>)</w:t>
            </w:r>
          </w:p>
        </w:tc>
        <w:tc>
          <w:tcPr>
            <w:tcW w:w="1530" w:type="dxa"/>
          </w:tcPr>
          <w:p w14:paraId="016122C7" w14:textId="6A23D91B" w:rsidR="006539B0" w:rsidRPr="0009354D" w:rsidRDefault="006539B0" w:rsidP="00DA1002">
            <w:pPr>
              <w:tabs>
                <w:tab w:val="decimal" w:pos="1152"/>
                <w:tab w:val="right" w:pos="9180"/>
              </w:tabs>
              <w:ind w:right="-18"/>
            </w:pPr>
            <w:r w:rsidRPr="0009354D">
              <w:tab/>
            </w:r>
            <w:r w:rsidR="00E1248A">
              <w:t>(1,</w:t>
            </w:r>
            <w:r w:rsidR="0071637B">
              <w:t>619,828</w:t>
            </w:r>
            <w:r w:rsidR="00E1248A">
              <w:t>)</w:t>
            </w:r>
          </w:p>
        </w:tc>
      </w:tr>
      <w:tr w:rsidR="006539B0" w:rsidRPr="0009354D" w14:paraId="3D1935C1" w14:textId="77777777" w:rsidTr="00DA1002">
        <w:tc>
          <w:tcPr>
            <w:tcW w:w="3438" w:type="dxa"/>
            <w:gridSpan w:val="4"/>
          </w:tcPr>
          <w:p w14:paraId="7308D69E" w14:textId="7DB4FBA5" w:rsidR="006539B0" w:rsidRPr="0009354D" w:rsidRDefault="006539B0" w:rsidP="00DA1002">
            <w:pPr>
              <w:tabs>
                <w:tab w:val="right" w:pos="9180"/>
              </w:tabs>
              <w:ind w:right="-360"/>
            </w:pPr>
            <w:r w:rsidRPr="0009354D">
              <w:t>Total other income (expense)</w:t>
            </w:r>
            <w:r w:rsidR="00045778">
              <w:t>, net</w:t>
            </w:r>
          </w:p>
        </w:tc>
        <w:tc>
          <w:tcPr>
            <w:tcW w:w="1440" w:type="dxa"/>
          </w:tcPr>
          <w:p w14:paraId="351E4FFC" w14:textId="77777777" w:rsidR="006539B0" w:rsidRPr="0009354D" w:rsidRDefault="006539B0" w:rsidP="00DA1002">
            <w:pPr>
              <w:tabs>
                <w:tab w:val="decimal" w:pos="1062"/>
                <w:tab w:val="right" w:pos="9180"/>
              </w:tabs>
              <w:ind w:right="-46"/>
            </w:pPr>
          </w:p>
        </w:tc>
        <w:tc>
          <w:tcPr>
            <w:tcW w:w="1440" w:type="dxa"/>
            <w:tcBorders>
              <w:bottom w:val="single" w:sz="4" w:space="0" w:color="auto"/>
            </w:tcBorders>
          </w:tcPr>
          <w:p w14:paraId="66EF5661" w14:textId="6E1303B1" w:rsidR="006539B0" w:rsidRPr="0009354D" w:rsidRDefault="006539B0" w:rsidP="00DA1002">
            <w:pPr>
              <w:tabs>
                <w:tab w:val="decimal" w:pos="1062"/>
                <w:tab w:val="right" w:pos="9180"/>
              </w:tabs>
              <w:ind w:right="-46"/>
            </w:pPr>
            <w:r w:rsidRPr="0009354D">
              <w:tab/>
            </w:r>
            <w:r w:rsidR="00045778">
              <w:t>1,316</w:t>
            </w:r>
          </w:p>
        </w:tc>
        <w:tc>
          <w:tcPr>
            <w:tcW w:w="1440" w:type="dxa"/>
          </w:tcPr>
          <w:p w14:paraId="06D1AD4B" w14:textId="61DB873A" w:rsidR="006539B0" w:rsidRPr="0009354D" w:rsidRDefault="006539B0" w:rsidP="00DA1002">
            <w:pPr>
              <w:tabs>
                <w:tab w:val="decimal" w:pos="1062"/>
                <w:tab w:val="right" w:pos="9180"/>
              </w:tabs>
              <w:ind w:right="-18"/>
            </w:pPr>
            <w:r w:rsidRPr="0009354D">
              <w:tab/>
            </w:r>
            <w:r>
              <w:t>173,891</w:t>
            </w:r>
          </w:p>
        </w:tc>
        <w:tc>
          <w:tcPr>
            <w:tcW w:w="1530" w:type="dxa"/>
          </w:tcPr>
          <w:p w14:paraId="34F1D8DC" w14:textId="1D7199C9" w:rsidR="006539B0" w:rsidRPr="0009354D" w:rsidRDefault="006539B0" w:rsidP="00DA1002">
            <w:pPr>
              <w:tabs>
                <w:tab w:val="decimal" w:pos="1152"/>
                <w:tab w:val="right" w:pos="9180"/>
              </w:tabs>
              <w:ind w:right="-18"/>
            </w:pPr>
            <w:r w:rsidRPr="0009354D">
              <w:tab/>
            </w:r>
            <w:r w:rsidR="00E1248A">
              <w:t>(172,575)</w:t>
            </w:r>
          </w:p>
        </w:tc>
      </w:tr>
      <w:tr w:rsidR="006539B0" w:rsidRPr="0009354D" w14:paraId="06E4430D" w14:textId="77777777" w:rsidTr="00DA1002">
        <w:tc>
          <w:tcPr>
            <w:tcW w:w="3438" w:type="dxa"/>
            <w:gridSpan w:val="4"/>
          </w:tcPr>
          <w:p w14:paraId="0B30120C" w14:textId="77777777" w:rsidR="006539B0" w:rsidRPr="0009354D" w:rsidRDefault="006539B0" w:rsidP="00DA1002">
            <w:pPr>
              <w:tabs>
                <w:tab w:val="right" w:pos="9180"/>
              </w:tabs>
              <w:ind w:right="-360"/>
            </w:pPr>
            <w:bookmarkStart w:id="29" w:name="_Hlk77174018"/>
            <w:r w:rsidRPr="0009354D">
              <w:t>Net loss</w:t>
            </w:r>
          </w:p>
        </w:tc>
        <w:tc>
          <w:tcPr>
            <w:tcW w:w="1440" w:type="dxa"/>
          </w:tcPr>
          <w:p w14:paraId="4E30FD2C" w14:textId="77777777" w:rsidR="006539B0" w:rsidRPr="0009354D" w:rsidRDefault="006539B0" w:rsidP="00DA1002">
            <w:pPr>
              <w:tabs>
                <w:tab w:val="decimal" w:pos="1062"/>
                <w:tab w:val="right" w:pos="9180"/>
              </w:tabs>
              <w:ind w:right="-46"/>
            </w:pPr>
          </w:p>
        </w:tc>
        <w:tc>
          <w:tcPr>
            <w:tcW w:w="1440" w:type="dxa"/>
            <w:tcBorders>
              <w:top w:val="single" w:sz="4" w:space="0" w:color="auto"/>
              <w:bottom w:val="double" w:sz="4" w:space="0" w:color="auto"/>
            </w:tcBorders>
          </w:tcPr>
          <w:p w14:paraId="486D5E45" w14:textId="4469B294" w:rsidR="006539B0" w:rsidRPr="0009354D" w:rsidRDefault="006539B0" w:rsidP="00DA1002">
            <w:pPr>
              <w:tabs>
                <w:tab w:val="decimal" w:pos="1062"/>
                <w:tab w:val="right" w:pos="9180"/>
              </w:tabs>
              <w:ind w:right="-46"/>
            </w:pPr>
            <w:r w:rsidRPr="0009354D">
              <w:t>$</w:t>
            </w:r>
            <w:r w:rsidRPr="0009354D">
              <w:tab/>
              <w:t>(</w:t>
            </w:r>
            <w:r w:rsidR="00045778">
              <w:t>4,</w:t>
            </w:r>
            <w:r w:rsidR="0071637B">
              <w:t>669,214</w:t>
            </w:r>
            <w:r w:rsidRPr="0009354D">
              <w:t>)</w:t>
            </w:r>
          </w:p>
        </w:tc>
        <w:tc>
          <w:tcPr>
            <w:tcW w:w="1440" w:type="dxa"/>
            <w:tcBorders>
              <w:top w:val="single" w:sz="4" w:space="0" w:color="auto"/>
              <w:bottom w:val="double" w:sz="4" w:space="0" w:color="auto"/>
            </w:tcBorders>
          </w:tcPr>
          <w:p w14:paraId="26C65C61" w14:textId="71B31554" w:rsidR="006539B0" w:rsidRPr="0009354D" w:rsidRDefault="006539B0" w:rsidP="00DA1002">
            <w:pPr>
              <w:tabs>
                <w:tab w:val="decimal" w:pos="1044"/>
                <w:tab w:val="right" w:pos="9180"/>
              </w:tabs>
              <w:ind w:right="-18"/>
            </w:pPr>
            <w:r w:rsidRPr="0009354D">
              <w:t>$</w:t>
            </w:r>
            <w:r w:rsidRPr="0009354D">
              <w:tab/>
              <w:t>(</w:t>
            </w:r>
            <w:r>
              <w:t>2,876,811</w:t>
            </w:r>
            <w:r w:rsidRPr="0009354D">
              <w:t>)</w:t>
            </w:r>
          </w:p>
        </w:tc>
        <w:tc>
          <w:tcPr>
            <w:tcW w:w="1530" w:type="dxa"/>
            <w:tcBorders>
              <w:top w:val="single" w:sz="4" w:space="0" w:color="auto"/>
              <w:bottom w:val="double" w:sz="4" w:space="0" w:color="auto"/>
            </w:tcBorders>
          </w:tcPr>
          <w:p w14:paraId="22D2AA84" w14:textId="6718F4D8" w:rsidR="006539B0" w:rsidRPr="0009354D" w:rsidRDefault="006539B0" w:rsidP="00DA1002">
            <w:pPr>
              <w:tabs>
                <w:tab w:val="decimal" w:pos="1152"/>
                <w:tab w:val="right" w:pos="9180"/>
              </w:tabs>
              <w:ind w:right="-18"/>
            </w:pPr>
            <w:r w:rsidRPr="0009354D">
              <w:t>$</w:t>
            </w:r>
            <w:r w:rsidRPr="0009354D">
              <w:tab/>
            </w:r>
            <w:r w:rsidR="00E1248A">
              <w:t>(1,</w:t>
            </w:r>
            <w:r w:rsidR="0071637B">
              <w:t>792,403</w:t>
            </w:r>
            <w:r w:rsidR="00E1248A">
              <w:t>)</w:t>
            </w:r>
          </w:p>
        </w:tc>
      </w:tr>
      <w:bookmarkEnd w:id="28"/>
      <w:bookmarkEnd w:id="29"/>
    </w:tbl>
    <w:p w14:paraId="125F26FE" w14:textId="77777777" w:rsidR="00D4743B" w:rsidRPr="0009354D" w:rsidRDefault="00D4743B" w:rsidP="00177E79">
      <w:pPr>
        <w:rPr>
          <w:i/>
          <w:iCs/>
        </w:rPr>
      </w:pPr>
    </w:p>
    <w:p w14:paraId="2C47F709" w14:textId="77777777" w:rsidR="0069583E" w:rsidRDefault="0069583E">
      <w:pPr>
        <w:rPr>
          <w:i/>
          <w:iCs/>
        </w:rPr>
      </w:pPr>
      <w:r>
        <w:rPr>
          <w:i/>
          <w:iCs/>
        </w:rPr>
        <w:br w:type="page"/>
      </w:r>
    </w:p>
    <w:p w14:paraId="69545C6F" w14:textId="0ED8BFEF" w:rsidR="00177E79" w:rsidRPr="0009354D" w:rsidRDefault="00177E79" w:rsidP="00177E79">
      <w:r w:rsidRPr="0009354D">
        <w:rPr>
          <w:i/>
          <w:iCs/>
        </w:rPr>
        <w:t>Grant Revenues</w:t>
      </w:r>
    </w:p>
    <w:p w14:paraId="4196A7BA" w14:textId="7B289CE9" w:rsidR="00177E79" w:rsidRDefault="00177E79" w:rsidP="00177E79"/>
    <w:p w14:paraId="2406A058" w14:textId="1A6E945C" w:rsidR="0016138B" w:rsidRPr="0016138B" w:rsidRDefault="00BF1181" w:rsidP="00E1248A">
      <w:pPr>
        <w:rPr>
          <w:bCs/>
        </w:rPr>
      </w:pPr>
      <w:r w:rsidRPr="0009354D">
        <w:rPr>
          <w:bCs/>
        </w:rPr>
        <w:t>The following table summarize</w:t>
      </w:r>
      <w:r>
        <w:rPr>
          <w:bCs/>
        </w:rPr>
        <w:t>s</w:t>
      </w:r>
      <w:r w:rsidRPr="0009354D">
        <w:rPr>
          <w:bCs/>
        </w:rPr>
        <w:t xml:space="preserve"> our </w:t>
      </w:r>
      <w:r>
        <w:rPr>
          <w:bCs/>
        </w:rPr>
        <w:t>grant revenues</w:t>
      </w:r>
      <w:r w:rsidRPr="0009354D">
        <w:rPr>
          <w:bCs/>
        </w:rPr>
        <w:t xml:space="preserve"> for the three-month and six-month periods ended June 30, </w:t>
      </w:r>
      <w:proofErr w:type="gramStart"/>
      <w:r w:rsidRPr="0009354D">
        <w:rPr>
          <w:bCs/>
        </w:rPr>
        <w:t>202</w:t>
      </w:r>
      <w:r>
        <w:rPr>
          <w:bCs/>
        </w:rPr>
        <w:t>2</w:t>
      </w:r>
      <w:proofErr w:type="gramEnd"/>
      <w:r w:rsidRPr="0009354D">
        <w:rPr>
          <w:bCs/>
        </w:rPr>
        <w:t xml:space="preserve"> and 202</w:t>
      </w:r>
      <w:r>
        <w:rPr>
          <w:bCs/>
        </w:rPr>
        <w:t>1</w:t>
      </w:r>
      <w:r w:rsidRPr="0009354D">
        <w:rPr>
          <w:bCs/>
        </w:rPr>
        <w:t>:</w:t>
      </w:r>
    </w:p>
    <w:tbl>
      <w:tblPr>
        <w:tblStyle w:val="TableGrid1"/>
        <w:tblW w:w="9990" w:type="dxa"/>
        <w:tblLayout w:type="fixed"/>
        <w:tblLook w:val="04A0" w:firstRow="1" w:lastRow="0" w:firstColumn="1" w:lastColumn="0" w:noHBand="0" w:noVBand="1"/>
      </w:tblPr>
      <w:tblGrid>
        <w:gridCol w:w="3870"/>
        <w:gridCol w:w="1530"/>
        <w:gridCol w:w="1530"/>
        <w:gridCol w:w="1530"/>
        <w:gridCol w:w="1530"/>
      </w:tblGrid>
      <w:tr w:rsidR="0016138B" w:rsidRPr="00BF1181" w14:paraId="13810908" w14:textId="77777777" w:rsidTr="0016138B">
        <w:tc>
          <w:tcPr>
            <w:tcW w:w="3870" w:type="dxa"/>
            <w:tcBorders>
              <w:top w:val="nil"/>
              <w:left w:val="nil"/>
              <w:bottom w:val="nil"/>
              <w:right w:val="nil"/>
            </w:tcBorders>
          </w:tcPr>
          <w:p w14:paraId="203BDD8B" w14:textId="77777777" w:rsidR="0016138B" w:rsidRPr="00BF1181" w:rsidRDefault="0016138B" w:rsidP="00DA1002">
            <w:bookmarkStart w:id="30" w:name="_Hlk109054715"/>
            <w:bookmarkStart w:id="31" w:name="_Hlk108530672"/>
          </w:p>
        </w:tc>
        <w:tc>
          <w:tcPr>
            <w:tcW w:w="3060" w:type="dxa"/>
            <w:gridSpan w:val="2"/>
            <w:tcBorders>
              <w:top w:val="nil"/>
              <w:left w:val="nil"/>
              <w:bottom w:val="single" w:sz="4" w:space="0" w:color="auto"/>
              <w:right w:val="nil"/>
            </w:tcBorders>
          </w:tcPr>
          <w:p w14:paraId="556E284D" w14:textId="28736355" w:rsidR="0016138B" w:rsidRPr="00BF1181" w:rsidRDefault="0016138B" w:rsidP="00DA1002">
            <w:pPr>
              <w:tabs>
                <w:tab w:val="right" w:pos="926"/>
                <w:tab w:val="right" w:pos="989"/>
              </w:tabs>
              <w:jc w:val="center"/>
            </w:pPr>
            <w:r>
              <w:t>Three Months Ended June 30,</w:t>
            </w:r>
          </w:p>
        </w:tc>
        <w:tc>
          <w:tcPr>
            <w:tcW w:w="3060" w:type="dxa"/>
            <w:gridSpan w:val="2"/>
            <w:tcBorders>
              <w:top w:val="nil"/>
              <w:left w:val="nil"/>
              <w:bottom w:val="single" w:sz="4" w:space="0" w:color="auto"/>
              <w:right w:val="nil"/>
            </w:tcBorders>
          </w:tcPr>
          <w:p w14:paraId="4FBCA7DF" w14:textId="0397B5EF" w:rsidR="0016138B" w:rsidRPr="00BF1181" w:rsidRDefault="0016138B" w:rsidP="00DA1002">
            <w:pPr>
              <w:tabs>
                <w:tab w:val="right" w:pos="989"/>
              </w:tabs>
              <w:jc w:val="center"/>
            </w:pPr>
            <w:r>
              <w:t>Six Months Ended June 30,</w:t>
            </w:r>
          </w:p>
        </w:tc>
      </w:tr>
      <w:bookmarkEnd w:id="30"/>
      <w:tr w:rsidR="0016138B" w:rsidRPr="00BF1181" w14:paraId="2A0455E6" w14:textId="77777777" w:rsidTr="00D7348C">
        <w:tc>
          <w:tcPr>
            <w:tcW w:w="3870" w:type="dxa"/>
            <w:tcBorders>
              <w:top w:val="nil"/>
              <w:left w:val="nil"/>
              <w:bottom w:val="nil"/>
              <w:right w:val="nil"/>
            </w:tcBorders>
          </w:tcPr>
          <w:p w14:paraId="510066AF" w14:textId="77777777" w:rsidR="0016138B" w:rsidRPr="00BF1181" w:rsidRDefault="0016138B" w:rsidP="00D7348C"/>
        </w:tc>
        <w:tc>
          <w:tcPr>
            <w:tcW w:w="1530" w:type="dxa"/>
            <w:tcBorders>
              <w:top w:val="single" w:sz="4" w:space="0" w:color="auto"/>
              <w:left w:val="nil"/>
              <w:bottom w:val="single" w:sz="4" w:space="0" w:color="auto"/>
              <w:right w:val="nil"/>
            </w:tcBorders>
          </w:tcPr>
          <w:p w14:paraId="177039EB" w14:textId="77777777" w:rsidR="0016138B" w:rsidRPr="00BF1181" w:rsidRDefault="0016138B" w:rsidP="00D7348C">
            <w:pPr>
              <w:tabs>
                <w:tab w:val="right" w:pos="969"/>
              </w:tabs>
              <w:jc w:val="center"/>
            </w:pPr>
            <w:r w:rsidRPr="00BF1181">
              <w:t>202</w:t>
            </w:r>
            <w:r>
              <w:t>2</w:t>
            </w:r>
          </w:p>
        </w:tc>
        <w:tc>
          <w:tcPr>
            <w:tcW w:w="1530" w:type="dxa"/>
            <w:tcBorders>
              <w:top w:val="single" w:sz="4" w:space="0" w:color="auto"/>
              <w:left w:val="nil"/>
              <w:bottom w:val="single" w:sz="4" w:space="0" w:color="auto"/>
              <w:right w:val="nil"/>
            </w:tcBorders>
          </w:tcPr>
          <w:p w14:paraId="476AA6E4" w14:textId="77777777" w:rsidR="0016138B" w:rsidRPr="00BF1181" w:rsidRDefault="0016138B" w:rsidP="00D7348C">
            <w:pPr>
              <w:tabs>
                <w:tab w:val="right" w:pos="926"/>
                <w:tab w:val="right" w:pos="989"/>
              </w:tabs>
              <w:jc w:val="center"/>
            </w:pPr>
            <w:r w:rsidRPr="00BF1181">
              <w:t>202</w:t>
            </w:r>
            <w:r>
              <w:t>1</w:t>
            </w:r>
          </w:p>
        </w:tc>
        <w:tc>
          <w:tcPr>
            <w:tcW w:w="1530" w:type="dxa"/>
            <w:tcBorders>
              <w:top w:val="single" w:sz="4" w:space="0" w:color="auto"/>
              <w:left w:val="nil"/>
              <w:bottom w:val="single" w:sz="4" w:space="0" w:color="auto"/>
              <w:right w:val="nil"/>
            </w:tcBorders>
          </w:tcPr>
          <w:p w14:paraId="61914D58" w14:textId="77777777" w:rsidR="0016138B" w:rsidRPr="00BF1181" w:rsidRDefault="0016138B" w:rsidP="00D7348C">
            <w:pPr>
              <w:tabs>
                <w:tab w:val="right" w:pos="989"/>
              </w:tabs>
              <w:jc w:val="center"/>
            </w:pPr>
            <w:r w:rsidRPr="00BF1181">
              <w:t>202</w:t>
            </w:r>
            <w:r>
              <w:t>2</w:t>
            </w:r>
          </w:p>
        </w:tc>
        <w:tc>
          <w:tcPr>
            <w:tcW w:w="1530" w:type="dxa"/>
            <w:tcBorders>
              <w:top w:val="single" w:sz="4" w:space="0" w:color="auto"/>
              <w:left w:val="nil"/>
              <w:bottom w:val="single" w:sz="4" w:space="0" w:color="auto"/>
              <w:right w:val="nil"/>
            </w:tcBorders>
          </w:tcPr>
          <w:p w14:paraId="1E5124FA" w14:textId="77777777" w:rsidR="0016138B" w:rsidRPr="00BF1181" w:rsidRDefault="0016138B" w:rsidP="00D7348C">
            <w:pPr>
              <w:tabs>
                <w:tab w:val="right" w:pos="989"/>
              </w:tabs>
              <w:jc w:val="center"/>
            </w:pPr>
            <w:r w:rsidRPr="00BF1181">
              <w:t>202</w:t>
            </w:r>
            <w:r>
              <w:t>1</w:t>
            </w:r>
          </w:p>
        </w:tc>
      </w:tr>
      <w:bookmarkEnd w:id="31"/>
      <w:tr w:rsidR="00BF1181" w:rsidRPr="00BF1181" w14:paraId="6A31A47E" w14:textId="77777777" w:rsidTr="0016138B">
        <w:tc>
          <w:tcPr>
            <w:tcW w:w="3870" w:type="dxa"/>
            <w:tcBorders>
              <w:top w:val="nil"/>
              <w:left w:val="nil"/>
              <w:bottom w:val="nil"/>
              <w:right w:val="nil"/>
            </w:tcBorders>
          </w:tcPr>
          <w:p w14:paraId="3CAC0ED8" w14:textId="77777777" w:rsidR="00BF1181" w:rsidRPr="00BF1181" w:rsidRDefault="00BF1181" w:rsidP="00DA1002">
            <w:r w:rsidRPr="00BF1181">
              <w:t>Lassa Fever – U.S. Army Grant</w:t>
            </w:r>
          </w:p>
        </w:tc>
        <w:tc>
          <w:tcPr>
            <w:tcW w:w="1530" w:type="dxa"/>
            <w:tcBorders>
              <w:top w:val="single" w:sz="4" w:space="0" w:color="auto"/>
              <w:left w:val="nil"/>
              <w:bottom w:val="nil"/>
              <w:right w:val="nil"/>
            </w:tcBorders>
          </w:tcPr>
          <w:p w14:paraId="2FC23A01" w14:textId="77777777" w:rsidR="00BF1181" w:rsidRPr="00BF1181" w:rsidRDefault="00BF1181" w:rsidP="00DA1002">
            <w:pPr>
              <w:tabs>
                <w:tab w:val="right" w:pos="969"/>
              </w:tabs>
            </w:pPr>
            <w:r w:rsidRPr="00BF1181">
              <w:t>$</w:t>
            </w:r>
            <w:r w:rsidRPr="00BF1181">
              <w:tab/>
              <w:t>-</w:t>
            </w:r>
          </w:p>
        </w:tc>
        <w:tc>
          <w:tcPr>
            <w:tcW w:w="1530" w:type="dxa"/>
            <w:tcBorders>
              <w:top w:val="single" w:sz="4" w:space="0" w:color="auto"/>
              <w:left w:val="nil"/>
              <w:bottom w:val="nil"/>
              <w:right w:val="nil"/>
            </w:tcBorders>
          </w:tcPr>
          <w:p w14:paraId="4938016B" w14:textId="5AB08F2C" w:rsidR="00BF1181" w:rsidRPr="00BF1181" w:rsidRDefault="00BF1181" w:rsidP="00DA1002">
            <w:pPr>
              <w:tabs>
                <w:tab w:val="right" w:pos="926"/>
                <w:tab w:val="right" w:pos="989"/>
              </w:tabs>
            </w:pPr>
            <w:r w:rsidRPr="00BF1181">
              <w:t>$</w:t>
            </w:r>
            <w:r w:rsidRPr="00BF1181">
              <w:tab/>
            </w:r>
            <w:r w:rsidR="003F38DE">
              <w:t>-</w:t>
            </w:r>
          </w:p>
        </w:tc>
        <w:tc>
          <w:tcPr>
            <w:tcW w:w="1530" w:type="dxa"/>
            <w:tcBorders>
              <w:top w:val="single" w:sz="4" w:space="0" w:color="auto"/>
              <w:left w:val="nil"/>
              <w:bottom w:val="nil"/>
              <w:right w:val="nil"/>
            </w:tcBorders>
          </w:tcPr>
          <w:p w14:paraId="049B4389" w14:textId="2861B398" w:rsidR="00BF1181" w:rsidRPr="00BF1181" w:rsidRDefault="00BF1181" w:rsidP="00DA1002">
            <w:pPr>
              <w:tabs>
                <w:tab w:val="right" w:pos="989"/>
              </w:tabs>
            </w:pPr>
            <w:r w:rsidRPr="00BF1181">
              <w:t>$</w:t>
            </w:r>
            <w:r w:rsidRPr="00BF1181">
              <w:tab/>
            </w:r>
            <w:r w:rsidR="003F38DE">
              <w:t>81,526</w:t>
            </w:r>
          </w:p>
        </w:tc>
        <w:tc>
          <w:tcPr>
            <w:tcW w:w="1530" w:type="dxa"/>
            <w:tcBorders>
              <w:top w:val="single" w:sz="4" w:space="0" w:color="auto"/>
              <w:left w:val="nil"/>
              <w:bottom w:val="nil"/>
              <w:right w:val="nil"/>
            </w:tcBorders>
          </w:tcPr>
          <w:p w14:paraId="537A9431" w14:textId="17D9A173" w:rsidR="00BF1181" w:rsidRPr="00BF1181" w:rsidRDefault="00BF1181" w:rsidP="00DA1002">
            <w:pPr>
              <w:tabs>
                <w:tab w:val="right" w:pos="989"/>
              </w:tabs>
            </w:pPr>
            <w:r w:rsidRPr="00BF1181">
              <w:t>$</w:t>
            </w:r>
            <w:r w:rsidRPr="00BF1181">
              <w:tab/>
            </w:r>
            <w:r w:rsidR="003F38DE">
              <w:t>-</w:t>
            </w:r>
          </w:p>
        </w:tc>
      </w:tr>
      <w:tr w:rsidR="00BF1181" w:rsidRPr="00BF1181" w14:paraId="5B14E9CC" w14:textId="77777777" w:rsidTr="00161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0D80741B" w14:textId="16BEC811" w:rsidR="00BF1181" w:rsidRPr="00BF1181" w:rsidRDefault="0016138B" w:rsidP="00DA1002">
            <w:r>
              <w:t>COVID</w:t>
            </w:r>
            <w:r w:rsidR="00BF1181" w:rsidRPr="00BF1181">
              <w:t>-19 – NIH SBIR Grant</w:t>
            </w:r>
          </w:p>
        </w:tc>
        <w:tc>
          <w:tcPr>
            <w:tcW w:w="1530" w:type="dxa"/>
            <w:tcBorders>
              <w:bottom w:val="single" w:sz="4" w:space="0" w:color="auto"/>
            </w:tcBorders>
          </w:tcPr>
          <w:p w14:paraId="13F2ECBA" w14:textId="7286FD03" w:rsidR="00BF1181" w:rsidRPr="00BF1181" w:rsidRDefault="00BF1181" w:rsidP="00DA1002">
            <w:pPr>
              <w:tabs>
                <w:tab w:val="right" w:pos="969"/>
              </w:tabs>
            </w:pPr>
            <w:r w:rsidRPr="00BF1181">
              <w:tab/>
            </w:r>
            <w:r w:rsidR="003F38DE">
              <w:t>-</w:t>
            </w:r>
          </w:p>
        </w:tc>
        <w:tc>
          <w:tcPr>
            <w:tcW w:w="1530" w:type="dxa"/>
            <w:tcBorders>
              <w:bottom w:val="single" w:sz="4" w:space="0" w:color="auto"/>
            </w:tcBorders>
          </w:tcPr>
          <w:p w14:paraId="697068E5" w14:textId="0C536F21" w:rsidR="00BF1181" w:rsidRPr="00BF1181" w:rsidRDefault="00BF1181" w:rsidP="00DA1002">
            <w:pPr>
              <w:tabs>
                <w:tab w:val="right" w:pos="926"/>
                <w:tab w:val="right" w:pos="989"/>
              </w:tabs>
            </w:pPr>
            <w:r w:rsidRPr="00BF1181">
              <w:tab/>
            </w:r>
            <w:r w:rsidR="003F38DE">
              <w:t>79,708</w:t>
            </w:r>
          </w:p>
        </w:tc>
        <w:tc>
          <w:tcPr>
            <w:tcW w:w="1530" w:type="dxa"/>
            <w:tcBorders>
              <w:bottom w:val="single" w:sz="4" w:space="0" w:color="auto"/>
            </w:tcBorders>
          </w:tcPr>
          <w:p w14:paraId="1875046B" w14:textId="17B67CD6" w:rsidR="00BF1181" w:rsidRPr="00BF1181" w:rsidRDefault="00BF1181" w:rsidP="00DA1002">
            <w:pPr>
              <w:tabs>
                <w:tab w:val="right" w:pos="989"/>
              </w:tabs>
            </w:pPr>
            <w:r w:rsidRPr="00BF1181">
              <w:tab/>
            </w:r>
            <w:r w:rsidR="003F38DE">
              <w:t>-</w:t>
            </w:r>
          </w:p>
        </w:tc>
        <w:tc>
          <w:tcPr>
            <w:tcW w:w="1530" w:type="dxa"/>
            <w:tcBorders>
              <w:bottom w:val="single" w:sz="4" w:space="0" w:color="auto"/>
            </w:tcBorders>
          </w:tcPr>
          <w:p w14:paraId="5C372D93" w14:textId="71A986F7" w:rsidR="00BF1181" w:rsidRPr="00BF1181" w:rsidRDefault="00BF1181" w:rsidP="00DA1002">
            <w:pPr>
              <w:tabs>
                <w:tab w:val="right" w:pos="989"/>
              </w:tabs>
            </w:pPr>
            <w:r w:rsidRPr="00BF1181">
              <w:tab/>
            </w:r>
            <w:r w:rsidR="003F38DE">
              <w:t>190,125</w:t>
            </w:r>
          </w:p>
        </w:tc>
      </w:tr>
      <w:tr w:rsidR="00BF1181" w:rsidRPr="00BF1181" w14:paraId="42036A01" w14:textId="77777777" w:rsidTr="00161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3B96BD1D" w14:textId="77777777" w:rsidR="00BF1181" w:rsidRPr="00BF1181" w:rsidRDefault="00BF1181" w:rsidP="00DA1002">
            <w:r w:rsidRPr="00BF1181">
              <w:t>Total</w:t>
            </w:r>
          </w:p>
        </w:tc>
        <w:tc>
          <w:tcPr>
            <w:tcW w:w="1530" w:type="dxa"/>
            <w:tcBorders>
              <w:top w:val="single" w:sz="4" w:space="0" w:color="auto"/>
              <w:bottom w:val="double" w:sz="4" w:space="0" w:color="auto"/>
            </w:tcBorders>
          </w:tcPr>
          <w:p w14:paraId="20E1DA7A" w14:textId="51188872" w:rsidR="00BF1181" w:rsidRPr="00BF1181" w:rsidRDefault="00BF1181" w:rsidP="00DA1002">
            <w:pPr>
              <w:tabs>
                <w:tab w:val="right" w:pos="969"/>
              </w:tabs>
            </w:pPr>
            <w:r w:rsidRPr="00BF1181">
              <w:t>$</w:t>
            </w:r>
            <w:r w:rsidRPr="00BF1181">
              <w:tab/>
            </w:r>
            <w:r w:rsidR="003F38DE">
              <w:t>-</w:t>
            </w:r>
          </w:p>
        </w:tc>
        <w:tc>
          <w:tcPr>
            <w:tcW w:w="1530" w:type="dxa"/>
            <w:tcBorders>
              <w:top w:val="single" w:sz="4" w:space="0" w:color="auto"/>
              <w:bottom w:val="double" w:sz="4" w:space="0" w:color="auto"/>
            </w:tcBorders>
          </w:tcPr>
          <w:p w14:paraId="1387451A" w14:textId="091D29AB" w:rsidR="00BF1181" w:rsidRPr="00BF1181" w:rsidRDefault="00BF1181" w:rsidP="00DA1002">
            <w:pPr>
              <w:tabs>
                <w:tab w:val="right" w:pos="926"/>
                <w:tab w:val="right" w:pos="989"/>
              </w:tabs>
            </w:pPr>
            <w:r w:rsidRPr="00BF1181">
              <w:t>$</w:t>
            </w:r>
            <w:r w:rsidRPr="00BF1181">
              <w:tab/>
            </w:r>
            <w:r w:rsidR="003F38DE">
              <w:t>79,708</w:t>
            </w:r>
          </w:p>
        </w:tc>
        <w:tc>
          <w:tcPr>
            <w:tcW w:w="1530" w:type="dxa"/>
            <w:tcBorders>
              <w:top w:val="single" w:sz="4" w:space="0" w:color="auto"/>
              <w:bottom w:val="double" w:sz="4" w:space="0" w:color="auto"/>
            </w:tcBorders>
          </w:tcPr>
          <w:p w14:paraId="4772B490" w14:textId="37EF1D52" w:rsidR="00BF1181" w:rsidRPr="00BF1181" w:rsidRDefault="00BF1181" w:rsidP="00DA1002">
            <w:pPr>
              <w:tabs>
                <w:tab w:val="right" w:pos="989"/>
              </w:tabs>
            </w:pPr>
            <w:r w:rsidRPr="00BF1181">
              <w:t>$</w:t>
            </w:r>
            <w:r w:rsidRPr="00BF1181">
              <w:tab/>
            </w:r>
            <w:r w:rsidR="003F38DE">
              <w:t>81,526</w:t>
            </w:r>
          </w:p>
        </w:tc>
        <w:tc>
          <w:tcPr>
            <w:tcW w:w="1530" w:type="dxa"/>
            <w:tcBorders>
              <w:top w:val="single" w:sz="4" w:space="0" w:color="auto"/>
              <w:bottom w:val="double" w:sz="4" w:space="0" w:color="auto"/>
            </w:tcBorders>
          </w:tcPr>
          <w:p w14:paraId="1685C20B" w14:textId="36CCCE5F" w:rsidR="00BF1181" w:rsidRPr="00BF1181" w:rsidRDefault="00BF1181" w:rsidP="00DA1002">
            <w:pPr>
              <w:tabs>
                <w:tab w:val="right" w:pos="989"/>
              </w:tabs>
            </w:pPr>
            <w:r w:rsidRPr="00BF1181">
              <w:t>$</w:t>
            </w:r>
            <w:r w:rsidRPr="00BF1181">
              <w:tab/>
            </w:r>
            <w:r w:rsidR="003F38DE">
              <w:t>190,125</w:t>
            </w:r>
          </w:p>
        </w:tc>
      </w:tr>
    </w:tbl>
    <w:p w14:paraId="180672C5" w14:textId="77777777" w:rsidR="00E1248A" w:rsidRPr="0009354D" w:rsidRDefault="00E1248A" w:rsidP="00E1248A"/>
    <w:p w14:paraId="095A890D" w14:textId="01179FCA" w:rsidR="003F38DE" w:rsidRDefault="003F38DE" w:rsidP="003F38DE">
      <w:pPr>
        <w:rPr>
          <w:iCs/>
        </w:rPr>
      </w:pPr>
      <w:r>
        <w:t>Total grant revenues de</w:t>
      </w:r>
      <w:r w:rsidRPr="0009354D">
        <w:t>creased by $</w:t>
      </w:r>
      <w:r>
        <w:t>79,708</w:t>
      </w:r>
      <w:r w:rsidRPr="0009354D">
        <w:t xml:space="preserve"> (</w:t>
      </w:r>
      <w:r>
        <w:t>100</w:t>
      </w:r>
      <w:r w:rsidRPr="0009354D">
        <w:t xml:space="preserve">%) </w:t>
      </w:r>
      <w:r>
        <w:t>f</w:t>
      </w:r>
      <w:r w:rsidRPr="0009354D">
        <w:t xml:space="preserve">or the three-month </w:t>
      </w:r>
      <w:r>
        <w:t>period ended</w:t>
      </w:r>
      <w:r w:rsidRPr="0009354D">
        <w:t xml:space="preserve"> </w:t>
      </w:r>
      <w:r>
        <w:t xml:space="preserve">June 30, </w:t>
      </w:r>
      <w:proofErr w:type="gramStart"/>
      <w:r>
        <w:t>2022</w:t>
      </w:r>
      <w:proofErr w:type="gramEnd"/>
      <w:r>
        <w:t xml:space="preserve"> and by $108,599 (</w:t>
      </w:r>
      <w:r w:rsidR="001E026B">
        <w:t>57%)</w:t>
      </w:r>
      <w:r>
        <w:t xml:space="preserve"> </w:t>
      </w:r>
      <w:r w:rsidR="001E026B">
        <w:t>for the six-month period ended June 30, 2022, versus the comparable 2021 periods</w:t>
      </w:r>
      <w:r>
        <w:t>, attributable to the differing mix of active grants as shown in the table above, as well as the timing of expenditures related to such grants.</w:t>
      </w:r>
      <w:r w:rsidRPr="00BD41FD">
        <w:t xml:space="preserve"> </w:t>
      </w:r>
      <w:r>
        <w:t xml:space="preserve">As of </w:t>
      </w:r>
      <w:r w:rsidR="001E026B">
        <w:t>June</w:t>
      </w:r>
      <w:r>
        <w:t xml:space="preserve"> 3</w:t>
      </w:r>
      <w:r w:rsidR="001E026B">
        <w:t>0</w:t>
      </w:r>
      <w:r>
        <w:t xml:space="preserve">, 2022, all grant funds </w:t>
      </w:r>
      <w:r w:rsidR="001E026B">
        <w:t xml:space="preserve">approved for direct use by </w:t>
      </w:r>
      <w:proofErr w:type="spellStart"/>
      <w:r w:rsidR="001E026B">
        <w:t>GeoVax</w:t>
      </w:r>
      <w:proofErr w:type="spellEnd"/>
      <w:r w:rsidR="001E026B">
        <w:t xml:space="preserve"> </w:t>
      </w:r>
      <w:r>
        <w:t>have been utilized.</w:t>
      </w:r>
    </w:p>
    <w:p w14:paraId="2780CBE1" w14:textId="77777777" w:rsidR="00E1248A" w:rsidRPr="0061314E" w:rsidRDefault="00E1248A" w:rsidP="00177E79">
      <w:pPr>
        <w:rPr>
          <w:iCs/>
        </w:rPr>
      </w:pPr>
    </w:p>
    <w:p w14:paraId="3D829912" w14:textId="34AB6A3F" w:rsidR="00177E79" w:rsidRPr="0009354D" w:rsidRDefault="00177E79" w:rsidP="00177E79">
      <w:pPr>
        <w:rPr>
          <w:i/>
          <w:iCs/>
        </w:rPr>
      </w:pPr>
      <w:r w:rsidRPr="008F13AC">
        <w:rPr>
          <w:i/>
          <w:iCs/>
        </w:rPr>
        <w:t>Research and Development Expenses</w:t>
      </w:r>
    </w:p>
    <w:p w14:paraId="7D4D2777" w14:textId="1C9F5129" w:rsidR="00177E79" w:rsidRDefault="00177E79" w:rsidP="00177E79"/>
    <w:p w14:paraId="0BDDBC15" w14:textId="5DB98AED" w:rsidR="007247B2" w:rsidRDefault="000A37E8" w:rsidP="002C2BDB">
      <w:r w:rsidRPr="0009354D">
        <w:t>For the three-month and six-month periods ending June 30, 202</w:t>
      </w:r>
      <w:r>
        <w:t>2</w:t>
      </w:r>
      <w:r w:rsidRPr="0009354D">
        <w:t>, research and development expenses increased by $</w:t>
      </w:r>
      <w:r w:rsidR="0071637B">
        <w:t>474,342</w:t>
      </w:r>
      <w:r w:rsidRPr="0009354D">
        <w:t xml:space="preserve"> (</w:t>
      </w:r>
      <w:r w:rsidR="002C2BDB">
        <w:t>5</w:t>
      </w:r>
      <w:r w:rsidR="0071637B">
        <w:t>7</w:t>
      </w:r>
      <w:r w:rsidRPr="0009354D">
        <w:t>%) and $</w:t>
      </w:r>
      <w:r w:rsidR="002C2BDB">
        <w:t>1,</w:t>
      </w:r>
      <w:r w:rsidR="0071637B">
        <w:t>202,103</w:t>
      </w:r>
      <w:r w:rsidRPr="0009354D">
        <w:t xml:space="preserve"> (</w:t>
      </w:r>
      <w:r w:rsidR="002C2BDB">
        <w:t>8</w:t>
      </w:r>
      <w:r w:rsidR="00D15F87">
        <w:t>4</w:t>
      </w:r>
      <w:r w:rsidRPr="0009354D">
        <w:t xml:space="preserve">%), respectively, versus the </w:t>
      </w:r>
      <w:r w:rsidR="00C108A0">
        <w:t xml:space="preserve">comparable </w:t>
      </w:r>
      <w:r w:rsidRPr="0009354D">
        <w:t>202</w:t>
      </w:r>
      <w:r>
        <w:t>1</w:t>
      </w:r>
      <w:r w:rsidRPr="0009354D">
        <w:t xml:space="preserve"> periods</w:t>
      </w:r>
      <w:r w:rsidR="00C108A0">
        <w:t>.</w:t>
      </w:r>
      <w:r w:rsidRPr="0009354D">
        <w:t xml:space="preserve"> </w:t>
      </w:r>
      <w:r w:rsidR="00C108A0">
        <w:t xml:space="preserve">The overall increase during the 2022 periods relates primarily to higher personnel costs (including the use of external consultants), costs of conducting clinical trials for GEO-CM04S1 and </w:t>
      </w:r>
      <w:proofErr w:type="spellStart"/>
      <w:r w:rsidR="00C108A0">
        <w:t>Gedeptin</w:t>
      </w:r>
      <w:proofErr w:type="spellEnd"/>
      <w:r w:rsidR="00C108A0">
        <w:t>, costs of manufacturing materials for use in our clinical trials, and a generally higher level of activity.</w:t>
      </w:r>
      <w:r w:rsidR="00D97F71">
        <w:t xml:space="preserve"> </w:t>
      </w:r>
      <w:r w:rsidRPr="0009354D">
        <w:t>Research and development expense for the three-month and six-month periods of 202</w:t>
      </w:r>
      <w:r>
        <w:t>2</w:t>
      </w:r>
      <w:r w:rsidRPr="0009354D">
        <w:t xml:space="preserve"> included stock-based compensation expense of $</w:t>
      </w:r>
      <w:r w:rsidR="002C2BDB">
        <w:t>54,293</w:t>
      </w:r>
      <w:r w:rsidRPr="0009354D">
        <w:t xml:space="preserve"> and $</w:t>
      </w:r>
      <w:r w:rsidR="002C2BDB">
        <w:t>108,585</w:t>
      </w:r>
      <w:r w:rsidRPr="0009354D">
        <w:t xml:space="preserve">, respectively; </w:t>
      </w:r>
      <w:r>
        <w:t>as compared to $21,468 and $42,936, respectively, for the comparable 2021 periods</w:t>
      </w:r>
      <w:r w:rsidRPr="002968F1">
        <w:t>.</w:t>
      </w:r>
      <w:r w:rsidR="007247B2">
        <w:rPr>
          <w:rFonts w:ascii="CG Times (WN)" w:hAnsi="CG Times (WN)"/>
        </w:rPr>
        <w:t xml:space="preserve"> </w:t>
      </w:r>
    </w:p>
    <w:p w14:paraId="667D6395" w14:textId="73623779" w:rsidR="000A37E8" w:rsidRDefault="000A37E8" w:rsidP="00177E79"/>
    <w:p w14:paraId="13F00CA6" w14:textId="77777777" w:rsidR="00177E79" w:rsidRPr="0009354D" w:rsidRDefault="00177E79" w:rsidP="00177E79">
      <w:pPr>
        <w:rPr>
          <w:i/>
          <w:iCs/>
        </w:rPr>
      </w:pPr>
      <w:r w:rsidRPr="0009354D">
        <w:rPr>
          <w:i/>
          <w:iCs/>
        </w:rPr>
        <w:t>General and Administrative Expenses</w:t>
      </w:r>
    </w:p>
    <w:p w14:paraId="1C9983C1" w14:textId="77777777" w:rsidR="000A37E8" w:rsidRDefault="000A37E8" w:rsidP="00177E79"/>
    <w:p w14:paraId="377DE6D3" w14:textId="166E0A6A" w:rsidR="00D97F71" w:rsidRDefault="000A37E8" w:rsidP="000A37E8">
      <w:bookmarkStart w:id="32" w:name="_Hlk108707578"/>
      <w:r w:rsidRPr="0009354D">
        <w:t>For the three-month and six-month periods ending June 30, 202</w:t>
      </w:r>
      <w:r>
        <w:t>2</w:t>
      </w:r>
      <w:bookmarkEnd w:id="32"/>
      <w:r w:rsidRPr="0009354D">
        <w:t>, general and administrative expenses increased by $</w:t>
      </w:r>
      <w:r w:rsidR="00D026E5">
        <w:t>201,812</w:t>
      </w:r>
      <w:r w:rsidRPr="0009354D">
        <w:t xml:space="preserve"> (</w:t>
      </w:r>
      <w:r w:rsidR="00D026E5">
        <w:t>28</w:t>
      </w:r>
      <w:r w:rsidRPr="0009354D">
        <w:t>%) and $</w:t>
      </w:r>
      <w:r w:rsidR="00D026E5">
        <w:t>309,126</w:t>
      </w:r>
      <w:r w:rsidRPr="0009354D">
        <w:t xml:space="preserve"> (</w:t>
      </w:r>
      <w:r w:rsidR="00D026E5">
        <w:t>17</w:t>
      </w:r>
      <w:r w:rsidRPr="0009354D">
        <w:t>%), respectively</w:t>
      </w:r>
      <w:r>
        <w:t xml:space="preserve">, versus the </w:t>
      </w:r>
      <w:r w:rsidR="00C108A0">
        <w:t xml:space="preserve">comparable </w:t>
      </w:r>
      <w:r>
        <w:t>2021 periods</w:t>
      </w:r>
      <w:r w:rsidR="006B0127">
        <w:t>.</w:t>
      </w:r>
      <w:r w:rsidRPr="0009354D">
        <w:t xml:space="preserve"> </w:t>
      </w:r>
      <w:r w:rsidR="00351AC8">
        <w:t>The overall increase during the 2022 periods relates primarily to higher personnel costs (including the use of external consultants), patent costs and travel expenses.</w:t>
      </w:r>
      <w:r w:rsidR="006B0127" w:rsidRPr="006B0127">
        <w:t xml:space="preserve"> </w:t>
      </w:r>
      <w:r w:rsidR="006B0127" w:rsidRPr="0009354D">
        <w:t>General and administrative expense for the three-month and six-month periods of 202</w:t>
      </w:r>
      <w:r w:rsidR="006B0127">
        <w:t>2</w:t>
      </w:r>
      <w:r w:rsidR="006B0127" w:rsidRPr="0009354D">
        <w:t xml:space="preserve"> included stock-based compensation expense of $</w:t>
      </w:r>
      <w:r w:rsidR="006B0127">
        <w:t>152,88</w:t>
      </w:r>
      <w:r w:rsidR="00BC6B92">
        <w:t>5</w:t>
      </w:r>
      <w:r w:rsidR="006B0127" w:rsidRPr="0009354D">
        <w:t xml:space="preserve"> and $</w:t>
      </w:r>
      <w:r w:rsidR="006B0127">
        <w:t>303,744</w:t>
      </w:r>
      <w:r w:rsidR="006B0127" w:rsidRPr="0009354D">
        <w:t>, respectively; as compared to $</w:t>
      </w:r>
      <w:r w:rsidR="006B0127">
        <w:t>65,295</w:t>
      </w:r>
      <w:r w:rsidR="006B0127" w:rsidRPr="0009354D">
        <w:t xml:space="preserve"> and $</w:t>
      </w:r>
      <w:r w:rsidR="006B0127">
        <w:t>120,617</w:t>
      </w:r>
      <w:r w:rsidR="006B0127" w:rsidRPr="0009354D">
        <w:t>, respectively, for the comparable periods of 202</w:t>
      </w:r>
      <w:r w:rsidR="006B0127">
        <w:t>1</w:t>
      </w:r>
      <w:r w:rsidR="006B0127" w:rsidRPr="0009354D">
        <w:t>.</w:t>
      </w:r>
    </w:p>
    <w:p w14:paraId="651228BA" w14:textId="77777777" w:rsidR="00945DB9" w:rsidRPr="0009354D" w:rsidRDefault="00945DB9" w:rsidP="00177E79">
      <w:pPr>
        <w:rPr>
          <w:color w:val="000000"/>
        </w:rPr>
      </w:pPr>
    </w:p>
    <w:p w14:paraId="00E3DE76" w14:textId="77777777" w:rsidR="00177E79" w:rsidRPr="0009354D" w:rsidRDefault="00177E79" w:rsidP="00177E79">
      <w:pPr>
        <w:rPr>
          <w:i/>
          <w:iCs/>
        </w:rPr>
      </w:pPr>
      <w:r w:rsidRPr="0009354D">
        <w:rPr>
          <w:i/>
          <w:iCs/>
        </w:rPr>
        <w:t>Other Income (Expense)</w:t>
      </w:r>
    </w:p>
    <w:p w14:paraId="7E6FF04A" w14:textId="46FAA88C" w:rsidR="00177E79" w:rsidRDefault="00177E79" w:rsidP="00177E79"/>
    <w:p w14:paraId="19E102BF" w14:textId="3957090C" w:rsidR="005D251A" w:rsidRPr="0009354D" w:rsidRDefault="005D251A" w:rsidP="005D251A">
      <w:r w:rsidRPr="0009354D">
        <w:t xml:space="preserve">Interest income for the three-month and six-month periods ended June 30, </w:t>
      </w:r>
      <w:proofErr w:type="gramStart"/>
      <w:r w:rsidRPr="0009354D">
        <w:t>202</w:t>
      </w:r>
      <w:r>
        <w:t>2</w:t>
      </w:r>
      <w:proofErr w:type="gramEnd"/>
      <w:r w:rsidRPr="0009354D">
        <w:t xml:space="preserve"> was $</w:t>
      </w:r>
      <w:r w:rsidR="00D026E5">
        <w:t>789</w:t>
      </w:r>
      <w:r w:rsidRPr="0009354D">
        <w:t xml:space="preserve"> and $</w:t>
      </w:r>
      <w:r w:rsidR="00D026E5">
        <w:t>1,316</w:t>
      </w:r>
      <w:r w:rsidRPr="0009354D">
        <w:t>, respectively, as compared to $</w:t>
      </w:r>
      <w:r>
        <w:t>1,068</w:t>
      </w:r>
      <w:r w:rsidRPr="0009354D">
        <w:t xml:space="preserve"> and $</w:t>
      </w:r>
      <w:r>
        <w:t>3,121</w:t>
      </w:r>
      <w:r w:rsidRPr="0009354D">
        <w:t>, respectively, for comparable periods of 202</w:t>
      </w:r>
      <w:r>
        <w:t>1</w:t>
      </w:r>
      <w:r w:rsidRPr="0009354D">
        <w:t xml:space="preserve">. The variances between periods are primarily attributable to cash available for investment and interest rate fluctuations. </w:t>
      </w:r>
    </w:p>
    <w:p w14:paraId="68331673" w14:textId="77777777" w:rsidR="005D251A" w:rsidRPr="0009354D" w:rsidRDefault="005D251A" w:rsidP="005D251A"/>
    <w:p w14:paraId="0AF13B68" w14:textId="6C2FB67F" w:rsidR="005D251A" w:rsidRPr="0009354D" w:rsidRDefault="005D251A" w:rsidP="005D251A">
      <w:r>
        <w:t xml:space="preserve">No interest expense was recorded during the </w:t>
      </w:r>
      <w:r w:rsidRPr="0009354D">
        <w:t>three-month and six-month periods ended June 30, 202</w:t>
      </w:r>
      <w:r>
        <w:t xml:space="preserve">2. </w:t>
      </w:r>
      <w:r w:rsidRPr="0009354D">
        <w:t xml:space="preserve">Interest expense for the </w:t>
      </w:r>
      <w:bookmarkStart w:id="33" w:name="_Hlk108532423"/>
      <w:r w:rsidRPr="0009354D">
        <w:t xml:space="preserve">three-month and six-month periods ended June 30, </w:t>
      </w:r>
      <w:proofErr w:type="gramStart"/>
      <w:r w:rsidRPr="0009354D">
        <w:t>2021</w:t>
      </w:r>
      <w:bookmarkEnd w:id="33"/>
      <w:proofErr w:type="gramEnd"/>
      <w:r w:rsidRPr="0009354D">
        <w:t xml:space="preserve"> was $531 and $1,286, respectively.</w:t>
      </w:r>
    </w:p>
    <w:p w14:paraId="6380C165" w14:textId="77777777" w:rsidR="005D251A" w:rsidRPr="0009354D" w:rsidRDefault="005D251A" w:rsidP="005D251A"/>
    <w:p w14:paraId="5D883DDF" w14:textId="20E84FF3" w:rsidR="005D251A" w:rsidRPr="0009354D" w:rsidRDefault="005D251A" w:rsidP="005D251A">
      <w:r w:rsidRPr="0009354D">
        <w:t xml:space="preserve">During the three-month </w:t>
      </w:r>
      <w:r>
        <w:t xml:space="preserve">and six-month </w:t>
      </w:r>
      <w:r w:rsidRPr="0009354D">
        <w:t>period</w:t>
      </w:r>
      <w:r>
        <w:t>s</w:t>
      </w:r>
      <w:r w:rsidRPr="0009354D">
        <w:t xml:space="preserve"> ended June 30, 2021, we recorded a $172,056 </w:t>
      </w:r>
      <w:r>
        <w:t xml:space="preserve">one-time </w:t>
      </w:r>
      <w:r w:rsidRPr="0009354D">
        <w:t xml:space="preserve">gain on debt extinguishment associated with the forgiveness of </w:t>
      </w:r>
      <w:r w:rsidR="005A7B56">
        <w:t>the</w:t>
      </w:r>
      <w:r w:rsidRPr="0009354D">
        <w:t xml:space="preserve"> principal and accrued interest</w:t>
      </w:r>
      <w:r w:rsidR="005A7B56">
        <w:t xml:space="preserve"> related to our Paycheck Protection Program (PPP) loan.</w:t>
      </w:r>
    </w:p>
    <w:p w14:paraId="74E239F2" w14:textId="77777777" w:rsidR="00A87862" w:rsidRPr="0009354D" w:rsidRDefault="00A87862" w:rsidP="00177E79"/>
    <w:p w14:paraId="3942DE5F" w14:textId="77777777" w:rsidR="0069583E" w:rsidRDefault="0069583E">
      <w:pPr>
        <w:rPr>
          <w:rFonts w:eastAsia="????"/>
          <w:b/>
        </w:rPr>
      </w:pPr>
      <w:r>
        <w:rPr>
          <w:rFonts w:eastAsia="????"/>
          <w:b/>
        </w:rPr>
        <w:br w:type="page"/>
      </w:r>
    </w:p>
    <w:p w14:paraId="03C5151D" w14:textId="6BB01495" w:rsidR="00177E79" w:rsidRPr="0009354D" w:rsidRDefault="00177E79" w:rsidP="00177E79">
      <w:pPr>
        <w:rPr>
          <w:rFonts w:eastAsia="????"/>
          <w:b/>
        </w:rPr>
      </w:pPr>
      <w:r w:rsidRPr="0009354D">
        <w:rPr>
          <w:rFonts w:eastAsia="????"/>
          <w:b/>
        </w:rPr>
        <w:t>Liquidit</w:t>
      </w:r>
      <w:r w:rsidR="0016138B">
        <w:rPr>
          <w:rFonts w:eastAsia="????"/>
          <w:b/>
        </w:rPr>
        <w:t xml:space="preserve">y, </w:t>
      </w:r>
      <w:r w:rsidRPr="0009354D">
        <w:rPr>
          <w:rFonts w:eastAsia="????"/>
          <w:b/>
        </w:rPr>
        <w:t>Capital Resources</w:t>
      </w:r>
      <w:r w:rsidR="0016138B">
        <w:rPr>
          <w:rFonts w:eastAsia="????"/>
          <w:b/>
        </w:rPr>
        <w:t xml:space="preserve"> and Cash Flows</w:t>
      </w:r>
    </w:p>
    <w:p w14:paraId="413CD1FC" w14:textId="77777777" w:rsidR="00177E79" w:rsidRPr="0009354D" w:rsidRDefault="00177E79" w:rsidP="00177E79"/>
    <w:p w14:paraId="55508F55" w14:textId="65799DE8" w:rsidR="00177E79" w:rsidRPr="0009354D" w:rsidRDefault="00177E79" w:rsidP="00177E79">
      <w:r w:rsidRPr="0009354D">
        <w:t xml:space="preserve">The following tables summarize our liquidity and capital resources as of </w:t>
      </w:r>
      <w:r w:rsidR="00B009EF">
        <w:t>June</w:t>
      </w:r>
      <w:r w:rsidRPr="0009354D">
        <w:t xml:space="preserve"> 3</w:t>
      </w:r>
      <w:r w:rsidR="00B009EF">
        <w:t>0</w:t>
      </w:r>
      <w:r w:rsidR="00224660">
        <w:t>,</w:t>
      </w:r>
      <w:r w:rsidRPr="0009354D">
        <w:t xml:space="preserve"> </w:t>
      </w:r>
      <w:proofErr w:type="gramStart"/>
      <w:r w:rsidRPr="0009354D">
        <w:t>202</w:t>
      </w:r>
      <w:r w:rsidR="00224660">
        <w:t>2</w:t>
      </w:r>
      <w:proofErr w:type="gramEnd"/>
      <w:r w:rsidRPr="0009354D">
        <w:t xml:space="preserve"> and December 31, 202</w:t>
      </w:r>
      <w:r w:rsidR="00224660">
        <w:t>1</w:t>
      </w:r>
      <w:r w:rsidRPr="0009354D">
        <w:t xml:space="preserve">, and our cash flows for the </w:t>
      </w:r>
      <w:r w:rsidR="00B009EF">
        <w:t>six</w:t>
      </w:r>
      <w:r w:rsidRPr="0009354D">
        <w:t xml:space="preserve">-month periods ended </w:t>
      </w:r>
      <w:r w:rsidR="00B009EF">
        <w:t>June</w:t>
      </w:r>
      <w:r w:rsidRPr="0009354D">
        <w:t xml:space="preserve"> 3</w:t>
      </w:r>
      <w:r w:rsidR="00B009EF">
        <w:t>0</w:t>
      </w:r>
      <w:r w:rsidRPr="0009354D">
        <w:t>, 202</w:t>
      </w:r>
      <w:r w:rsidR="00224660">
        <w:t>2</w:t>
      </w:r>
      <w:r w:rsidRPr="0009354D">
        <w:t xml:space="preserve"> and 202</w:t>
      </w:r>
      <w:r w:rsidR="00224660">
        <w:t>1</w:t>
      </w:r>
      <w:r w:rsidRPr="0009354D">
        <w:t>:</w:t>
      </w:r>
    </w:p>
    <w:p w14:paraId="0E97811B" w14:textId="77777777" w:rsidR="00177E79" w:rsidRPr="0009354D"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75EC65FA" w14:textId="77777777" w:rsidTr="002741E2">
        <w:tc>
          <w:tcPr>
            <w:tcW w:w="3870" w:type="dxa"/>
            <w:tcBorders>
              <w:bottom w:val="single" w:sz="4" w:space="0" w:color="auto"/>
            </w:tcBorders>
          </w:tcPr>
          <w:p w14:paraId="65409863" w14:textId="77777777" w:rsidR="00177E79" w:rsidRPr="0009354D" w:rsidRDefault="00177E79" w:rsidP="002741E2">
            <w:pPr>
              <w:tabs>
                <w:tab w:val="right" w:pos="9180"/>
              </w:tabs>
              <w:ind w:right="-360"/>
            </w:pPr>
            <w:r w:rsidRPr="0009354D">
              <w:t>Liquidity and Capital Resources</w:t>
            </w:r>
          </w:p>
        </w:tc>
        <w:tc>
          <w:tcPr>
            <w:tcW w:w="1008" w:type="dxa"/>
            <w:tcBorders>
              <w:bottom w:val="single" w:sz="4" w:space="0" w:color="auto"/>
            </w:tcBorders>
          </w:tcPr>
          <w:p w14:paraId="7A22F4EA"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2A1AA4E1" w14:textId="519C5D94" w:rsidR="00177E79" w:rsidRPr="0009354D" w:rsidRDefault="00B009EF" w:rsidP="002741E2">
            <w:pPr>
              <w:tabs>
                <w:tab w:val="right" w:pos="9180"/>
              </w:tabs>
              <w:ind w:right="-18"/>
              <w:jc w:val="center"/>
            </w:pPr>
            <w:r>
              <w:t>June</w:t>
            </w:r>
            <w:r w:rsidR="00177E79" w:rsidRPr="0009354D">
              <w:t xml:space="preserve"> 3</w:t>
            </w:r>
            <w:r>
              <w:t>0</w:t>
            </w:r>
            <w:r w:rsidR="00177E79" w:rsidRPr="0009354D">
              <w:t>, 202</w:t>
            </w:r>
            <w:r w:rsidR="00224660">
              <w:t>2</w:t>
            </w:r>
          </w:p>
        </w:tc>
        <w:tc>
          <w:tcPr>
            <w:tcW w:w="1836" w:type="dxa"/>
            <w:tcBorders>
              <w:bottom w:val="single" w:sz="4" w:space="0" w:color="auto"/>
            </w:tcBorders>
          </w:tcPr>
          <w:p w14:paraId="5B34068E" w14:textId="7C3B7080" w:rsidR="00177E79" w:rsidRPr="0009354D" w:rsidRDefault="00177E79" w:rsidP="002741E2">
            <w:pPr>
              <w:tabs>
                <w:tab w:val="right" w:pos="9180"/>
              </w:tabs>
              <w:ind w:right="-18"/>
              <w:jc w:val="center"/>
            </w:pPr>
            <w:r w:rsidRPr="0009354D">
              <w:t>December 31, 202</w:t>
            </w:r>
            <w:r w:rsidR="00224660">
              <w:t>1</w:t>
            </w:r>
          </w:p>
        </w:tc>
      </w:tr>
      <w:tr w:rsidR="00177E79" w:rsidRPr="0009354D" w14:paraId="601A43B2" w14:textId="77777777" w:rsidTr="002741E2">
        <w:tc>
          <w:tcPr>
            <w:tcW w:w="3870" w:type="dxa"/>
            <w:tcBorders>
              <w:top w:val="single" w:sz="4" w:space="0" w:color="auto"/>
            </w:tcBorders>
          </w:tcPr>
          <w:p w14:paraId="09111359" w14:textId="77777777" w:rsidR="00177E79" w:rsidRPr="0009354D" w:rsidRDefault="00177E79" w:rsidP="002741E2">
            <w:pPr>
              <w:tabs>
                <w:tab w:val="right" w:pos="9180"/>
              </w:tabs>
              <w:ind w:right="-360"/>
            </w:pPr>
            <w:r w:rsidRPr="0009354D">
              <w:t>Cash and cash equivalents</w:t>
            </w:r>
          </w:p>
        </w:tc>
        <w:tc>
          <w:tcPr>
            <w:tcW w:w="1008" w:type="dxa"/>
            <w:tcBorders>
              <w:top w:val="single" w:sz="4" w:space="0" w:color="auto"/>
            </w:tcBorders>
          </w:tcPr>
          <w:p w14:paraId="6F1FE39E" w14:textId="77777777" w:rsidR="00177E79" w:rsidRPr="0009354D" w:rsidRDefault="00177E79" w:rsidP="002741E2">
            <w:pPr>
              <w:tabs>
                <w:tab w:val="decimal" w:pos="1062"/>
                <w:tab w:val="right" w:pos="9180"/>
              </w:tabs>
              <w:ind w:right="-18"/>
            </w:pPr>
          </w:p>
        </w:tc>
        <w:tc>
          <w:tcPr>
            <w:tcW w:w="1836" w:type="dxa"/>
            <w:tcBorders>
              <w:top w:val="single" w:sz="4" w:space="0" w:color="auto"/>
            </w:tcBorders>
          </w:tcPr>
          <w:p w14:paraId="356C1DA2" w14:textId="6C41907D" w:rsidR="00177E79" w:rsidRPr="0009354D" w:rsidRDefault="00177E79" w:rsidP="002741E2">
            <w:pPr>
              <w:tabs>
                <w:tab w:val="decimal" w:pos="1317"/>
                <w:tab w:val="right" w:pos="9180"/>
              </w:tabs>
              <w:ind w:right="-18"/>
            </w:pPr>
            <w:r w:rsidRPr="0009354D">
              <w:t>$</w:t>
            </w:r>
            <w:r w:rsidRPr="0009354D">
              <w:tab/>
            </w:r>
            <w:r w:rsidR="00CB5CD0">
              <w:t>30,902,454</w:t>
            </w:r>
          </w:p>
        </w:tc>
        <w:tc>
          <w:tcPr>
            <w:tcW w:w="1836" w:type="dxa"/>
            <w:tcBorders>
              <w:top w:val="single" w:sz="4" w:space="0" w:color="auto"/>
            </w:tcBorders>
          </w:tcPr>
          <w:p w14:paraId="0FB9A5CC" w14:textId="4D631360" w:rsidR="00177E79" w:rsidRPr="0009354D" w:rsidRDefault="00177E79" w:rsidP="002741E2">
            <w:pPr>
              <w:tabs>
                <w:tab w:val="decimal" w:pos="1545"/>
                <w:tab w:val="right" w:pos="9180"/>
              </w:tabs>
              <w:ind w:right="-18"/>
            </w:pPr>
            <w:r w:rsidRPr="0009354D">
              <w:t>$</w:t>
            </w:r>
            <w:r w:rsidRPr="0009354D">
              <w:tab/>
            </w:r>
            <w:r w:rsidR="00224660">
              <w:t>11,423,870</w:t>
            </w:r>
          </w:p>
        </w:tc>
      </w:tr>
      <w:tr w:rsidR="00177E79" w:rsidRPr="0009354D" w14:paraId="439262A6" w14:textId="77777777" w:rsidTr="002741E2">
        <w:tc>
          <w:tcPr>
            <w:tcW w:w="3870" w:type="dxa"/>
          </w:tcPr>
          <w:p w14:paraId="6AA3F388" w14:textId="77777777" w:rsidR="00177E79" w:rsidRPr="0009354D" w:rsidRDefault="00177E79" w:rsidP="002741E2">
            <w:pPr>
              <w:tabs>
                <w:tab w:val="right" w:pos="9180"/>
              </w:tabs>
              <w:ind w:right="-360"/>
            </w:pPr>
            <w:r w:rsidRPr="0009354D">
              <w:t>Working capital</w:t>
            </w:r>
          </w:p>
        </w:tc>
        <w:tc>
          <w:tcPr>
            <w:tcW w:w="1008" w:type="dxa"/>
          </w:tcPr>
          <w:p w14:paraId="2EC28984" w14:textId="77777777" w:rsidR="00177E79" w:rsidRPr="0009354D" w:rsidRDefault="00177E79" w:rsidP="002741E2">
            <w:pPr>
              <w:tabs>
                <w:tab w:val="decimal" w:pos="1062"/>
                <w:tab w:val="right" w:pos="9180"/>
              </w:tabs>
              <w:ind w:right="-18"/>
            </w:pPr>
          </w:p>
        </w:tc>
        <w:tc>
          <w:tcPr>
            <w:tcW w:w="1836" w:type="dxa"/>
          </w:tcPr>
          <w:p w14:paraId="78225003" w14:textId="602E0665" w:rsidR="00177E79" w:rsidRPr="0009354D" w:rsidRDefault="00177E79" w:rsidP="002741E2">
            <w:pPr>
              <w:tabs>
                <w:tab w:val="decimal" w:pos="1317"/>
                <w:tab w:val="right" w:pos="9180"/>
              </w:tabs>
              <w:ind w:right="-18"/>
            </w:pPr>
            <w:r w:rsidRPr="0009354D">
              <w:tab/>
            </w:r>
            <w:r w:rsidR="00CB5CD0">
              <w:t>28,</w:t>
            </w:r>
            <w:r w:rsidR="00D15F87">
              <w:t>670,366</w:t>
            </w:r>
          </w:p>
        </w:tc>
        <w:tc>
          <w:tcPr>
            <w:tcW w:w="1836" w:type="dxa"/>
          </w:tcPr>
          <w:p w14:paraId="576472BB" w14:textId="6EE24003" w:rsidR="00177E79" w:rsidRPr="0009354D" w:rsidRDefault="00177E79" w:rsidP="002741E2">
            <w:pPr>
              <w:tabs>
                <w:tab w:val="decimal" w:pos="1545"/>
                <w:tab w:val="right" w:pos="9180"/>
              </w:tabs>
              <w:ind w:right="-18"/>
            </w:pPr>
            <w:r w:rsidRPr="0009354D">
              <w:tab/>
            </w:r>
            <w:r w:rsidR="00224660">
              <w:t>6,193,756</w:t>
            </w:r>
          </w:p>
        </w:tc>
      </w:tr>
    </w:tbl>
    <w:p w14:paraId="61DF57AA" w14:textId="77777777" w:rsidR="00177E79"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292A6E40" w14:textId="77777777" w:rsidTr="002741E2">
        <w:tc>
          <w:tcPr>
            <w:tcW w:w="3870" w:type="dxa"/>
          </w:tcPr>
          <w:p w14:paraId="5032FB09" w14:textId="77777777" w:rsidR="00177E79" w:rsidRPr="0009354D" w:rsidRDefault="00177E79" w:rsidP="002741E2">
            <w:pPr>
              <w:tabs>
                <w:tab w:val="right" w:pos="9180"/>
              </w:tabs>
              <w:ind w:right="-360"/>
            </w:pPr>
          </w:p>
        </w:tc>
        <w:tc>
          <w:tcPr>
            <w:tcW w:w="1008" w:type="dxa"/>
          </w:tcPr>
          <w:p w14:paraId="4ED55FC9" w14:textId="77777777" w:rsidR="00177E79" w:rsidRPr="0009354D" w:rsidRDefault="00177E79" w:rsidP="002741E2">
            <w:pPr>
              <w:tabs>
                <w:tab w:val="right" w:pos="9180"/>
              </w:tabs>
              <w:ind w:right="-18"/>
              <w:jc w:val="center"/>
            </w:pPr>
          </w:p>
        </w:tc>
        <w:tc>
          <w:tcPr>
            <w:tcW w:w="3672" w:type="dxa"/>
            <w:gridSpan w:val="2"/>
            <w:tcBorders>
              <w:bottom w:val="single" w:sz="4" w:space="0" w:color="auto"/>
            </w:tcBorders>
          </w:tcPr>
          <w:p w14:paraId="6AC881DA" w14:textId="27FC890F" w:rsidR="00177E79" w:rsidRPr="0009354D" w:rsidRDefault="00CB5CD0" w:rsidP="002741E2">
            <w:pPr>
              <w:tabs>
                <w:tab w:val="right" w:pos="9180"/>
              </w:tabs>
              <w:ind w:right="-18"/>
              <w:jc w:val="center"/>
            </w:pPr>
            <w:r>
              <w:t>Six</w:t>
            </w:r>
            <w:r w:rsidR="00177E79" w:rsidRPr="0009354D">
              <w:t xml:space="preserve"> Months Ended </w:t>
            </w:r>
            <w:r>
              <w:t>June</w:t>
            </w:r>
            <w:r w:rsidR="00177E79" w:rsidRPr="0009354D">
              <w:t xml:space="preserve"> 3</w:t>
            </w:r>
            <w:r>
              <w:t>0</w:t>
            </w:r>
            <w:r w:rsidR="00177E79" w:rsidRPr="0009354D">
              <w:t>,</w:t>
            </w:r>
          </w:p>
        </w:tc>
      </w:tr>
      <w:tr w:rsidR="00177E79" w:rsidRPr="0009354D" w14:paraId="2B167BC6" w14:textId="77777777" w:rsidTr="002741E2">
        <w:tc>
          <w:tcPr>
            <w:tcW w:w="3870" w:type="dxa"/>
            <w:tcBorders>
              <w:bottom w:val="single" w:sz="4" w:space="0" w:color="auto"/>
            </w:tcBorders>
          </w:tcPr>
          <w:p w14:paraId="5BD45002" w14:textId="77777777" w:rsidR="00177E79" w:rsidRPr="0009354D" w:rsidRDefault="00177E79" w:rsidP="002741E2">
            <w:pPr>
              <w:tabs>
                <w:tab w:val="right" w:pos="9180"/>
              </w:tabs>
              <w:ind w:right="-360"/>
            </w:pPr>
            <w:r w:rsidRPr="0009354D">
              <w:t>Cash Flow Data</w:t>
            </w:r>
          </w:p>
        </w:tc>
        <w:tc>
          <w:tcPr>
            <w:tcW w:w="1008" w:type="dxa"/>
            <w:tcBorders>
              <w:bottom w:val="single" w:sz="4" w:space="0" w:color="auto"/>
            </w:tcBorders>
          </w:tcPr>
          <w:p w14:paraId="7B0E56DB"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7027129B" w14:textId="1662856C" w:rsidR="00177E79" w:rsidRPr="0009354D" w:rsidRDefault="00177E79" w:rsidP="002741E2">
            <w:pPr>
              <w:tabs>
                <w:tab w:val="right" w:pos="9180"/>
              </w:tabs>
              <w:ind w:right="-18"/>
              <w:jc w:val="center"/>
            </w:pPr>
            <w:r w:rsidRPr="0009354D">
              <w:t>202</w:t>
            </w:r>
            <w:r w:rsidR="00224660">
              <w:t>2</w:t>
            </w:r>
          </w:p>
        </w:tc>
        <w:tc>
          <w:tcPr>
            <w:tcW w:w="1836" w:type="dxa"/>
            <w:tcBorders>
              <w:bottom w:val="single" w:sz="4" w:space="0" w:color="auto"/>
            </w:tcBorders>
          </w:tcPr>
          <w:p w14:paraId="2601B8AD" w14:textId="37661AC7" w:rsidR="00177E79" w:rsidRPr="0009354D" w:rsidRDefault="00177E79" w:rsidP="002741E2">
            <w:pPr>
              <w:tabs>
                <w:tab w:val="right" w:pos="9180"/>
              </w:tabs>
              <w:ind w:right="-18"/>
              <w:jc w:val="center"/>
            </w:pPr>
            <w:r w:rsidRPr="0009354D">
              <w:t>202</w:t>
            </w:r>
            <w:r w:rsidR="00224660">
              <w:t>1</w:t>
            </w:r>
          </w:p>
        </w:tc>
      </w:tr>
      <w:tr w:rsidR="00177E79" w:rsidRPr="0009354D" w14:paraId="1F561349" w14:textId="77777777" w:rsidTr="002741E2">
        <w:tc>
          <w:tcPr>
            <w:tcW w:w="3870" w:type="dxa"/>
          </w:tcPr>
          <w:p w14:paraId="189713E1" w14:textId="77777777" w:rsidR="00177E79" w:rsidRPr="0009354D" w:rsidRDefault="00177E79" w:rsidP="002741E2">
            <w:pPr>
              <w:tabs>
                <w:tab w:val="right" w:pos="9180"/>
              </w:tabs>
              <w:ind w:right="-360"/>
            </w:pPr>
            <w:r w:rsidRPr="0009354D">
              <w:t>Net cash provided by (used in):</w:t>
            </w:r>
          </w:p>
        </w:tc>
        <w:tc>
          <w:tcPr>
            <w:tcW w:w="1008" w:type="dxa"/>
          </w:tcPr>
          <w:p w14:paraId="76E25402" w14:textId="77777777" w:rsidR="00177E79" w:rsidRPr="0009354D" w:rsidRDefault="00177E79" w:rsidP="002741E2">
            <w:pPr>
              <w:tabs>
                <w:tab w:val="right" w:pos="9180"/>
              </w:tabs>
              <w:ind w:right="-18"/>
              <w:jc w:val="center"/>
            </w:pPr>
          </w:p>
        </w:tc>
        <w:tc>
          <w:tcPr>
            <w:tcW w:w="1836" w:type="dxa"/>
          </w:tcPr>
          <w:p w14:paraId="63BDD68C" w14:textId="77777777" w:rsidR="00177E79" w:rsidRPr="0009354D" w:rsidRDefault="00177E79" w:rsidP="002741E2">
            <w:pPr>
              <w:tabs>
                <w:tab w:val="right" w:pos="9180"/>
              </w:tabs>
              <w:ind w:right="-18"/>
              <w:jc w:val="center"/>
            </w:pPr>
          </w:p>
        </w:tc>
        <w:tc>
          <w:tcPr>
            <w:tcW w:w="1836" w:type="dxa"/>
          </w:tcPr>
          <w:p w14:paraId="04DCA296" w14:textId="77777777" w:rsidR="00177E79" w:rsidRPr="0009354D" w:rsidRDefault="00177E79" w:rsidP="002741E2">
            <w:pPr>
              <w:tabs>
                <w:tab w:val="right" w:pos="9180"/>
              </w:tabs>
              <w:ind w:right="-18"/>
              <w:jc w:val="center"/>
            </w:pPr>
          </w:p>
        </w:tc>
      </w:tr>
      <w:tr w:rsidR="00177E79" w:rsidRPr="0009354D" w14:paraId="24BCEC79" w14:textId="77777777" w:rsidTr="002741E2">
        <w:tc>
          <w:tcPr>
            <w:tcW w:w="3870" w:type="dxa"/>
          </w:tcPr>
          <w:p w14:paraId="442E933D" w14:textId="77777777" w:rsidR="00177E79" w:rsidRPr="0009354D" w:rsidRDefault="00177E79" w:rsidP="002741E2">
            <w:pPr>
              <w:tabs>
                <w:tab w:val="right" w:pos="9180"/>
              </w:tabs>
              <w:ind w:right="-360"/>
            </w:pPr>
            <w:r w:rsidRPr="0009354D">
              <w:t xml:space="preserve">     Operating activities</w:t>
            </w:r>
          </w:p>
        </w:tc>
        <w:tc>
          <w:tcPr>
            <w:tcW w:w="1008" w:type="dxa"/>
          </w:tcPr>
          <w:p w14:paraId="49D35C15" w14:textId="77777777" w:rsidR="00177E79" w:rsidRPr="0009354D" w:rsidRDefault="00177E79" w:rsidP="002741E2">
            <w:pPr>
              <w:tabs>
                <w:tab w:val="decimal" w:pos="1062"/>
                <w:tab w:val="right" w:pos="9180"/>
              </w:tabs>
              <w:ind w:right="-18"/>
            </w:pPr>
          </w:p>
        </w:tc>
        <w:tc>
          <w:tcPr>
            <w:tcW w:w="1836" w:type="dxa"/>
          </w:tcPr>
          <w:p w14:paraId="4C807210" w14:textId="039309A5" w:rsidR="00177E79" w:rsidRPr="0009354D" w:rsidRDefault="00177E79" w:rsidP="002741E2">
            <w:pPr>
              <w:tabs>
                <w:tab w:val="decimal" w:pos="1317"/>
                <w:tab w:val="right" w:pos="9180"/>
              </w:tabs>
              <w:ind w:right="-18"/>
            </w:pPr>
            <w:r w:rsidRPr="0009354D">
              <w:t>$</w:t>
            </w:r>
            <w:r w:rsidRPr="0009354D">
              <w:tab/>
            </w:r>
            <w:r w:rsidR="00E022F7">
              <w:t>(</w:t>
            </w:r>
            <w:r w:rsidR="00CB5CD0">
              <w:t>8,166,818</w:t>
            </w:r>
            <w:r w:rsidR="00E022F7">
              <w:t>)</w:t>
            </w:r>
          </w:p>
        </w:tc>
        <w:tc>
          <w:tcPr>
            <w:tcW w:w="1836" w:type="dxa"/>
          </w:tcPr>
          <w:p w14:paraId="76A4A0E2" w14:textId="495E5733" w:rsidR="00177E79" w:rsidRPr="0009354D" w:rsidRDefault="00177E79" w:rsidP="002741E2">
            <w:pPr>
              <w:tabs>
                <w:tab w:val="decimal" w:pos="1545"/>
                <w:tab w:val="right" w:pos="9180"/>
              </w:tabs>
              <w:ind w:right="-18"/>
            </w:pPr>
            <w:r w:rsidRPr="0009354D">
              <w:t>$</w:t>
            </w:r>
            <w:r w:rsidRPr="0009354D">
              <w:tab/>
            </w:r>
            <w:r w:rsidR="00E13787">
              <w:t>(</w:t>
            </w:r>
            <w:r w:rsidR="00CB5CD0">
              <w:t>2,879,566</w:t>
            </w:r>
            <w:r w:rsidR="00E13787">
              <w:t>)</w:t>
            </w:r>
          </w:p>
        </w:tc>
      </w:tr>
      <w:tr w:rsidR="00177E79" w:rsidRPr="0009354D" w14:paraId="09AA2EBA" w14:textId="77777777" w:rsidTr="002741E2">
        <w:tc>
          <w:tcPr>
            <w:tcW w:w="3870" w:type="dxa"/>
          </w:tcPr>
          <w:p w14:paraId="7EC8A6DC" w14:textId="77777777" w:rsidR="00177E79" w:rsidRPr="0009354D" w:rsidRDefault="00177E79" w:rsidP="002741E2">
            <w:pPr>
              <w:tabs>
                <w:tab w:val="right" w:pos="9180"/>
              </w:tabs>
              <w:ind w:right="-360"/>
            </w:pPr>
            <w:r w:rsidRPr="0009354D">
              <w:t xml:space="preserve">     Investing activities</w:t>
            </w:r>
          </w:p>
        </w:tc>
        <w:tc>
          <w:tcPr>
            <w:tcW w:w="1008" w:type="dxa"/>
          </w:tcPr>
          <w:p w14:paraId="72B63C02" w14:textId="77777777" w:rsidR="00177E79" w:rsidRPr="0009354D" w:rsidRDefault="00177E79" w:rsidP="002741E2">
            <w:pPr>
              <w:tabs>
                <w:tab w:val="decimal" w:pos="1062"/>
                <w:tab w:val="right" w:pos="9180"/>
              </w:tabs>
              <w:ind w:right="-18"/>
            </w:pPr>
          </w:p>
        </w:tc>
        <w:tc>
          <w:tcPr>
            <w:tcW w:w="1836" w:type="dxa"/>
          </w:tcPr>
          <w:p w14:paraId="5428FCC1" w14:textId="1B03A845" w:rsidR="00177E79" w:rsidRPr="0009354D" w:rsidRDefault="00177E79" w:rsidP="002741E2">
            <w:pPr>
              <w:tabs>
                <w:tab w:val="decimal" w:pos="1317"/>
                <w:tab w:val="right" w:pos="9180"/>
              </w:tabs>
              <w:ind w:right="-18"/>
            </w:pPr>
            <w:r w:rsidRPr="0009354D">
              <w:tab/>
            </w:r>
            <w:r w:rsidR="00E022F7">
              <w:t>(</w:t>
            </w:r>
            <w:r w:rsidR="00CB5CD0">
              <w:t>82,383</w:t>
            </w:r>
            <w:r w:rsidR="00E022F7">
              <w:t>)</w:t>
            </w:r>
          </w:p>
        </w:tc>
        <w:tc>
          <w:tcPr>
            <w:tcW w:w="1836" w:type="dxa"/>
          </w:tcPr>
          <w:p w14:paraId="437564D6" w14:textId="2B589D1F" w:rsidR="00177E79" w:rsidRPr="0009354D" w:rsidRDefault="00177E79" w:rsidP="002741E2">
            <w:pPr>
              <w:tabs>
                <w:tab w:val="decimal" w:pos="1545"/>
                <w:tab w:val="right" w:pos="9180"/>
              </w:tabs>
              <w:ind w:right="-18"/>
            </w:pPr>
            <w:r w:rsidRPr="0009354D">
              <w:tab/>
            </w:r>
            <w:r w:rsidR="00CB5CD0">
              <w:t>(19,929)</w:t>
            </w:r>
          </w:p>
        </w:tc>
      </w:tr>
      <w:tr w:rsidR="00177E79" w:rsidRPr="0009354D" w14:paraId="410F6FFF" w14:textId="77777777" w:rsidTr="002741E2">
        <w:tc>
          <w:tcPr>
            <w:tcW w:w="3870" w:type="dxa"/>
          </w:tcPr>
          <w:p w14:paraId="60CF45E6" w14:textId="77777777" w:rsidR="00177E79" w:rsidRPr="0009354D" w:rsidRDefault="00177E79" w:rsidP="002741E2">
            <w:pPr>
              <w:tabs>
                <w:tab w:val="right" w:pos="9180"/>
              </w:tabs>
              <w:ind w:right="-360"/>
            </w:pPr>
            <w:r w:rsidRPr="0009354D">
              <w:t xml:space="preserve">     Financing activities</w:t>
            </w:r>
          </w:p>
        </w:tc>
        <w:tc>
          <w:tcPr>
            <w:tcW w:w="1008" w:type="dxa"/>
          </w:tcPr>
          <w:p w14:paraId="0AB96877" w14:textId="77777777" w:rsidR="00177E79" w:rsidRPr="0009354D" w:rsidRDefault="00177E79" w:rsidP="002741E2">
            <w:pPr>
              <w:tabs>
                <w:tab w:val="decimal" w:pos="1044"/>
                <w:tab w:val="right" w:pos="9180"/>
              </w:tabs>
              <w:ind w:right="-18"/>
            </w:pPr>
          </w:p>
        </w:tc>
        <w:tc>
          <w:tcPr>
            <w:tcW w:w="1836" w:type="dxa"/>
            <w:tcBorders>
              <w:bottom w:val="single" w:sz="4" w:space="0" w:color="auto"/>
            </w:tcBorders>
          </w:tcPr>
          <w:p w14:paraId="05E963E4" w14:textId="3CE8CD61" w:rsidR="00177E79" w:rsidRPr="0009354D" w:rsidRDefault="00177E79" w:rsidP="002741E2">
            <w:pPr>
              <w:tabs>
                <w:tab w:val="decimal" w:pos="1317"/>
                <w:tab w:val="right" w:pos="9180"/>
              </w:tabs>
              <w:ind w:right="-18"/>
            </w:pPr>
            <w:r w:rsidRPr="0009354D">
              <w:tab/>
            </w:r>
            <w:r w:rsidR="00CB5CD0">
              <w:t>27,727,785</w:t>
            </w:r>
          </w:p>
        </w:tc>
        <w:tc>
          <w:tcPr>
            <w:tcW w:w="1836" w:type="dxa"/>
            <w:tcBorders>
              <w:bottom w:val="single" w:sz="4" w:space="0" w:color="auto"/>
            </w:tcBorders>
          </w:tcPr>
          <w:p w14:paraId="65A9E051" w14:textId="11909DFB" w:rsidR="00177E79" w:rsidRPr="0009354D" w:rsidRDefault="00177E79" w:rsidP="002741E2">
            <w:pPr>
              <w:tabs>
                <w:tab w:val="decimal" w:pos="1545"/>
                <w:tab w:val="right" w:pos="9180"/>
              </w:tabs>
              <w:ind w:right="-18"/>
            </w:pPr>
            <w:r w:rsidRPr="0009354D">
              <w:tab/>
            </w:r>
            <w:r w:rsidR="00CB5CD0">
              <w:t>12,554,212</w:t>
            </w:r>
          </w:p>
        </w:tc>
      </w:tr>
      <w:tr w:rsidR="00177E79" w:rsidRPr="0009354D" w14:paraId="3D289392" w14:textId="77777777" w:rsidTr="002741E2">
        <w:tc>
          <w:tcPr>
            <w:tcW w:w="3870" w:type="dxa"/>
          </w:tcPr>
          <w:p w14:paraId="08486B0C" w14:textId="77777777" w:rsidR="00177E79" w:rsidRPr="0009354D" w:rsidRDefault="00177E79" w:rsidP="002741E2">
            <w:pPr>
              <w:tabs>
                <w:tab w:val="right" w:pos="9180"/>
              </w:tabs>
              <w:ind w:right="-360"/>
            </w:pPr>
            <w:r w:rsidRPr="0009354D">
              <w:t>Net increase in cash and cash equivalents</w:t>
            </w:r>
          </w:p>
        </w:tc>
        <w:tc>
          <w:tcPr>
            <w:tcW w:w="1008" w:type="dxa"/>
          </w:tcPr>
          <w:p w14:paraId="5D3F63EE" w14:textId="77777777" w:rsidR="00177E79" w:rsidRPr="0009354D" w:rsidRDefault="00177E79" w:rsidP="002741E2">
            <w:pPr>
              <w:tabs>
                <w:tab w:val="decimal" w:pos="1044"/>
                <w:tab w:val="right" w:pos="9180"/>
              </w:tabs>
              <w:ind w:right="-18"/>
            </w:pPr>
          </w:p>
        </w:tc>
        <w:tc>
          <w:tcPr>
            <w:tcW w:w="1836" w:type="dxa"/>
            <w:tcBorders>
              <w:top w:val="single" w:sz="4" w:space="0" w:color="auto"/>
              <w:bottom w:val="double" w:sz="4" w:space="0" w:color="auto"/>
            </w:tcBorders>
          </w:tcPr>
          <w:p w14:paraId="63E9809E" w14:textId="0223545C" w:rsidR="00177E79" w:rsidRPr="0009354D" w:rsidRDefault="00177E79" w:rsidP="002741E2">
            <w:pPr>
              <w:tabs>
                <w:tab w:val="decimal" w:pos="1317"/>
                <w:tab w:val="right" w:pos="9180"/>
              </w:tabs>
              <w:ind w:right="-18"/>
            </w:pPr>
            <w:r w:rsidRPr="0009354D">
              <w:t>$</w:t>
            </w:r>
            <w:r w:rsidRPr="0009354D">
              <w:tab/>
            </w:r>
            <w:r w:rsidR="00CB5CD0">
              <w:t>19,478,584</w:t>
            </w:r>
          </w:p>
        </w:tc>
        <w:tc>
          <w:tcPr>
            <w:tcW w:w="1836" w:type="dxa"/>
            <w:tcBorders>
              <w:top w:val="single" w:sz="4" w:space="0" w:color="auto"/>
              <w:bottom w:val="double" w:sz="4" w:space="0" w:color="auto"/>
            </w:tcBorders>
          </w:tcPr>
          <w:p w14:paraId="0FF82177" w14:textId="65BA2966" w:rsidR="00177E79" w:rsidRPr="0009354D" w:rsidRDefault="00177E79" w:rsidP="002741E2">
            <w:pPr>
              <w:tabs>
                <w:tab w:val="decimal" w:pos="1545"/>
                <w:tab w:val="right" w:pos="9180"/>
              </w:tabs>
              <w:ind w:right="-18"/>
            </w:pPr>
            <w:r w:rsidRPr="0009354D">
              <w:t>$</w:t>
            </w:r>
            <w:r w:rsidRPr="0009354D">
              <w:tab/>
            </w:r>
            <w:r w:rsidR="00CB5CD0">
              <w:t>9,654,717</w:t>
            </w:r>
          </w:p>
        </w:tc>
      </w:tr>
    </w:tbl>
    <w:p w14:paraId="58B20A80" w14:textId="77777777" w:rsidR="00177E79" w:rsidRPr="0009354D" w:rsidRDefault="00177E79" w:rsidP="00177E79"/>
    <w:p w14:paraId="4149AEC3" w14:textId="0218D49F" w:rsidR="00177E79" w:rsidRPr="0009354D" w:rsidRDefault="00177E79" w:rsidP="00177E79">
      <w:r w:rsidRPr="0009354D">
        <w:rPr>
          <w:i/>
          <w:iCs/>
        </w:rPr>
        <w:t>Operating Activities</w:t>
      </w:r>
      <w:r w:rsidRPr="0009354D">
        <w:t xml:space="preserve"> – Net cash used in operating activities of $</w:t>
      </w:r>
      <w:r w:rsidR="00CB5CD0">
        <w:t>8,166,818</w:t>
      </w:r>
      <w:r w:rsidRPr="0009354D">
        <w:t xml:space="preserve"> for the </w:t>
      </w:r>
      <w:r w:rsidR="00CB5CD0">
        <w:t>six</w:t>
      </w:r>
      <w:r w:rsidRPr="0009354D">
        <w:t xml:space="preserve"> months ended </w:t>
      </w:r>
      <w:r w:rsidR="00CB5CD0">
        <w:t>June</w:t>
      </w:r>
      <w:r w:rsidRPr="0009354D">
        <w:t xml:space="preserve"> 3</w:t>
      </w:r>
      <w:r w:rsidR="00CB5CD0">
        <w:t>0</w:t>
      </w:r>
      <w:r w:rsidRPr="0009354D">
        <w:t>, 202</w:t>
      </w:r>
      <w:r w:rsidR="00224660">
        <w:t>2</w:t>
      </w:r>
      <w:r w:rsidRPr="0009354D">
        <w:t>, was primarily due to our net loss of $</w:t>
      </w:r>
      <w:r w:rsidR="00CB5CD0">
        <w:t>4,</w:t>
      </w:r>
      <w:r w:rsidR="00D15F87">
        <w:t>669,214</w:t>
      </w:r>
      <w:r w:rsidRPr="0009354D">
        <w:t xml:space="preserve">, </w:t>
      </w:r>
      <w:r w:rsidR="00BC6B92">
        <w:t>as adjusted</w:t>
      </w:r>
      <w:r w:rsidR="00BC6B92" w:rsidRPr="0009354D">
        <w:t xml:space="preserve"> </w:t>
      </w:r>
      <w:r w:rsidRPr="0009354D">
        <w:t xml:space="preserve">by non-cash </w:t>
      </w:r>
      <w:r>
        <w:t>items</w:t>
      </w:r>
      <w:r w:rsidRPr="0009354D">
        <w:t xml:space="preserve"> such as depreciation</w:t>
      </w:r>
      <w:r>
        <w:t xml:space="preserve"> expense</w:t>
      </w:r>
      <w:r w:rsidR="00224660">
        <w:t xml:space="preserve"> and</w:t>
      </w:r>
      <w:r w:rsidRPr="0009354D">
        <w:t xml:space="preserve"> stock-based compensation expense, and by changes in our working capital accounts. Net cash used in operating activities of $</w:t>
      </w:r>
      <w:r w:rsidR="00CB5CD0">
        <w:t>2,879,566</w:t>
      </w:r>
      <w:r w:rsidR="00224660">
        <w:t xml:space="preserve"> </w:t>
      </w:r>
      <w:r w:rsidRPr="0009354D">
        <w:t xml:space="preserve">for the </w:t>
      </w:r>
      <w:r w:rsidR="00CB5CD0">
        <w:t>six</w:t>
      </w:r>
      <w:r w:rsidRPr="0009354D">
        <w:t xml:space="preserve"> months ended </w:t>
      </w:r>
      <w:r w:rsidR="00CB5CD0">
        <w:t>June</w:t>
      </w:r>
      <w:r w:rsidRPr="0009354D">
        <w:t xml:space="preserve"> 3</w:t>
      </w:r>
      <w:r w:rsidR="00CB5CD0">
        <w:t>0</w:t>
      </w:r>
      <w:r w:rsidRPr="0009354D">
        <w:t>, 202</w:t>
      </w:r>
      <w:r w:rsidR="00224660">
        <w:t>1</w:t>
      </w:r>
      <w:r w:rsidRPr="0009354D">
        <w:t>, was primarily due to our net loss of $</w:t>
      </w:r>
      <w:r w:rsidR="00CB5CD0">
        <w:t>2,876,811</w:t>
      </w:r>
      <w:r w:rsidRPr="0009354D">
        <w:t xml:space="preserve">, </w:t>
      </w:r>
      <w:r w:rsidR="005A7B56">
        <w:t xml:space="preserve">also </w:t>
      </w:r>
      <w:r w:rsidR="00BC6B92">
        <w:t>adjusted</w:t>
      </w:r>
      <w:r w:rsidR="00BC6B92" w:rsidRPr="0009354D">
        <w:t xml:space="preserve"> </w:t>
      </w:r>
      <w:r w:rsidRPr="0009354D">
        <w:t>by non-cash charges such as depreciation and stock-based compensation expense, and by changes in our working capital accounts.</w:t>
      </w:r>
      <w:r w:rsidR="00224660">
        <w:t xml:space="preserve"> </w:t>
      </w:r>
    </w:p>
    <w:p w14:paraId="42C235A6" w14:textId="77777777" w:rsidR="00177E79" w:rsidRPr="0009354D" w:rsidRDefault="00177E79" w:rsidP="00177E79"/>
    <w:p w14:paraId="2F90EDBC" w14:textId="02FDAF19" w:rsidR="00177E79" w:rsidRPr="0009354D" w:rsidRDefault="00177E79" w:rsidP="00177E79">
      <w:r w:rsidRPr="0009354D">
        <w:rPr>
          <w:i/>
          <w:iCs/>
        </w:rPr>
        <w:t>Investing Activities</w:t>
      </w:r>
      <w:r w:rsidRPr="0009354D">
        <w:t xml:space="preserve"> – Net cash used in investing activities was $</w:t>
      </w:r>
      <w:r w:rsidR="00CB5CD0">
        <w:t>82,383</w:t>
      </w:r>
      <w:r>
        <w:t xml:space="preserve"> and $</w:t>
      </w:r>
      <w:r w:rsidR="00CB5CD0">
        <w:t>19,929</w:t>
      </w:r>
      <w:r w:rsidRPr="0009354D">
        <w:t xml:space="preserve"> for the </w:t>
      </w:r>
      <w:r w:rsidR="00CB5CD0">
        <w:t>six</w:t>
      </w:r>
      <w:r w:rsidRPr="0009354D">
        <w:t>-month period</w:t>
      </w:r>
      <w:r>
        <w:t>s</w:t>
      </w:r>
      <w:r w:rsidRPr="0009354D">
        <w:t xml:space="preserve"> ended </w:t>
      </w:r>
      <w:r w:rsidR="00CB5CD0">
        <w:t>June</w:t>
      </w:r>
      <w:r w:rsidRPr="0009354D">
        <w:t> 3</w:t>
      </w:r>
      <w:r w:rsidR="00CB5CD0">
        <w:t>0</w:t>
      </w:r>
      <w:r w:rsidRPr="0009354D">
        <w:t xml:space="preserve">, </w:t>
      </w:r>
      <w:proofErr w:type="gramStart"/>
      <w:r w:rsidRPr="0009354D">
        <w:t>202</w:t>
      </w:r>
      <w:r w:rsidR="00224660">
        <w:t>2</w:t>
      </w:r>
      <w:proofErr w:type="gramEnd"/>
      <w:r>
        <w:t xml:space="preserve"> and 202</w:t>
      </w:r>
      <w:r w:rsidR="00224660">
        <w:t>1</w:t>
      </w:r>
      <w:r>
        <w:t>, respectively,</w:t>
      </w:r>
      <w:r w:rsidRPr="0009354D">
        <w:t xml:space="preserve"> and relates </w:t>
      </w:r>
      <w:r w:rsidR="005A7B56">
        <w:t xml:space="preserve">primarily </w:t>
      </w:r>
      <w:r w:rsidRPr="0009354D">
        <w:t xml:space="preserve">to purchases of </w:t>
      </w:r>
      <w:r w:rsidR="009946C2">
        <w:t>laboratory</w:t>
      </w:r>
      <w:r w:rsidRPr="0009354D">
        <w:t xml:space="preserve"> equipment.</w:t>
      </w:r>
    </w:p>
    <w:p w14:paraId="65FD0343" w14:textId="77777777" w:rsidR="00177E79" w:rsidRPr="0009354D" w:rsidRDefault="00177E79" w:rsidP="00177E79"/>
    <w:p w14:paraId="57A8DA01" w14:textId="1D9FB87B" w:rsidR="00177E79" w:rsidRPr="00A57C79" w:rsidRDefault="00177E79" w:rsidP="00177E79">
      <w:r w:rsidRPr="0009354D">
        <w:rPr>
          <w:i/>
          <w:iCs/>
        </w:rPr>
        <w:t>Financing Activities</w:t>
      </w:r>
      <w:r w:rsidRPr="0009354D">
        <w:t xml:space="preserve"> – </w:t>
      </w:r>
      <w:bookmarkStart w:id="34" w:name="_Hlk98343180"/>
      <w:r w:rsidRPr="0009354D">
        <w:t>Net cash provided by financing activities was $</w:t>
      </w:r>
      <w:r w:rsidR="00CB5CD0">
        <w:t>27,727,785</w:t>
      </w:r>
      <w:r w:rsidRPr="0009354D">
        <w:t xml:space="preserve"> for the </w:t>
      </w:r>
      <w:r w:rsidR="00CB5CD0">
        <w:t>six</w:t>
      </w:r>
      <w:r w:rsidRPr="0009354D">
        <w:t xml:space="preserve">-month period ended </w:t>
      </w:r>
      <w:r w:rsidR="00CB5CD0">
        <w:t>June</w:t>
      </w:r>
      <w:r w:rsidRPr="0009354D">
        <w:t> 3</w:t>
      </w:r>
      <w:r w:rsidR="00CB5CD0">
        <w:t>0</w:t>
      </w:r>
      <w:r w:rsidRPr="0009354D">
        <w:t>, 202</w:t>
      </w:r>
      <w:r w:rsidR="00A57C79">
        <w:t>2</w:t>
      </w:r>
      <w:r w:rsidRPr="0009354D">
        <w:t>, consist</w:t>
      </w:r>
      <w:r w:rsidR="00A57C79">
        <w:t>ing</w:t>
      </w:r>
      <w:r w:rsidRPr="0009354D">
        <w:t xml:space="preserve"> of net proceeds from </w:t>
      </w:r>
      <w:r>
        <w:t>a</w:t>
      </w:r>
      <w:r w:rsidRPr="0009354D">
        <w:t xml:space="preserve"> </w:t>
      </w:r>
      <w:r w:rsidR="00E022F7">
        <w:t>private</w:t>
      </w:r>
      <w:r w:rsidRPr="0009354D">
        <w:t xml:space="preserve"> </w:t>
      </w:r>
      <w:r w:rsidR="00E022F7">
        <w:t>placement</w:t>
      </w:r>
      <w:r w:rsidRPr="0009354D">
        <w:t xml:space="preserve"> of our common stock</w:t>
      </w:r>
      <w:r w:rsidR="00E022F7">
        <w:t xml:space="preserve"> and warrants</w:t>
      </w:r>
      <w:bookmarkEnd w:id="34"/>
      <w:r w:rsidR="005A7B56">
        <w:rPr>
          <w:rFonts w:ascii="CG Times (WN)" w:hAnsi="CG Times (WN)"/>
        </w:rPr>
        <w:t xml:space="preserve"> as described in </w:t>
      </w:r>
      <w:r w:rsidR="005A7B56">
        <w:t xml:space="preserve">Note 5 to the </w:t>
      </w:r>
      <w:r w:rsidR="005A7B56" w:rsidRPr="0009354D">
        <w:rPr>
          <w:rFonts w:eastAsia="????"/>
        </w:rPr>
        <w:t>condensed consolidated financial statements, included in this Quarterly Report</w:t>
      </w:r>
      <w:r w:rsidR="005A7B56">
        <w:rPr>
          <w:rFonts w:eastAsia="????"/>
        </w:rPr>
        <w:t>.</w:t>
      </w:r>
      <w:r w:rsidR="005A7B56" w:rsidRPr="0009354D">
        <w:t xml:space="preserve"> </w:t>
      </w:r>
      <w:r w:rsidR="00A57C79" w:rsidRPr="0009354D">
        <w:t>Net cash provided by financing activities was $</w:t>
      </w:r>
      <w:r w:rsidR="00CB5CD0">
        <w:t>12,554,212</w:t>
      </w:r>
      <w:r w:rsidR="00A57C79" w:rsidRPr="0009354D">
        <w:t xml:space="preserve"> for the </w:t>
      </w:r>
      <w:r w:rsidR="00CB5CD0">
        <w:t>six</w:t>
      </w:r>
      <w:r w:rsidR="00A57C79" w:rsidRPr="0009354D">
        <w:t xml:space="preserve">-month period ended </w:t>
      </w:r>
      <w:r w:rsidR="00CB5CD0">
        <w:t>June</w:t>
      </w:r>
      <w:r w:rsidR="00A57C79" w:rsidRPr="0009354D">
        <w:t> 3</w:t>
      </w:r>
      <w:r w:rsidR="00CB5CD0">
        <w:t>0</w:t>
      </w:r>
      <w:r w:rsidR="00A57C79" w:rsidRPr="0009354D">
        <w:t xml:space="preserve">, 2021, consisting </w:t>
      </w:r>
      <w:r w:rsidR="00FB467F">
        <w:t xml:space="preserve">primarily </w:t>
      </w:r>
      <w:r w:rsidR="00A57C79" w:rsidRPr="0009354D">
        <w:t xml:space="preserve">of (i) net proceeds of $9,408,920 from </w:t>
      </w:r>
      <w:r w:rsidR="00A57C79">
        <w:t>a</w:t>
      </w:r>
      <w:r w:rsidR="00A57C79" w:rsidRPr="0009354D">
        <w:t xml:space="preserve"> public offering of our common stock, (ii) $</w:t>
      </w:r>
      <w:r w:rsidR="00E13787">
        <w:t>3,174,156</w:t>
      </w:r>
      <w:r w:rsidR="00A57C79" w:rsidRPr="0009354D">
        <w:t xml:space="preserve"> of net proceeds from the exercise of warrants</w:t>
      </w:r>
      <w:r w:rsidR="00A57C79">
        <w:t xml:space="preserve">, </w:t>
      </w:r>
      <w:r w:rsidR="00A57C79" w:rsidRPr="0009354D">
        <w:t>and (i</w:t>
      </w:r>
      <w:r w:rsidR="00E13787">
        <w:t>ii</w:t>
      </w:r>
      <w:r w:rsidR="00A57C79" w:rsidRPr="0009354D">
        <w:t>) $</w:t>
      </w:r>
      <w:r w:rsidR="00FB467F">
        <w:t>27,864</w:t>
      </w:r>
      <w:r w:rsidR="00E13787">
        <w:t xml:space="preserve"> </w:t>
      </w:r>
      <w:r w:rsidR="00A57C79" w:rsidRPr="0009354D">
        <w:t xml:space="preserve">in principal repayments </w:t>
      </w:r>
      <w:r w:rsidR="005A7B56">
        <w:t>in retirement of</w:t>
      </w:r>
      <w:r w:rsidR="00A57C79" w:rsidRPr="0009354D">
        <w:t xml:space="preserve"> a note payable</w:t>
      </w:r>
      <w:r w:rsidR="005A7B56">
        <w:rPr>
          <w:rFonts w:ascii="CG Times (WN)" w:hAnsi="CG Times (WN)"/>
        </w:rPr>
        <w:t>.</w:t>
      </w:r>
    </w:p>
    <w:p w14:paraId="6E46420B" w14:textId="77777777" w:rsidR="00A57C79" w:rsidRPr="0009354D" w:rsidRDefault="00A57C79" w:rsidP="00177E79"/>
    <w:p w14:paraId="03C04337" w14:textId="026007C6" w:rsidR="00177E79" w:rsidRPr="00491EB6" w:rsidRDefault="00177E79" w:rsidP="00177E79">
      <w:pPr>
        <w:rPr>
          <w:b/>
          <w:bCs/>
        </w:rPr>
      </w:pPr>
      <w:r w:rsidRPr="00530123">
        <w:rPr>
          <w:b/>
          <w:bCs/>
        </w:rPr>
        <w:t>Funding Requirements</w:t>
      </w:r>
    </w:p>
    <w:p w14:paraId="01DF4936" w14:textId="77777777" w:rsidR="00177E79" w:rsidRPr="0009354D" w:rsidRDefault="00177E79" w:rsidP="00177E79"/>
    <w:p w14:paraId="6D6A30A5" w14:textId="77777777" w:rsidR="00A87862" w:rsidRDefault="00A87862" w:rsidP="00A87862">
      <w:r>
        <w:t xml:space="preserve">We have no products approved for commercial sale. We </w:t>
      </w:r>
      <w:r w:rsidRPr="00506B49">
        <w:t>do not expect to</w:t>
      </w:r>
      <w:r>
        <w:t xml:space="preserve"> </w:t>
      </w:r>
      <w:r w:rsidRPr="00506B49">
        <w:t>generate any meaningful</w:t>
      </w:r>
      <w:r>
        <w:t xml:space="preserve"> </w:t>
      </w:r>
      <w:r w:rsidRPr="00506B49">
        <w:t>revenue unless and</w:t>
      </w:r>
      <w:r>
        <w:t xml:space="preserve"> </w:t>
      </w:r>
      <w:r w:rsidRPr="00506B49">
        <w:t>until we obtain regulatory</w:t>
      </w:r>
      <w:r>
        <w:t xml:space="preserve"> </w:t>
      </w:r>
      <w:r w:rsidRPr="00506B49">
        <w:t>approval of and</w:t>
      </w:r>
      <w:r>
        <w:t xml:space="preserve"> </w:t>
      </w:r>
      <w:r w:rsidRPr="00506B49">
        <w:t>commercialize our product</w:t>
      </w:r>
      <w:r>
        <w:t xml:space="preserve"> </w:t>
      </w:r>
      <w:r w:rsidRPr="00506B49">
        <w:t>candidates. We</w:t>
      </w:r>
      <w:r>
        <w:t xml:space="preserve"> </w:t>
      </w:r>
      <w:r w:rsidRPr="00506B49">
        <w:t>do not</w:t>
      </w:r>
      <w:r>
        <w:t xml:space="preserve"> </w:t>
      </w:r>
      <w:r w:rsidRPr="00506B49">
        <w:t>know when,</w:t>
      </w:r>
      <w:r>
        <w:t xml:space="preserve"> </w:t>
      </w:r>
      <w:r w:rsidRPr="00506B49">
        <w:t>or if,</w:t>
      </w:r>
      <w:r>
        <w:t xml:space="preserve"> </w:t>
      </w:r>
      <w:r w:rsidRPr="00506B49">
        <w:t>this will occur.</w:t>
      </w:r>
      <w:r>
        <w:t xml:space="preserve"> As of</w:t>
      </w:r>
      <w:r w:rsidRPr="0009354D">
        <w:t xml:space="preserve"> </w:t>
      </w:r>
      <w:r>
        <w:t>June</w:t>
      </w:r>
      <w:r w:rsidRPr="0009354D">
        <w:t xml:space="preserve"> 3</w:t>
      </w:r>
      <w:r>
        <w:t>0</w:t>
      </w:r>
      <w:r w:rsidRPr="0009354D">
        <w:t>, 202</w:t>
      </w:r>
      <w:r>
        <w:t>2</w:t>
      </w:r>
      <w:r w:rsidRPr="0009354D">
        <w:t xml:space="preserve">, we have </w:t>
      </w:r>
      <w:r>
        <w:t>an accumulated deficit of</w:t>
      </w:r>
      <w:r w:rsidRPr="0009354D">
        <w:t xml:space="preserve"> approximately $</w:t>
      </w:r>
      <w:r>
        <w:t>69</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1DD91265" w14:textId="77777777" w:rsidR="00A87862" w:rsidRDefault="00A87862" w:rsidP="00A87862"/>
    <w:p w14:paraId="2BA36843" w14:textId="77777777" w:rsidR="00A87862" w:rsidRDefault="00A87862" w:rsidP="00A87862">
      <w:r w:rsidRPr="0009354D">
        <w:t>Our primary uses of capital are for personnel</w:t>
      </w:r>
      <w:r>
        <w:t xml:space="preserve"> costs</w:t>
      </w:r>
      <w:r w:rsidRPr="0009354D">
        <w:t>,</w:t>
      </w:r>
      <w:r>
        <w:t xml:space="preserve"> costs of conducting clinical trials,</w:t>
      </w:r>
      <w:r w:rsidRPr="0009354D">
        <w:t xml:space="preserve"> manufacturing costs for </w:t>
      </w:r>
      <w:r>
        <w:t>materials used in clinical trials</w:t>
      </w:r>
      <w:r w:rsidRPr="0009354D">
        <w:t xml:space="preserve">, third-party research services, laboratory and related supplies, </w:t>
      </w:r>
      <w:r>
        <w:t xml:space="preserve">technology license fees, </w:t>
      </w:r>
      <w:r w:rsidRPr="0009354D">
        <w:t xml:space="preserve">legal and other regulatory expenses, and general overhead costs. We expect these costs will continue to be the primary operating capital requirements for the near future. </w:t>
      </w:r>
    </w:p>
    <w:p w14:paraId="36E39554" w14:textId="77777777" w:rsidR="00A87862" w:rsidRDefault="00A87862" w:rsidP="00A87862"/>
    <w:p w14:paraId="53E479D4" w14:textId="5269E66F" w:rsidR="00A87862" w:rsidRDefault="00A87862" w:rsidP="00A87862">
      <w:r>
        <w:t>Our</w:t>
      </w:r>
      <w:r w:rsidRPr="0009354D">
        <w:t xml:space="preserve"> future expenditures are likely to be highly volatile in future periods depending on the outcomes of </w:t>
      </w:r>
      <w:r w:rsidR="00A5441A">
        <w:t>our</w:t>
      </w:r>
      <w:r w:rsidRPr="0009354D">
        <w:t xml:space="preserve"> </w:t>
      </w:r>
      <w:r w:rsidR="00A5441A">
        <w:t xml:space="preserve">clinical </w:t>
      </w:r>
      <w:r w:rsidRPr="0009354D">
        <w:t xml:space="preserve">trials and </w:t>
      </w:r>
      <w:r w:rsidR="00A5441A">
        <w:t xml:space="preserve">preclinical </w:t>
      </w:r>
      <w:r w:rsidRPr="0009354D">
        <w:t xml:space="preserve">studies. We expect our research and development costs to increase as we continue development of our various programs and as we move toward later stages of development, especially with regard to </w:t>
      </w:r>
      <w:r>
        <w:t xml:space="preserve">the ongoing </w:t>
      </w:r>
      <w:r w:rsidRPr="0009354D">
        <w:t>clinical trials</w:t>
      </w:r>
      <w:r>
        <w:t xml:space="preserve"> for </w:t>
      </w:r>
      <w:proofErr w:type="spellStart"/>
      <w:r>
        <w:t>Gedeptin</w:t>
      </w:r>
      <w:proofErr w:type="spellEnd"/>
      <w:r>
        <w:t xml:space="preserve"> and CEO</w:t>
      </w:r>
      <w:r w:rsidR="00E35DD6">
        <w:t>-</w:t>
      </w:r>
      <w:r>
        <w:t>CM04S1. We expect our general and administrative expenses to increase commensurately in support of expanded research and development efforts.</w:t>
      </w:r>
    </w:p>
    <w:p w14:paraId="7F228A56" w14:textId="77777777" w:rsidR="00A87862" w:rsidRDefault="00A87862" w:rsidP="00A87862"/>
    <w:p w14:paraId="6B21FAA7" w14:textId="77777777" w:rsidR="00A87862" w:rsidRDefault="00A87862" w:rsidP="00A87862">
      <w:r>
        <w:t>As of the date of this Quarterly Report, we</w:t>
      </w:r>
      <w:r w:rsidRPr="0009354D">
        <w:t xml:space="preserve"> </w:t>
      </w:r>
      <w:r>
        <w:t>expect</w:t>
      </w:r>
      <w:r w:rsidRPr="0009354D">
        <w:t xml:space="preserve"> our existing cash and cash equivalents will be sufficient to </w:t>
      </w:r>
      <w:r>
        <w:t>fund our operations over at least the next twelve months</w:t>
      </w:r>
      <w:r w:rsidRPr="00644368">
        <w:t xml:space="preserve">. </w:t>
      </w:r>
    </w:p>
    <w:p w14:paraId="1199CAC9" w14:textId="77777777" w:rsidR="00A87862" w:rsidRDefault="00A87862" w:rsidP="00A87862"/>
    <w:p w14:paraId="54054D12" w14:textId="77777777" w:rsidR="00A87862" w:rsidRDefault="00A87862" w:rsidP="00A87862">
      <w:r>
        <w:t>W</w:t>
      </w:r>
      <w:r w:rsidRPr="00313BE5">
        <w:t>e have</w:t>
      </w:r>
      <w:r>
        <w:t xml:space="preserve"> </w:t>
      </w:r>
      <w:r w:rsidRPr="00313BE5">
        <w:t>based our projections of operating capital</w:t>
      </w:r>
      <w:r>
        <w:t xml:space="preserve"> </w:t>
      </w:r>
      <w:r w:rsidRPr="00313BE5">
        <w:t>requirements on assumptions that may</w:t>
      </w:r>
      <w:r>
        <w:t xml:space="preserve"> </w:t>
      </w:r>
      <w:r w:rsidRPr="00313BE5">
        <w:t>prove to be incorrect, and we ma</w:t>
      </w:r>
      <w:r>
        <w:t xml:space="preserve">y </w:t>
      </w:r>
      <w:r w:rsidRPr="00313BE5">
        <w:t>use our available capital resources sooner than we expect. Our future capital</w:t>
      </w:r>
      <w:r>
        <w:t xml:space="preserve"> </w:t>
      </w:r>
      <w:r w:rsidRPr="00313BE5">
        <w:t>requirements will depend on many factors, which includ</w:t>
      </w:r>
      <w:r>
        <w:t>e but are not limited to:</w:t>
      </w:r>
    </w:p>
    <w:p w14:paraId="6A6A9363" w14:textId="77777777" w:rsidR="00A87862" w:rsidRDefault="00A87862" w:rsidP="00A87862">
      <w:pPr>
        <w:pStyle w:val="ListParagraph"/>
        <w:numPr>
          <w:ilvl w:val="0"/>
          <w:numId w:val="13"/>
        </w:numPr>
        <w:ind w:left="360"/>
      </w:pPr>
      <w:r>
        <w:t xml:space="preserve">the timing and costs of our ongoing and planned clinical </w:t>
      </w:r>
      <w:proofErr w:type="gramStart"/>
      <w:r>
        <w:t>trials;</w:t>
      </w:r>
      <w:proofErr w:type="gramEnd"/>
    </w:p>
    <w:p w14:paraId="15A533BB" w14:textId="77777777" w:rsidR="00A87862" w:rsidRDefault="00A87862" w:rsidP="00A87862">
      <w:pPr>
        <w:pStyle w:val="ListParagraph"/>
        <w:numPr>
          <w:ilvl w:val="0"/>
          <w:numId w:val="13"/>
        </w:numPr>
        <w:ind w:left="360"/>
      </w:pPr>
      <w:r>
        <w:t xml:space="preserve">the timing and costs of manufacturing material for use in clinical </w:t>
      </w:r>
      <w:proofErr w:type="gramStart"/>
      <w:r>
        <w:t>trials;</w:t>
      </w:r>
      <w:proofErr w:type="gramEnd"/>
    </w:p>
    <w:p w14:paraId="7DBE3C96" w14:textId="77777777" w:rsidR="00A87862" w:rsidRDefault="00A87862" w:rsidP="00A87862">
      <w:pPr>
        <w:pStyle w:val="ListParagraph"/>
        <w:numPr>
          <w:ilvl w:val="0"/>
          <w:numId w:val="13"/>
        </w:numPr>
        <w:ind w:left="360"/>
      </w:pPr>
      <w:r w:rsidRPr="0009354D">
        <w:t>the number and scope of our research programs</w:t>
      </w:r>
      <w:r>
        <w:t xml:space="preserve"> and the speed at which they are </w:t>
      </w:r>
      <w:proofErr w:type="gramStart"/>
      <w:r>
        <w:t>advanced</w:t>
      </w:r>
      <w:r w:rsidRPr="0009354D">
        <w:t>;</w:t>
      </w:r>
      <w:proofErr w:type="gramEnd"/>
      <w:r w:rsidRPr="0009354D">
        <w:t xml:space="preserve"> </w:t>
      </w:r>
    </w:p>
    <w:p w14:paraId="0627346A" w14:textId="77777777" w:rsidR="00A87862" w:rsidRDefault="00A87862" w:rsidP="00A87862">
      <w:pPr>
        <w:pStyle w:val="ListParagraph"/>
        <w:numPr>
          <w:ilvl w:val="0"/>
          <w:numId w:val="13"/>
        </w:numPr>
        <w:ind w:left="360"/>
      </w:pPr>
      <w:r w:rsidRPr="0009354D">
        <w:t xml:space="preserve">the progress and success of our preclinical and clinical development </w:t>
      </w:r>
      <w:proofErr w:type="gramStart"/>
      <w:r w:rsidRPr="0009354D">
        <w:t>activities;</w:t>
      </w:r>
      <w:proofErr w:type="gramEnd"/>
      <w:r w:rsidRPr="0009354D">
        <w:t xml:space="preserve"> </w:t>
      </w:r>
    </w:p>
    <w:p w14:paraId="29128BF8" w14:textId="77777777" w:rsidR="00A87862" w:rsidRDefault="00A87862" w:rsidP="00A87862">
      <w:pPr>
        <w:pStyle w:val="ListParagraph"/>
        <w:numPr>
          <w:ilvl w:val="0"/>
          <w:numId w:val="13"/>
        </w:numPr>
        <w:ind w:left="360"/>
      </w:pPr>
      <w:r w:rsidRPr="0009354D">
        <w:t xml:space="preserve">the costs involved in prosecuting and enforcing patent claims and other intellectual property </w:t>
      </w:r>
      <w:proofErr w:type="gramStart"/>
      <w:r w:rsidRPr="0009354D">
        <w:t>rights;</w:t>
      </w:r>
      <w:proofErr w:type="gramEnd"/>
      <w:r w:rsidRPr="0009354D">
        <w:t xml:space="preserve"> </w:t>
      </w:r>
    </w:p>
    <w:p w14:paraId="47906B2E" w14:textId="77777777" w:rsidR="00A87862" w:rsidRDefault="00A87862" w:rsidP="00A87862">
      <w:pPr>
        <w:pStyle w:val="ListParagraph"/>
        <w:numPr>
          <w:ilvl w:val="0"/>
          <w:numId w:val="13"/>
        </w:numPr>
        <w:ind w:left="360"/>
      </w:pPr>
      <w:r>
        <w:t xml:space="preserve">the costs to attract and retain skilled </w:t>
      </w:r>
      <w:proofErr w:type="gramStart"/>
      <w:r>
        <w:t>personnel;</w:t>
      </w:r>
      <w:proofErr w:type="gramEnd"/>
    </w:p>
    <w:p w14:paraId="0A6CA57F" w14:textId="77777777" w:rsidR="00A87862" w:rsidRDefault="00A87862" w:rsidP="00A87862">
      <w:pPr>
        <w:pStyle w:val="ListParagraph"/>
        <w:numPr>
          <w:ilvl w:val="0"/>
          <w:numId w:val="13"/>
        </w:numPr>
        <w:ind w:left="360"/>
      </w:pPr>
      <w:r>
        <w:t xml:space="preserve">the costs to maintain and expand our infrastructure to support our operations, our product development, and planned future commercialization </w:t>
      </w:r>
      <w:proofErr w:type="gramStart"/>
      <w:r>
        <w:t>efforts;</w:t>
      </w:r>
      <w:proofErr w:type="gramEnd"/>
    </w:p>
    <w:p w14:paraId="0515AE31" w14:textId="77777777" w:rsidR="00A87862" w:rsidRDefault="00A87862" w:rsidP="00A87862">
      <w:pPr>
        <w:pStyle w:val="ListParagraph"/>
        <w:numPr>
          <w:ilvl w:val="0"/>
          <w:numId w:val="13"/>
        </w:numPr>
        <w:ind w:left="360"/>
      </w:pPr>
      <w:r w:rsidRPr="0009354D">
        <w:t xml:space="preserve">the terms and timing of establishing and maintaining collaborations, licenses and other similar </w:t>
      </w:r>
      <w:proofErr w:type="gramStart"/>
      <w:r w:rsidRPr="0009354D">
        <w:t>arrangements;</w:t>
      </w:r>
      <w:proofErr w:type="gramEnd"/>
      <w:r w:rsidRPr="0009354D">
        <w:t xml:space="preserve"> </w:t>
      </w:r>
    </w:p>
    <w:p w14:paraId="2BC831FE" w14:textId="77777777" w:rsidR="00A87862" w:rsidRDefault="00A87862" w:rsidP="00A87862">
      <w:pPr>
        <w:pStyle w:val="ListParagraph"/>
        <w:numPr>
          <w:ilvl w:val="0"/>
          <w:numId w:val="13"/>
        </w:numPr>
        <w:ind w:left="360"/>
      </w:pPr>
      <w:r w:rsidRPr="0009354D">
        <w:t xml:space="preserve">the costs associated with any products or technologies that we may in-license or acquire; and </w:t>
      </w:r>
    </w:p>
    <w:p w14:paraId="3A32ACD9" w14:textId="77777777" w:rsidR="00A87862" w:rsidRPr="0009354D" w:rsidRDefault="00A87862" w:rsidP="00A87862">
      <w:pPr>
        <w:pStyle w:val="ListParagraph"/>
        <w:numPr>
          <w:ilvl w:val="0"/>
          <w:numId w:val="13"/>
        </w:numPr>
        <w:ind w:left="360"/>
      </w:pPr>
      <w:r w:rsidRPr="0009354D">
        <w:t>the costs and timing of regulatory approvals.</w:t>
      </w:r>
    </w:p>
    <w:p w14:paraId="451DD6ED" w14:textId="77777777" w:rsidR="00A87862" w:rsidRPr="0009354D" w:rsidRDefault="00A87862" w:rsidP="00A87862"/>
    <w:p w14:paraId="24CB10A0" w14:textId="77777777" w:rsidR="00A87862" w:rsidRPr="0009354D" w:rsidRDefault="00A87862" w:rsidP="00A87862">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4A9F38FB" w14:textId="77777777" w:rsidR="000A55AE" w:rsidRPr="003C73D3" w:rsidRDefault="000A55AE" w:rsidP="000A55AE"/>
    <w:p w14:paraId="7020D5CF" w14:textId="47EDC835" w:rsidR="00385703" w:rsidRDefault="00385703" w:rsidP="000A55AE">
      <w:pPr>
        <w:ind w:left="132"/>
        <w:rPr>
          <w:color w:val="000000"/>
          <w:sz w:val="2"/>
          <w:szCs w:val="2"/>
        </w:rPr>
      </w:pPr>
    </w:p>
    <w:p w14:paraId="4067366E" w14:textId="62067C5A" w:rsidR="00182CF3" w:rsidRPr="001C6303" w:rsidRDefault="0054260E" w:rsidP="000A55AE">
      <w:pPr>
        <w:pStyle w:val="Heading2"/>
        <w:numPr>
          <w:ilvl w:val="0"/>
          <w:numId w:val="0"/>
        </w:numPr>
        <w:tabs>
          <w:tab w:val="left" w:pos="1080"/>
        </w:tabs>
        <w:spacing w:after="0"/>
      </w:pPr>
      <w:bookmarkStart w:id="35" w:name="_Toc197922411"/>
      <w:r w:rsidRPr="001C6303">
        <w:rPr>
          <w:u w:val="none"/>
        </w:rPr>
        <w:t>Item 3</w:t>
      </w:r>
      <w:r w:rsidRPr="001C6303">
        <w:rPr>
          <w:u w:val="none"/>
        </w:rPr>
        <w:tab/>
      </w:r>
      <w:r w:rsidR="0035003D" w:rsidRPr="001C6303">
        <w:t>Quantitative and Qualitative Disclosures About Market Risk</w:t>
      </w:r>
      <w:bookmarkEnd w:id="35"/>
    </w:p>
    <w:p w14:paraId="2ABA84AD" w14:textId="77777777" w:rsidR="000A55AE" w:rsidRDefault="000A55AE" w:rsidP="000A55AE">
      <w:pPr>
        <w:pStyle w:val="BodyText"/>
        <w:spacing w:after="0"/>
        <w:rPr>
          <w:rFonts w:eastAsia="????"/>
        </w:rPr>
      </w:pPr>
    </w:p>
    <w:p w14:paraId="4D216AB8" w14:textId="77777777" w:rsidR="00052C14" w:rsidRDefault="00052C14" w:rsidP="00052C14">
      <w:pPr>
        <w:pStyle w:val="BodyText"/>
        <w:spacing w:after="0"/>
      </w:pPr>
      <w:r>
        <w:t>Not applicable to smaller reporting companies.</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36" w:name="_Toc197922412"/>
      <w:r w:rsidRPr="001C6303">
        <w:rPr>
          <w:u w:val="none"/>
        </w:rPr>
        <w:t>Item 4</w:t>
      </w:r>
      <w:r w:rsidRPr="001C6303">
        <w:rPr>
          <w:u w:val="none"/>
        </w:rPr>
        <w:tab/>
      </w:r>
      <w:r w:rsidR="00BD6BBE" w:rsidRPr="001C6303">
        <w:t>Controls and Procedures</w:t>
      </w:r>
      <w:bookmarkEnd w:id="36"/>
    </w:p>
    <w:p w14:paraId="5A74D2A9" w14:textId="1A625506"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C60A263"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w:t>
      </w:r>
      <w:r w:rsidR="00925C68">
        <w:t>or</w:t>
      </w:r>
      <w:r w:rsidR="003467A5">
        <w:t xml:space="preserve">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93EB4D9" w14:textId="21EA094E" w:rsidR="00435BCD" w:rsidRDefault="00435BCD" w:rsidP="000A55AE">
      <w:pPr>
        <w:pStyle w:val="BodyText"/>
        <w:spacing w:after="0"/>
      </w:pPr>
    </w:p>
    <w:p w14:paraId="28521554" w14:textId="15781CE5" w:rsidR="00141A8D" w:rsidRPr="00665E82" w:rsidRDefault="0098252B" w:rsidP="00141A8D">
      <w:pPr>
        <w:pStyle w:val="BodyText"/>
        <w:spacing w:after="0"/>
        <w:rPr>
          <w:bCs/>
        </w:rPr>
      </w:pPr>
      <w:bookmarkStart w:id="37" w:name="_Toc197922413"/>
      <w:r>
        <w:t>T</w:t>
      </w:r>
      <w:r w:rsidR="00141A8D" w:rsidRPr="001C6303">
        <w:t xml:space="preserve">here </w:t>
      </w:r>
      <w:r w:rsidR="00141A8D">
        <w:t>were</w:t>
      </w:r>
      <w:r w:rsidR="00141A8D" w:rsidRPr="001C6303">
        <w:t xml:space="preserve"> no </w:t>
      </w:r>
      <w:r w:rsidR="00141A8D">
        <w:t xml:space="preserve">significant </w:t>
      </w:r>
      <w:r w:rsidR="00141A8D" w:rsidRPr="001C6303">
        <w:t>change</w:t>
      </w:r>
      <w:r w:rsidR="00141A8D">
        <w:t>s</w:t>
      </w:r>
      <w:r w:rsidR="00141A8D" w:rsidRPr="001C6303">
        <w:t xml:space="preserve"> in our internal control over financial reporting that occurred during the three months ended </w:t>
      </w:r>
      <w:r w:rsidR="004C434E">
        <w:t>June</w:t>
      </w:r>
      <w:r w:rsidR="00141A8D">
        <w:t> 3</w:t>
      </w:r>
      <w:r w:rsidR="004C434E">
        <w:t>0</w:t>
      </w:r>
      <w:r w:rsidR="00141A8D">
        <w:t xml:space="preserve">, </w:t>
      </w:r>
      <w:proofErr w:type="gramStart"/>
      <w:r w:rsidR="00141A8D">
        <w:t>202</w:t>
      </w:r>
      <w:r w:rsidR="00052C14">
        <w:t>2</w:t>
      </w:r>
      <w:proofErr w:type="gramEnd"/>
      <w:r w:rsidR="00141A8D">
        <w:t xml:space="preserve"> </w:t>
      </w:r>
      <w:r w:rsidR="00141A8D" w:rsidRPr="001C6303">
        <w:t>that ha</w:t>
      </w:r>
      <w:r w:rsidR="00141A8D">
        <w:t>ve</w:t>
      </w:r>
      <w:r w:rsidR="00141A8D" w:rsidRPr="001C6303">
        <w:t xml:space="preserve"> materially affected, or </w:t>
      </w:r>
      <w:r w:rsidR="00141A8D">
        <w:t>are</w:t>
      </w:r>
      <w:r w:rsidR="00141A8D" w:rsidRPr="001C6303">
        <w:t xml:space="preserve"> reasonably likely to materially affect, our internal c</w:t>
      </w:r>
      <w:r w:rsidR="00141A8D">
        <w:t>ontrol over financial reporting.</w:t>
      </w:r>
    </w:p>
    <w:p w14:paraId="4B834CB5" w14:textId="66141085" w:rsidR="006F2532" w:rsidRDefault="006F2532" w:rsidP="006F2532"/>
    <w:p w14:paraId="22372AAB" w14:textId="77777777" w:rsidR="004C434E" w:rsidRPr="00374DEE" w:rsidRDefault="004C434E" w:rsidP="004C434E">
      <w:pPr>
        <w:rPr>
          <w:i/>
        </w:rPr>
      </w:pPr>
      <w:r w:rsidRPr="00374DEE">
        <w:rPr>
          <w:i/>
        </w:rPr>
        <w:t>Limitations on Controls</w:t>
      </w:r>
    </w:p>
    <w:p w14:paraId="299A5EE4" w14:textId="77777777" w:rsidR="004C434E" w:rsidRDefault="004C434E"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4AEAAD1D" w14:textId="4DB84DC9" w:rsidR="00D9086D" w:rsidRDefault="00D9086D" w:rsidP="000A55AE"/>
    <w:p w14:paraId="2CD1CD28" w14:textId="77777777" w:rsidR="00B74BA5" w:rsidRPr="00D9086D" w:rsidRDefault="00B74BA5" w:rsidP="000A55AE"/>
    <w:p w14:paraId="769D1C8B" w14:textId="77777777" w:rsidR="007247B2" w:rsidRDefault="007247B2">
      <w:pPr>
        <w:rPr>
          <w:b/>
        </w:rPr>
      </w:pPr>
      <w:r>
        <w:br w:type="page"/>
      </w:r>
    </w:p>
    <w:p w14:paraId="5CF04708" w14:textId="220D6309" w:rsidR="00BD6BBE" w:rsidRDefault="004E3374" w:rsidP="000A55AE">
      <w:pPr>
        <w:pStyle w:val="Heading1"/>
        <w:numPr>
          <w:ilvl w:val="0"/>
          <w:numId w:val="0"/>
        </w:numPr>
      </w:pPr>
      <w:r>
        <w:t>PART</w:t>
      </w:r>
      <w:r w:rsidR="002D50D9">
        <w:t xml:space="preserve"> II -- </w:t>
      </w:r>
      <w:r w:rsidR="00BD6BBE" w:rsidRPr="001C6303">
        <w:t>OTHER INFORMATION</w:t>
      </w:r>
      <w:bookmarkEnd w:id="37"/>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38" w:name="_Toc197922414"/>
      <w:r w:rsidRPr="001C6303">
        <w:t>Legal Proceedings</w:t>
      </w:r>
      <w:bookmarkEnd w:id="38"/>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39" w:name="_Toc197922415"/>
      <w:r w:rsidRPr="001C6303">
        <w:t>Risk Factors</w:t>
      </w:r>
      <w:bookmarkEnd w:id="39"/>
    </w:p>
    <w:p w14:paraId="2421EF43" w14:textId="77777777" w:rsidR="000A55AE" w:rsidRDefault="000A55AE" w:rsidP="000A55AE">
      <w:pPr>
        <w:pStyle w:val="BodyText"/>
        <w:spacing w:after="0"/>
      </w:pPr>
    </w:p>
    <w:p w14:paraId="11082EF5" w14:textId="07568CA2" w:rsidR="00906109" w:rsidRDefault="00906109" w:rsidP="004C149C">
      <w:pPr>
        <w:pStyle w:val="BodyText"/>
        <w:spacing w:after="0"/>
      </w:pPr>
      <w:r w:rsidRPr="001C6303">
        <w:t xml:space="preserve">For information regarding factors that could affect our results of operations, financial condition or liquidity, see the risk factors discussed under </w:t>
      </w:r>
      <w:r w:rsidR="00B44A4C" w:rsidRPr="001C6303">
        <w:t>“</w:t>
      </w:r>
      <w:r w:rsidR="007F5D4D" w:rsidRPr="001C6303">
        <w:t>Risk Factors</w:t>
      </w:r>
      <w:r w:rsidR="00B44A4C" w:rsidRPr="001C6303">
        <w:t>”</w:t>
      </w:r>
      <w:r w:rsidRPr="001C6303">
        <w:t xml:space="preserve"> in Item </w:t>
      </w:r>
      <w:r w:rsidR="007F5D4D" w:rsidRPr="001C6303">
        <w:t>1A</w:t>
      </w:r>
      <w:r w:rsidRPr="001C6303">
        <w:t xml:space="preserve"> of our most rece</w:t>
      </w:r>
      <w:r w:rsidR="00815F96">
        <w:t xml:space="preserve">nt Annual Report on Form 10-K. </w:t>
      </w:r>
      <w:r w:rsidRPr="001C6303">
        <w:t xml:space="preserve">See also </w:t>
      </w:r>
      <w:r w:rsidR="00B44A4C" w:rsidRPr="001C6303">
        <w:t>“</w:t>
      </w:r>
      <w:r w:rsidRPr="001C6303">
        <w:t>Forward-Looking Statements,</w:t>
      </w:r>
      <w:r w:rsidR="00B44A4C" w:rsidRPr="001C6303">
        <w:t>”</w:t>
      </w:r>
      <w:r w:rsidRPr="001C6303">
        <w:t xml:space="preserve"> included in </w:t>
      </w:r>
      <w:r w:rsidR="004C149C">
        <w:t xml:space="preserve">Part I - </w:t>
      </w:r>
      <w:r w:rsidRPr="001C6303">
        <w:t xml:space="preserve">Item 2 of this </w:t>
      </w:r>
      <w:r w:rsidR="00815F96">
        <w:t xml:space="preserve">Quarterly Report on Form 10-Q. </w:t>
      </w:r>
      <w:r w:rsidR="004A6891">
        <w:t>As a smaller reporting company (as defined in Rule 12b-2 of the Exchange Act), we are not required to provide the information called for by this Item 1A concerning any material changes from the risk factors previously disclosed in our most recent Annual Report on Form 10-K.</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40" w:name="_Toc197922416"/>
      <w:r w:rsidRPr="001C6303">
        <w:t>Unregistered Sale</w:t>
      </w:r>
      <w:r w:rsidR="00A63414" w:rsidRPr="001C6303">
        <w:t>s</w:t>
      </w:r>
      <w:r w:rsidRPr="001C6303">
        <w:t xml:space="preserve"> of Equity Securities and Use of Proceeds</w:t>
      </w:r>
      <w:bookmarkEnd w:id="40"/>
    </w:p>
    <w:p w14:paraId="12D60E19" w14:textId="77777777" w:rsidR="000A55AE" w:rsidRDefault="000A55AE" w:rsidP="000A55AE">
      <w:pPr>
        <w:pStyle w:val="BodyText"/>
        <w:spacing w:after="0"/>
      </w:pPr>
      <w:bookmarkStart w:id="41" w:name="_Toc197922417"/>
    </w:p>
    <w:p w14:paraId="5C38684C" w14:textId="236FFB02" w:rsidR="007146A0" w:rsidRDefault="007146A0" w:rsidP="007146A0">
      <w:pPr>
        <w:pStyle w:val="BodyText"/>
        <w:spacing w:after="0"/>
      </w:pPr>
      <w:r w:rsidRPr="0011159C">
        <w:t>Effective as of May 1, 202</w:t>
      </w:r>
      <w:r>
        <w:t>2</w:t>
      </w:r>
      <w:r w:rsidRPr="0011159C">
        <w:t xml:space="preserve">, we </w:t>
      </w:r>
      <w:r>
        <w:t xml:space="preserve">renewed our agreement </w:t>
      </w:r>
      <w:r w:rsidRPr="0011159C">
        <w:t>with Content Carnivores, LLC</w:t>
      </w:r>
      <w:r>
        <w:t xml:space="preserve"> for an additional one-year period. In connection with the renewal, in May 2022</w:t>
      </w:r>
      <w:r w:rsidRPr="0011159C">
        <w:t xml:space="preserve">, we issued </w:t>
      </w:r>
      <w:r>
        <w:t>68,500</w:t>
      </w:r>
      <w:r w:rsidRPr="0011159C">
        <w:t xml:space="preserve"> shares of our common stock to Content Carnivores, LLC</w:t>
      </w:r>
      <w:r>
        <w:t xml:space="preserve"> as a restricted stock award under our 2020 Stock Incentive Plan with</w:t>
      </w:r>
      <w:r w:rsidRPr="0011159C">
        <w:t xml:space="preserve"> </w:t>
      </w:r>
      <w:r>
        <w:t>a</w:t>
      </w:r>
      <w:r w:rsidRPr="0011159C">
        <w:t xml:space="preserve"> value</w:t>
      </w:r>
      <w:r>
        <w:t xml:space="preserve"> at that date</w:t>
      </w:r>
      <w:r w:rsidRPr="0011159C">
        <w:t xml:space="preserve"> of $</w:t>
      </w:r>
      <w:r>
        <w:t>72,000</w:t>
      </w:r>
      <w:r w:rsidRPr="0011159C">
        <w:t>. The Company relied on an exemption from the registration requirements of the</w:t>
      </w:r>
      <w:r>
        <w:t xml:space="preserve"> </w:t>
      </w:r>
      <w:r w:rsidRPr="0011159C">
        <w:t>Securities Act</w:t>
      </w:r>
      <w:r>
        <w:t xml:space="preserve"> </w:t>
      </w:r>
      <w:r w:rsidRPr="0011159C">
        <w:t>afforded by Section 4(a) (2) thereof and Rule</w:t>
      </w:r>
      <w:r>
        <w:t xml:space="preserve"> </w:t>
      </w:r>
      <w:r w:rsidRPr="0011159C">
        <w:t>506</w:t>
      </w:r>
      <w:r>
        <w:t xml:space="preserve"> </w:t>
      </w:r>
      <w:r w:rsidRPr="0011159C">
        <w:t>of</w:t>
      </w:r>
      <w:r>
        <w:t xml:space="preserve"> </w:t>
      </w:r>
      <w:r w:rsidRPr="0011159C">
        <w:t>Regulation D</w:t>
      </w:r>
      <w:r>
        <w:t xml:space="preserve">. </w:t>
      </w:r>
    </w:p>
    <w:p w14:paraId="38BF86E2" w14:textId="77777777" w:rsidR="008B15AF" w:rsidRDefault="008B15AF" w:rsidP="000A55AE">
      <w:pPr>
        <w:pStyle w:val="BodyText"/>
        <w:spacing w:after="0"/>
      </w:pPr>
    </w:p>
    <w:p w14:paraId="019F5350" w14:textId="77777777" w:rsidR="007146A0" w:rsidRDefault="007146A0" w:rsidP="007146A0">
      <w:r w:rsidRPr="00C16143">
        <w:t xml:space="preserve">There were no </w:t>
      </w:r>
      <w:r>
        <w:t xml:space="preserve">other </w:t>
      </w:r>
      <w:r w:rsidRPr="00C16143">
        <w:t>sales of unregistered securities during the period covered by this report that have not previously been reported on Form 8-K.</w:t>
      </w:r>
    </w:p>
    <w:p w14:paraId="7DBBC8F1" w14:textId="77777777" w:rsidR="007146A0" w:rsidRPr="001C6303" w:rsidRDefault="007146A0"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41"/>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1F5A6176" w:rsidR="00F44C3F" w:rsidRDefault="000D4A4B" w:rsidP="000A55AE">
      <w:r>
        <w:t>Not applicable</w:t>
      </w:r>
      <w:r w:rsidR="00A43563">
        <w:t>.</w:t>
      </w:r>
    </w:p>
    <w:p w14:paraId="1027084F" w14:textId="77777777" w:rsidR="000A55AE" w:rsidRDefault="000A55AE" w:rsidP="000A55AE"/>
    <w:p w14:paraId="189BAF65" w14:textId="77777777" w:rsidR="00025C72" w:rsidRPr="001C6303" w:rsidRDefault="00C07C60" w:rsidP="000A55AE">
      <w:pPr>
        <w:pStyle w:val="Heading2"/>
        <w:spacing w:after="0"/>
      </w:pPr>
      <w:bookmarkStart w:id="42" w:name="_Toc197922419"/>
      <w:r>
        <w:t>Other Information</w:t>
      </w:r>
      <w:r w:rsidR="00025C72" w:rsidRPr="001C6303">
        <w:t xml:space="preserve"> </w:t>
      </w:r>
    </w:p>
    <w:p w14:paraId="72A27140" w14:textId="77777777" w:rsidR="000A55AE" w:rsidRDefault="000A55AE" w:rsidP="000A55AE"/>
    <w:p w14:paraId="427B8C1F" w14:textId="54FA1327" w:rsidR="00001C8D" w:rsidRDefault="003467A5">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42"/>
      <w:r w:rsidR="00001C8D">
        <w:br w:type="page"/>
      </w:r>
    </w:p>
    <w:p w14:paraId="513F7D6F" w14:textId="77777777" w:rsidR="00A17B7E" w:rsidRDefault="00A17B7E" w:rsidP="000C50EF"/>
    <w:p w14:paraId="3B899785" w14:textId="07B843E3" w:rsidR="00717940" w:rsidRDefault="005E7A32" w:rsidP="00742E05">
      <w:pPr>
        <w:pStyle w:val="Heading2"/>
        <w:numPr>
          <w:ilvl w:val="0"/>
          <w:numId w:val="0"/>
        </w:numPr>
        <w:tabs>
          <w:tab w:val="left" w:pos="1000"/>
        </w:tabs>
        <w:spacing w:after="0"/>
      </w:pPr>
      <w:bookmarkStart w:id="43" w:name="_Toc197922420"/>
      <w:r w:rsidRPr="001C6303">
        <w:rPr>
          <w:u w:val="none"/>
        </w:rPr>
        <w:t>Item 6</w:t>
      </w:r>
      <w:r w:rsidRPr="001C6303">
        <w:rPr>
          <w:u w:val="none"/>
        </w:rPr>
        <w:tab/>
      </w:r>
      <w:r w:rsidR="00BD6BBE" w:rsidRPr="001C6303">
        <w:t>Exhibits</w:t>
      </w:r>
      <w:bookmarkEnd w:id="43"/>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B54D7E">
      <w:pPr>
        <w:keepNext/>
        <w:tabs>
          <w:tab w:val="left" w:pos="1080"/>
        </w:tabs>
        <w:spacing w:after="60"/>
        <w:rPr>
          <w:u w:val="single"/>
        </w:rPr>
      </w:pPr>
      <w:r w:rsidRPr="001C6303">
        <w:rPr>
          <w:u w:val="single"/>
        </w:rPr>
        <w:t>Number</w:t>
      </w:r>
      <w:r w:rsidRPr="001C6303">
        <w:tab/>
      </w:r>
      <w:r w:rsidRPr="001C6303">
        <w:rPr>
          <w:u w:val="single"/>
        </w:rPr>
        <w:t>Description</w:t>
      </w:r>
    </w:p>
    <w:p w14:paraId="54618A4D" w14:textId="6A40F90F" w:rsidR="008F2D01" w:rsidRPr="00162007" w:rsidRDefault="008F2D01" w:rsidP="008F2D01">
      <w:pPr>
        <w:ind w:left="1080" w:hanging="1080"/>
        <w:rPr>
          <w:bCs/>
        </w:rPr>
      </w:pPr>
      <w:r w:rsidRPr="00162007">
        <w:rPr>
          <w:bCs/>
        </w:rPr>
        <w:t>10.1</w:t>
      </w:r>
      <w:r w:rsidRPr="00162007">
        <w:rPr>
          <w:bCs/>
        </w:rPr>
        <w:tab/>
      </w:r>
      <w:hyperlink r:id="rId22" w:history="1">
        <w:r w:rsidRPr="00162007">
          <w:rPr>
            <w:rStyle w:val="Hyperlink"/>
            <w:bCs/>
          </w:rPr>
          <w:t>Securities Purchase Agreement, dated January 14, 2022 (</w:t>
        </w:r>
        <w:r>
          <w:rPr>
            <w:rStyle w:val="Hyperlink"/>
            <w:bCs/>
          </w:rPr>
          <w:t>2</w:t>
        </w:r>
        <w:r w:rsidRPr="00162007">
          <w:rPr>
            <w:rStyle w:val="Hyperlink"/>
            <w:bCs/>
          </w:rPr>
          <w:t>)</w:t>
        </w:r>
      </w:hyperlink>
    </w:p>
    <w:p w14:paraId="3D037BC6" w14:textId="1CE4653D" w:rsidR="008F2D01" w:rsidRDefault="008F2D01" w:rsidP="008F2D01">
      <w:pPr>
        <w:ind w:left="1080" w:hanging="1080"/>
        <w:rPr>
          <w:bCs/>
        </w:rPr>
      </w:pPr>
      <w:r w:rsidRPr="00162007">
        <w:rPr>
          <w:bCs/>
        </w:rPr>
        <w:t>10</w:t>
      </w:r>
      <w:r>
        <w:rPr>
          <w:bCs/>
        </w:rPr>
        <w:t>.2</w:t>
      </w:r>
      <w:r w:rsidRPr="00162007">
        <w:rPr>
          <w:bCs/>
        </w:rPr>
        <w:tab/>
      </w:r>
      <w:hyperlink r:id="rId23" w:history="1">
        <w:r w:rsidRPr="00162007">
          <w:rPr>
            <w:rStyle w:val="Hyperlink"/>
            <w:bCs/>
          </w:rPr>
          <w:t>Registration Rights Agreement, dated January 14, 2022 (</w:t>
        </w:r>
        <w:r>
          <w:rPr>
            <w:rStyle w:val="Hyperlink"/>
            <w:bCs/>
          </w:rPr>
          <w:t>2</w:t>
        </w:r>
        <w:r w:rsidRPr="00162007">
          <w:rPr>
            <w:rStyle w:val="Hyperlink"/>
            <w:bCs/>
          </w:rPr>
          <w:t>)</w:t>
        </w:r>
      </w:hyperlink>
    </w:p>
    <w:p w14:paraId="417652C2" w14:textId="5283C62C" w:rsidR="006D2C83" w:rsidRDefault="006D2C83" w:rsidP="00C10E11">
      <w:pPr>
        <w:ind w:left="1080" w:hanging="1080"/>
      </w:pPr>
      <w:r>
        <w:t>10.</w:t>
      </w:r>
      <w:r w:rsidR="00A5441A">
        <w:t>3</w:t>
      </w:r>
      <w:r>
        <w:tab/>
      </w:r>
      <w:hyperlink r:id="rId24" w:history="1">
        <w:r w:rsidRPr="008F2D01">
          <w:rPr>
            <w:bCs/>
            <w:color w:val="0000FF"/>
            <w:u w:val="single"/>
          </w:rPr>
          <w:t>Form of Common Warrant</w:t>
        </w:r>
        <w:r>
          <w:rPr>
            <w:bCs/>
            <w:color w:val="0000FF"/>
            <w:u w:val="single"/>
          </w:rPr>
          <w:t>, dated January 19, 2022</w:t>
        </w:r>
        <w:r w:rsidRPr="008F2D01">
          <w:rPr>
            <w:bCs/>
            <w:color w:val="0000FF"/>
            <w:u w:val="single"/>
          </w:rPr>
          <w:t xml:space="preserve"> (</w:t>
        </w:r>
        <w:r>
          <w:rPr>
            <w:bCs/>
            <w:color w:val="0000FF"/>
            <w:u w:val="single"/>
          </w:rPr>
          <w:t>2</w:t>
        </w:r>
        <w:r w:rsidRPr="008F2D01">
          <w:rPr>
            <w:bCs/>
            <w:color w:val="0000FF"/>
            <w:u w:val="single"/>
          </w:rPr>
          <w:t>)</w:t>
        </w:r>
      </w:hyperlink>
    </w:p>
    <w:p w14:paraId="44E9F938" w14:textId="20ACB311" w:rsidR="006D2C83" w:rsidRDefault="006D2C83" w:rsidP="006D2C83">
      <w:pPr>
        <w:ind w:left="1080" w:hanging="1080"/>
      </w:pPr>
      <w:r>
        <w:t>10.</w:t>
      </w:r>
      <w:r w:rsidR="00A5441A">
        <w:t>4</w:t>
      </w:r>
      <w:r>
        <w:tab/>
      </w:r>
      <w:hyperlink r:id="rId25" w:history="1">
        <w:r w:rsidRPr="00B87EC8">
          <w:rPr>
            <w:rStyle w:val="Hyperlink"/>
          </w:rPr>
          <w:t>Form of PIPE Securities Purchase Agreement, dated May 25, 2022</w:t>
        </w:r>
        <w:r w:rsidR="00A06004" w:rsidRPr="00B87EC8">
          <w:rPr>
            <w:rStyle w:val="Hyperlink"/>
          </w:rPr>
          <w:t xml:space="preserve"> (4)</w:t>
        </w:r>
      </w:hyperlink>
    </w:p>
    <w:p w14:paraId="23FB8CE5" w14:textId="6C3B9320" w:rsidR="006D2C83" w:rsidRDefault="006D2C83" w:rsidP="006D2C83">
      <w:pPr>
        <w:ind w:left="1080" w:hanging="1080"/>
      </w:pPr>
      <w:r>
        <w:t>10.</w:t>
      </w:r>
      <w:r w:rsidR="00A5441A">
        <w:t>5</w:t>
      </w:r>
      <w:r>
        <w:tab/>
      </w:r>
      <w:hyperlink r:id="rId26" w:history="1">
        <w:r w:rsidRPr="00B87EC8">
          <w:rPr>
            <w:rStyle w:val="Hyperlink"/>
          </w:rPr>
          <w:t>Form of RD Securities Purchase Agreement, dated May 25, 2022</w:t>
        </w:r>
        <w:r w:rsidR="00A06004" w:rsidRPr="00B87EC8">
          <w:rPr>
            <w:rStyle w:val="Hyperlink"/>
          </w:rPr>
          <w:t xml:space="preserve"> (4)</w:t>
        </w:r>
      </w:hyperlink>
    </w:p>
    <w:p w14:paraId="49BCDCED" w14:textId="34E8253C" w:rsidR="00A06004" w:rsidRDefault="00A06004" w:rsidP="00A06004">
      <w:pPr>
        <w:ind w:left="1080" w:hanging="1080"/>
      </w:pPr>
      <w:r>
        <w:t>10.</w:t>
      </w:r>
      <w:r w:rsidR="00A5441A">
        <w:t>6</w:t>
      </w:r>
      <w:r>
        <w:tab/>
      </w:r>
      <w:hyperlink r:id="rId27" w:history="1">
        <w:r w:rsidRPr="00B87EC8">
          <w:rPr>
            <w:rStyle w:val="Hyperlink"/>
          </w:rPr>
          <w:t>Form of Registration Rights Agreement, dated May 25, 2022 (4)</w:t>
        </w:r>
      </w:hyperlink>
    </w:p>
    <w:p w14:paraId="434C6A82" w14:textId="357DEA74" w:rsidR="006D2C83" w:rsidRDefault="00A06004" w:rsidP="00A06004">
      <w:pPr>
        <w:ind w:left="1080" w:hanging="1080"/>
      </w:pPr>
      <w:r>
        <w:t>10.</w:t>
      </w:r>
      <w:r w:rsidR="00A5441A">
        <w:t>7</w:t>
      </w:r>
      <w:r>
        <w:tab/>
      </w:r>
      <w:hyperlink r:id="rId28" w:history="1">
        <w:r w:rsidR="006D2C83" w:rsidRPr="00B87EC8">
          <w:rPr>
            <w:rStyle w:val="Hyperlink"/>
          </w:rPr>
          <w:t>Form of PIPE Pre-Funded Warrant</w:t>
        </w:r>
        <w:r w:rsidRPr="00B87EC8">
          <w:rPr>
            <w:rStyle w:val="Hyperlink"/>
          </w:rPr>
          <w:t>, dated May 27, 2022 (4)</w:t>
        </w:r>
      </w:hyperlink>
    </w:p>
    <w:p w14:paraId="3A3DD017" w14:textId="121AD64D" w:rsidR="006D2C83" w:rsidRDefault="00A06004" w:rsidP="00A06004">
      <w:pPr>
        <w:ind w:left="1080" w:hanging="1080"/>
      </w:pPr>
      <w:r>
        <w:t>10.</w:t>
      </w:r>
      <w:r w:rsidR="00A5441A">
        <w:t>8</w:t>
      </w:r>
      <w:r>
        <w:tab/>
      </w:r>
      <w:hyperlink r:id="rId29" w:history="1">
        <w:r w:rsidR="006D2C83" w:rsidRPr="00B87EC8">
          <w:rPr>
            <w:rStyle w:val="Hyperlink"/>
          </w:rPr>
          <w:t>Form of PIPE Preferred Investment Options</w:t>
        </w:r>
        <w:r w:rsidRPr="00B87EC8">
          <w:rPr>
            <w:rStyle w:val="Hyperlink"/>
          </w:rPr>
          <w:t>, dated May 27, 2022 (4)</w:t>
        </w:r>
      </w:hyperlink>
    </w:p>
    <w:p w14:paraId="11DE7549" w14:textId="1D26ADED" w:rsidR="006D2C83" w:rsidRDefault="00A06004" w:rsidP="00C10E11">
      <w:pPr>
        <w:ind w:left="1080" w:hanging="1080"/>
      </w:pPr>
      <w:r>
        <w:t>10.</w:t>
      </w:r>
      <w:r w:rsidR="00A5441A">
        <w:t>9</w:t>
      </w:r>
      <w:r>
        <w:tab/>
      </w:r>
      <w:hyperlink r:id="rId30" w:history="1">
        <w:r w:rsidR="006D2C83" w:rsidRPr="00B87EC8">
          <w:rPr>
            <w:rStyle w:val="Hyperlink"/>
          </w:rPr>
          <w:t>Form of RD Preferred Investment Options</w:t>
        </w:r>
        <w:r w:rsidRPr="00B87EC8">
          <w:rPr>
            <w:rStyle w:val="Hyperlink"/>
          </w:rPr>
          <w:t>, dated May 27, 2022 (4)</w:t>
        </w:r>
      </w:hyperlink>
    </w:p>
    <w:p w14:paraId="44CA90E6" w14:textId="6F8C118F" w:rsidR="00C10E11" w:rsidRPr="00E12218" w:rsidRDefault="00C10E11" w:rsidP="00532502">
      <w:pPr>
        <w:ind w:left="1080" w:hanging="1080"/>
      </w:pPr>
      <w:r w:rsidRPr="00B12356">
        <w:t>10.</w:t>
      </w:r>
      <w:r w:rsidR="009A5B22">
        <w:t>1</w:t>
      </w:r>
      <w:r w:rsidR="00A5441A">
        <w:t>0</w:t>
      </w:r>
      <w:r>
        <w:t>**</w:t>
      </w:r>
      <w:r w:rsidRPr="00E12218">
        <w:tab/>
      </w:r>
      <w:hyperlink r:id="rId31" w:history="1">
        <w:r w:rsidRPr="000B19B2">
          <w:rPr>
            <w:rStyle w:val="Hyperlink"/>
          </w:rPr>
          <w:t xml:space="preserve">Employment Agreement between </w:t>
        </w:r>
        <w:proofErr w:type="spellStart"/>
        <w:r w:rsidRPr="000B19B2">
          <w:rPr>
            <w:rStyle w:val="Hyperlink"/>
          </w:rPr>
          <w:t>GeoVax</w:t>
        </w:r>
        <w:proofErr w:type="spellEnd"/>
        <w:r w:rsidRPr="000B19B2">
          <w:rPr>
            <w:rStyle w:val="Hyperlink"/>
          </w:rPr>
          <w:t>, Inc. and Mark J. Newman, PhD, as Amended and Restated March 9, 2022</w:t>
        </w:r>
        <w:r w:rsidR="008F2D01" w:rsidRPr="000B19B2">
          <w:rPr>
            <w:rStyle w:val="Hyperlink"/>
          </w:rPr>
          <w:t xml:space="preserve"> (3)</w:t>
        </w:r>
      </w:hyperlink>
    </w:p>
    <w:p w14:paraId="3A17C8DE" w14:textId="6B8A84AC" w:rsidR="009A5B22" w:rsidRDefault="009A5B22" w:rsidP="00C10E11">
      <w:pPr>
        <w:ind w:left="1080" w:hanging="1080"/>
      </w:pPr>
      <w:r>
        <w:t>10.1</w:t>
      </w:r>
      <w:r w:rsidR="00A5441A">
        <w:t>1</w:t>
      </w:r>
      <w:proofErr w:type="gramStart"/>
      <w:r>
        <w:t>*</w:t>
      </w:r>
      <w:r w:rsidR="004C61BB">
        <w:t>,*</w:t>
      </w:r>
      <w:proofErr w:type="gramEnd"/>
      <w:r w:rsidR="004C61BB">
        <w:t>*</w:t>
      </w:r>
      <w:r>
        <w:tab/>
        <w:t xml:space="preserve">Amendment No. 1 to Employment Agreement between </w:t>
      </w:r>
      <w:proofErr w:type="spellStart"/>
      <w:r>
        <w:t>GeoVax</w:t>
      </w:r>
      <w:proofErr w:type="spellEnd"/>
      <w:r>
        <w:t xml:space="preserve"> Labs, Inc. and Mark J. Newman, PhD</w:t>
      </w:r>
    </w:p>
    <w:p w14:paraId="37D92D60" w14:textId="3C109FB7" w:rsidR="009A5B22" w:rsidRDefault="009A5B22" w:rsidP="00C10E11">
      <w:pPr>
        <w:ind w:left="1080" w:hanging="1080"/>
      </w:pPr>
      <w:r>
        <w:t>10.1</w:t>
      </w:r>
      <w:r w:rsidR="00A5441A">
        <w:t>2</w:t>
      </w:r>
      <w:proofErr w:type="gramStart"/>
      <w:r>
        <w:t>*</w:t>
      </w:r>
      <w:r w:rsidR="004C61BB">
        <w:t>,*</w:t>
      </w:r>
      <w:proofErr w:type="gramEnd"/>
      <w:r w:rsidR="004C61BB">
        <w:t>*</w:t>
      </w:r>
      <w:r>
        <w:tab/>
        <w:t>Employment Agreement between</w:t>
      </w:r>
      <w:r w:rsidR="00532502">
        <w:t xml:space="preserve"> </w:t>
      </w:r>
      <w:proofErr w:type="spellStart"/>
      <w:r w:rsidR="00532502">
        <w:t>GeoVax</w:t>
      </w:r>
      <w:proofErr w:type="spellEnd"/>
      <w:r w:rsidR="00532502">
        <w:t>, Inc. and John W. Sharkey, PhD</w:t>
      </w:r>
    </w:p>
    <w:p w14:paraId="4C3012FB" w14:textId="64CBF23D" w:rsidR="009A5B22" w:rsidRDefault="009A5B22" w:rsidP="00C10E11">
      <w:pPr>
        <w:ind w:left="1080" w:hanging="1080"/>
      </w:pPr>
      <w:r>
        <w:t>10.1</w:t>
      </w:r>
      <w:r w:rsidR="00A5441A">
        <w:t>3</w:t>
      </w:r>
      <w:proofErr w:type="gramStart"/>
      <w:r>
        <w:t>*</w:t>
      </w:r>
      <w:r w:rsidR="004C61BB">
        <w:t>,*</w:t>
      </w:r>
      <w:proofErr w:type="gramEnd"/>
      <w:r w:rsidR="004C61BB">
        <w:t>*</w:t>
      </w:r>
      <w:r>
        <w:tab/>
      </w:r>
      <w:r w:rsidR="00532502">
        <w:t xml:space="preserve">Amendment No. 1 to Employment Agreement between </w:t>
      </w:r>
      <w:proofErr w:type="spellStart"/>
      <w:r w:rsidR="00532502">
        <w:t>GeoVax</w:t>
      </w:r>
      <w:proofErr w:type="spellEnd"/>
      <w:r w:rsidR="00532502">
        <w:t xml:space="preserve"> Labs, Inc. and John W. Sharkey, PhD</w:t>
      </w:r>
    </w:p>
    <w:p w14:paraId="2A2590B0" w14:textId="7F19084A" w:rsidR="00C10E11" w:rsidRDefault="00C10E11" w:rsidP="00C10E11">
      <w:pPr>
        <w:ind w:left="1080" w:hanging="1080"/>
      </w:pPr>
      <w:r w:rsidRPr="00B12356">
        <w:t>10.</w:t>
      </w:r>
      <w:r w:rsidR="00A5441A">
        <w:t>14</w:t>
      </w:r>
      <w:r>
        <w:t>**</w:t>
      </w:r>
      <w:r w:rsidRPr="00E12218">
        <w:tab/>
      </w:r>
      <w:hyperlink r:id="rId32" w:history="1">
        <w:r w:rsidRPr="000B19B2">
          <w:rPr>
            <w:rStyle w:val="Hyperlink"/>
          </w:rPr>
          <w:t xml:space="preserve">Consulting Agreement by and between </w:t>
        </w:r>
        <w:proofErr w:type="spellStart"/>
        <w:r w:rsidRPr="000B19B2">
          <w:rPr>
            <w:rStyle w:val="Hyperlink"/>
          </w:rPr>
          <w:t>GeoVax</w:t>
        </w:r>
        <w:proofErr w:type="spellEnd"/>
        <w:r w:rsidRPr="000B19B2">
          <w:rPr>
            <w:rStyle w:val="Hyperlink"/>
          </w:rPr>
          <w:t>, Inc. and Kelly T. McKee, MD, dated December 22, 2021</w:t>
        </w:r>
        <w:r w:rsidR="008F2D01" w:rsidRPr="000B19B2">
          <w:rPr>
            <w:rStyle w:val="Hyperlink"/>
          </w:rPr>
          <w:t xml:space="preserve"> (3)</w:t>
        </w:r>
      </w:hyperlink>
    </w:p>
    <w:p w14:paraId="10BAACAC" w14:textId="692946C0" w:rsidR="002E2877" w:rsidRDefault="00C10E11" w:rsidP="00532502">
      <w:pPr>
        <w:ind w:left="1080" w:hanging="1080"/>
      </w:pPr>
      <w:r w:rsidRPr="00B12356">
        <w:t>10.</w:t>
      </w:r>
      <w:r w:rsidR="00A5441A">
        <w:t>1</w:t>
      </w:r>
      <w:r w:rsidR="008F2D01">
        <w:t>5</w:t>
      </w:r>
      <w:r w:rsidRPr="00E12218">
        <w:tab/>
      </w:r>
      <w:hyperlink r:id="rId33" w:history="1">
        <w:r w:rsidRPr="000B19B2">
          <w:rPr>
            <w:rStyle w:val="Hyperlink"/>
          </w:rPr>
          <w:t xml:space="preserve">Summary of the </w:t>
        </w:r>
        <w:proofErr w:type="spellStart"/>
        <w:r w:rsidRPr="000B19B2">
          <w:rPr>
            <w:rStyle w:val="Hyperlink"/>
          </w:rPr>
          <w:t>GeoVax</w:t>
        </w:r>
        <w:proofErr w:type="spellEnd"/>
        <w:r w:rsidRPr="000B19B2">
          <w:rPr>
            <w:rStyle w:val="Hyperlink"/>
          </w:rPr>
          <w:t xml:space="preserve"> Labs, Inc. Director Compensation Plan</w:t>
        </w:r>
        <w:r w:rsidR="008F2D01" w:rsidRPr="000B19B2">
          <w:rPr>
            <w:rStyle w:val="Hyperlink"/>
          </w:rPr>
          <w:t xml:space="preserve"> (3)</w:t>
        </w:r>
      </w:hyperlink>
    </w:p>
    <w:p w14:paraId="769D58A4" w14:textId="56F50481" w:rsidR="00717940" w:rsidRPr="001C6303" w:rsidRDefault="00717940" w:rsidP="00B54D7E">
      <w:pPr>
        <w:ind w:left="1080" w:hanging="1080"/>
      </w:pPr>
      <w:r w:rsidRPr="001C6303">
        <w:t>31.1*</w:t>
      </w:r>
      <w:r w:rsidRPr="001C6303">
        <w:tab/>
        <w:t xml:space="preserve">Certification pursuant to Rule 13a-14(a) or 15d-14(a) of the Securities Exchange Act of 1934 </w:t>
      </w:r>
    </w:p>
    <w:p w14:paraId="0D5E8471" w14:textId="77777777" w:rsidR="00717940" w:rsidRPr="001C6303" w:rsidRDefault="00717940" w:rsidP="00B54D7E">
      <w:pPr>
        <w:ind w:left="1080" w:hanging="1080"/>
      </w:pPr>
      <w:r w:rsidRPr="001C6303">
        <w:t>31.2*</w:t>
      </w:r>
      <w:r w:rsidRPr="001C6303">
        <w:tab/>
        <w:t xml:space="preserve">Certification pursuant to Rule 13a-14(a) or 15d-14(a) of the Securities Exchange Act of 1934 </w:t>
      </w:r>
    </w:p>
    <w:p w14:paraId="7E0B9613" w14:textId="77777777" w:rsidR="00717940" w:rsidRPr="001C6303" w:rsidRDefault="00717940" w:rsidP="00B54D7E">
      <w:pPr>
        <w:ind w:left="1080" w:hanging="108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B54D7E">
      <w:pPr>
        <w:tabs>
          <w:tab w:val="left" w:pos="2340"/>
          <w:tab w:val="left" w:pos="3600"/>
          <w:tab w:val="left" w:pos="7920"/>
        </w:tabs>
        <w:ind w:left="1080" w:hanging="1080"/>
      </w:pPr>
      <w:r w:rsidRPr="001C6303">
        <w:t>32.2*</w:t>
      </w:r>
      <w:r w:rsidRPr="001C6303">
        <w:tab/>
        <w:t xml:space="preserve">Certification pursuant to 18 U.S.C. Section 1350, as adopted by Section 906 of the Sarbanes-Oxley Act of 2002 </w:t>
      </w:r>
    </w:p>
    <w:p w14:paraId="6B43401B" w14:textId="1E52B498" w:rsidR="00277C53" w:rsidRDefault="00277C53" w:rsidP="00B54D7E">
      <w:pPr>
        <w:ind w:left="1080" w:hanging="1080"/>
      </w:pPr>
      <w:r>
        <w:t>101.INS</w:t>
      </w:r>
      <w:r>
        <w:tab/>
      </w:r>
      <w:r w:rsidR="001427A0">
        <w:t xml:space="preserve">Inline </w:t>
      </w:r>
      <w:r>
        <w:t>XBRL Instance Document</w:t>
      </w:r>
      <w:r w:rsidR="001427A0">
        <w:t xml:space="preserve"> (1)</w:t>
      </w:r>
    </w:p>
    <w:p w14:paraId="0DFF493E" w14:textId="681380A4" w:rsidR="00277C53" w:rsidRDefault="00277C53" w:rsidP="00B54D7E">
      <w:pPr>
        <w:ind w:left="1080" w:hanging="1080"/>
      </w:pPr>
      <w:r>
        <w:t>101.SCH</w:t>
      </w:r>
      <w:r>
        <w:tab/>
      </w:r>
      <w:r w:rsidR="001427A0">
        <w:t xml:space="preserve">Inline </w:t>
      </w:r>
      <w:r>
        <w:t>XBRL Taxonomy Extension Schema Document</w:t>
      </w:r>
      <w:r w:rsidR="001427A0">
        <w:t xml:space="preserve"> (1)</w:t>
      </w:r>
    </w:p>
    <w:p w14:paraId="15A985B3" w14:textId="24A71D0B" w:rsidR="00277C53" w:rsidRDefault="00277C53" w:rsidP="00B54D7E">
      <w:pPr>
        <w:ind w:left="1080" w:hanging="1080"/>
      </w:pPr>
      <w:r>
        <w:t>101.CAL</w:t>
      </w:r>
      <w:r>
        <w:tab/>
      </w:r>
      <w:r w:rsidR="001427A0">
        <w:t xml:space="preserve">Inline </w:t>
      </w:r>
      <w:r>
        <w:t xml:space="preserve">XBRL Taxonomy Extension Calculation </w:t>
      </w:r>
      <w:proofErr w:type="spellStart"/>
      <w:r>
        <w:t>Linkbase</w:t>
      </w:r>
      <w:proofErr w:type="spellEnd"/>
      <w:r>
        <w:t xml:space="preserve"> Document</w:t>
      </w:r>
      <w:r w:rsidR="001427A0">
        <w:t xml:space="preserve"> (1)</w:t>
      </w:r>
    </w:p>
    <w:p w14:paraId="237AE405" w14:textId="5CDEF9F8" w:rsidR="00277C53" w:rsidRDefault="00277C53" w:rsidP="00B54D7E">
      <w:pPr>
        <w:ind w:left="1080" w:hanging="1080"/>
      </w:pPr>
      <w:r>
        <w:t>101.DEF</w:t>
      </w:r>
      <w:r>
        <w:tab/>
      </w:r>
      <w:r w:rsidR="001427A0">
        <w:t xml:space="preserve">Inline </w:t>
      </w:r>
      <w:r>
        <w:t xml:space="preserve">XBRL Taxonomy Extension Definition </w:t>
      </w:r>
      <w:proofErr w:type="spellStart"/>
      <w:r>
        <w:t>Linkbase</w:t>
      </w:r>
      <w:proofErr w:type="spellEnd"/>
      <w:r>
        <w:t xml:space="preserve"> Document</w:t>
      </w:r>
      <w:r w:rsidR="001427A0">
        <w:t xml:space="preserve"> (1)</w:t>
      </w:r>
    </w:p>
    <w:p w14:paraId="3C8A4BF0" w14:textId="3C7FCEC9" w:rsidR="00277C53" w:rsidRDefault="00277C53" w:rsidP="00B54D7E">
      <w:pPr>
        <w:ind w:left="1080" w:hanging="1080"/>
      </w:pPr>
      <w:r>
        <w:t>101.LAB</w:t>
      </w:r>
      <w:r>
        <w:tab/>
      </w:r>
      <w:r w:rsidR="001427A0">
        <w:t xml:space="preserve">Inline </w:t>
      </w:r>
      <w:r>
        <w:t xml:space="preserve">XBRL Taxonomy Extension Label </w:t>
      </w:r>
      <w:proofErr w:type="spellStart"/>
      <w:r>
        <w:t>Linkbase</w:t>
      </w:r>
      <w:proofErr w:type="spellEnd"/>
      <w:r>
        <w:t xml:space="preserve"> Document</w:t>
      </w:r>
      <w:r w:rsidR="001427A0">
        <w:t xml:space="preserve"> (1)</w:t>
      </w:r>
    </w:p>
    <w:p w14:paraId="209011E7" w14:textId="6B684223" w:rsidR="00277C53" w:rsidRPr="001C6303" w:rsidRDefault="00277C53" w:rsidP="00B54D7E">
      <w:pPr>
        <w:ind w:left="1080" w:hanging="1080"/>
      </w:pPr>
      <w:r>
        <w:t>101.PR</w:t>
      </w:r>
      <w:r w:rsidR="001427A0">
        <w:t>E</w:t>
      </w:r>
      <w:r>
        <w:tab/>
      </w:r>
      <w:r w:rsidR="001427A0">
        <w:t xml:space="preserve">Inline </w:t>
      </w:r>
      <w:r>
        <w:t xml:space="preserve">XBRL Taxonomy Extension Presentation </w:t>
      </w:r>
      <w:proofErr w:type="spellStart"/>
      <w:r>
        <w:t>Linkbase</w:t>
      </w:r>
      <w:proofErr w:type="spellEnd"/>
      <w:r>
        <w:t xml:space="preserve"> Document</w:t>
      </w:r>
      <w:r w:rsidR="001427A0">
        <w:t xml:space="preserve"> (1)</w:t>
      </w:r>
    </w:p>
    <w:p w14:paraId="6920DFEF" w14:textId="77777777" w:rsidR="001427A0" w:rsidRPr="001C6303" w:rsidRDefault="001427A0" w:rsidP="00B54D7E">
      <w:pPr>
        <w:ind w:left="1080" w:hanging="1080"/>
      </w:pPr>
      <w:r>
        <w:t>104</w:t>
      </w:r>
      <w:r>
        <w:tab/>
        <w:t>Inline XBRL for the cover page of this Quarterly Report on Form 10-Q and included in the Exhibit 101 Inline XBRL Document Set (1)</w:t>
      </w:r>
    </w:p>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7A33A9AD" w:rsidR="00717940" w:rsidRDefault="00717940" w:rsidP="00742E05">
      <w:pPr>
        <w:ind w:left="720" w:hanging="720"/>
      </w:pPr>
      <w:r>
        <w:t>**</w:t>
      </w:r>
      <w:r>
        <w:tab/>
      </w:r>
      <w:r w:rsidR="001427A0">
        <w:t>Indicates a management contract or compensatory plan or arrangement</w:t>
      </w:r>
    </w:p>
    <w:p w14:paraId="4382E3E7" w14:textId="77777777" w:rsidR="00462D62" w:rsidRDefault="00462D62" w:rsidP="00277C53"/>
    <w:p w14:paraId="4EF68649" w14:textId="77777777" w:rsidR="001427A0" w:rsidRDefault="00277C53" w:rsidP="001427A0">
      <w:pPr>
        <w:ind w:left="720" w:hanging="720"/>
      </w:pPr>
      <w:r>
        <w:t>(1)</w:t>
      </w:r>
      <w:r>
        <w:tab/>
      </w:r>
      <w:r w:rsidR="001427A0">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0B208257" w14:textId="1F2CB296" w:rsidR="001427A0" w:rsidRDefault="008F2D01" w:rsidP="00277C53">
      <w:bookmarkStart w:id="44" w:name="_Hlk107301204"/>
      <w:r>
        <w:t>(2)</w:t>
      </w:r>
      <w:r>
        <w:tab/>
      </w:r>
      <w:r w:rsidRPr="00A92006">
        <w:t xml:space="preserve">Incorporated by reference from the registrant’s </w:t>
      </w:r>
      <w:r>
        <w:t>Current</w:t>
      </w:r>
      <w:r w:rsidRPr="00A92006">
        <w:t xml:space="preserve"> Report on Form </w:t>
      </w:r>
      <w:r>
        <w:t>8</w:t>
      </w:r>
      <w:r w:rsidRPr="00A92006">
        <w:t xml:space="preserve">-K filed </w:t>
      </w:r>
      <w:r>
        <w:t>January</w:t>
      </w:r>
      <w:r w:rsidRPr="00A92006">
        <w:t xml:space="preserve"> </w:t>
      </w:r>
      <w:r>
        <w:t>20</w:t>
      </w:r>
      <w:r w:rsidRPr="00A92006">
        <w:t>, 20</w:t>
      </w:r>
      <w:r>
        <w:t>22.</w:t>
      </w:r>
    </w:p>
    <w:bookmarkEnd w:id="44"/>
    <w:p w14:paraId="01DC92B6" w14:textId="6EBCF2C6" w:rsidR="00277C53" w:rsidRDefault="001427A0" w:rsidP="00277C53">
      <w:r>
        <w:t>(</w:t>
      </w:r>
      <w:r w:rsidR="008F2D01">
        <w:t>3</w:t>
      </w:r>
      <w:r>
        <w:t>)</w:t>
      </w:r>
      <w:r>
        <w:tab/>
      </w:r>
      <w:r w:rsidR="00277C53" w:rsidRPr="00A92006">
        <w:t xml:space="preserve">Incorporated by reference from the registrant’s </w:t>
      </w:r>
      <w:r w:rsidR="00C10E11">
        <w:t>Annual</w:t>
      </w:r>
      <w:r w:rsidR="00277C53" w:rsidRPr="00A92006">
        <w:t xml:space="preserve"> Report on Form </w:t>
      </w:r>
      <w:r w:rsidR="00C10E11">
        <w:t>10</w:t>
      </w:r>
      <w:r w:rsidR="00277C53" w:rsidRPr="00A92006">
        <w:t xml:space="preserve">-K filed </w:t>
      </w:r>
      <w:r w:rsidR="00C10E11">
        <w:t>March</w:t>
      </w:r>
      <w:r w:rsidR="00277C53" w:rsidRPr="00A92006">
        <w:t xml:space="preserve"> </w:t>
      </w:r>
      <w:r w:rsidR="008F2D01">
        <w:t>9</w:t>
      </w:r>
      <w:r w:rsidR="00277C53" w:rsidRPr="00A92006">
        <w:t>, 20</w:t>
      </w:r>
      <w:r w:rsidR="00277C53">
        <w:t>2</w:t>
      </w:r>
      <w:r>
        <w:t>2</w:t>
      </w:r>
      <w:r w:rsidR="00277C53">
        <w:t>.</w:t>
      </w:r>
    </w:p>
    <w:p w14:paraId="2822A5D1" w14:textId="28513B05" w:rsidR="00A06004" w:rsidRDefault="00A06004" w:rsidP="00A06004">
      <w:r>
        <w:t>(4)</w:t>
      </w:r>
      <w:r>
        <w:tab/>
      </w:r>
      <w:r w:rsidRPr="00A92006">
        <w:t xml:space="preserve">Incorporated by reference from the registrant’s </w:t>
      </w:r>
      <w:r>
        <w:t>Current</w:t>
      </w:r>
      <w:r w:rsidRPr="00A92006">
        <w:t xml:space="preserve"> Report on Form </w:t>
      </w:r>
      <w:r>
        <w:t>8</w:t>
      </w:r>
      <w:r w:rsidRPr="00A92006">
        <w:t xml:space="preserve">-K filed </w:t>
      </w:r>
      <w:r>
        <w:t>May</w:t>
      </w:r>
      <w:r w:rsidRPr="00A92006">
        <w:t xml:space="preserve"> </w:t>
      </w:r>
      <w:r>
        <w:t>27</w:t>
      </w:r>
      <w:r w:rsidRPr="00A92006">
        <w:t>, 20</w:t>
      </w:r>
      <w:r>
        <w:t>22.</w:t>
      </w:r>
    </w:p>
    <w:p w14:paraId="61BA8EB6" w14:textId="77777777" w:rsidR="00A06004" w:rsidRDefault="00A06004" w:rsidP="00277C53"/>
    <w:p w14:paraId="0CA1CF67" w14:textId="369E5D3D" w:rsidR="00717940" w:rsidRDefault="00717940"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1E5DE3E4" w:rsidR="00BD6BBE" w:rsidRPr="001C6303" w:rsidRDefault="005277CB">
      <w:pPr>
        <w:tabs>
          <w:tab w:val="left" w:pos="720"/>
          <w:tab w:val="left" w:pos="5400"/>
          <w:tab w:val="center" w:pos="7380"/>
        </w:tabs>
      </w:pPr>
      <w:r w:rsidRPr="001C6303">
        <w:t>Date:</w:t>
      </w:r>
      <w:r w:rsidRPr="001C6303">
        <w:tab/>
      </w:r>
      <w:r w:rsidR="00B87EC8">
        <w:t>August</w:t>
      </w:r>
      <w:r w:rsidR="00E022F7">
        <w:t xml:space="preserve"> </w:t>
      </w:r>
      <w:r w:rsidR="00BC6B92">
        <w:t>3</w:t>
      </w:r>
      <w:r w:rsidR="006B43ED" w:rsidRPr="00CD5558">
        <w:t xml:space="preserve">, </w:t>
      </w:r>
      <w:proofErr w:type="gramStart"/>
      <w:r w:rsidR="006B43ED" w:rsidRPr="00CD5558">
        <w:t>20</w:t>
      </w:r>
      <w:r w:rsidR="00717940">
        <w:t>2</w:t>
      </w:r>
      <w:r w:rsidR="00E022F7">
        <w:t>2</w:t>
      </w:r>
      <w:proofErr w:type="gramEnd"/>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34"/>
      <w:headerReference w:type="default" r:id="rId35"/>
      <w:footerReference w:type="even" r:id="rId36"/>
      <w:footerReference w:type="default" r:id="rId37"/>
      <w:headerReference w:type="first" r:id="rId38"/>
      <w:footerReference w:type="first" r:id="rId3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CBE4" w14:textId="77777777" w:rsidR="005F4662" w:rsidRDefault="005F4662">
      <w:r>
        <w:separator/>
      </w:r>
    </w:p>
  </w:endnote>
  <w:endnote w:type="continuationSeparator" w:id="0">
    <w:p w14:paraId="7804C108" w14:textId="77777777" w:rsidR="005F4662" w:rsidRDefault="005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3F3AB3B3" w:rsidR="005F4662" w:rsidRDefault="0067415A" w:rsidP="003A5897">
    <w:pPr>
      <w:pStyle w:val="Footer"/>
    </w:pPr>
    <w:r>
      <w:fldChar w:fldCharType="begin"/>
    </w:r>
    <w:r>
      <w:instrText xml:space="preserve"> DOCPROPERTY "SWDocID"  \* MERGEFORMAT </w:instrText>
    </w:r>
    <w:r>
      <w:fldChar w:fldCharType="separate"/>
    </w:r>
    <w:r w:rsidRPr="0067415A">
      <w:rPr>
        <w:sz w:val="18"/>
      </w:rPr>
      <w:t>WCSR  3894443v2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6112E336" w:rsidR="005F4662" w:rsidRDefault="0067415A" w:rsidP="003A5897">
    <w:pPr>
      <w:pStyle w:val="Footer"/>
    </w:pPr>
    <w:r>
      <w:fldChar w:fldCharType="begin"/>
    </w:r>
    <w:r>
      <w:instrText xml:space="preserve"> DOCPROPERTY "SWDocID"  \* MERGEFORMAT </w:instrText>
    </w:r>
    <w:r>
      <w:fldChar w:fldCharType="separate"/>
    </w:r>
    <w:r w:rsidRPr="0067415A">
      <w:rPr>
        <w:sz w:val="18"/>
      </w:rPr>
      <w:t>WCSR  3894443v2</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8DBB" w14:textId="77777777" w:rsidR="005F4662" w:rsidRDefault="005F4662">
      <w:r>
        <w:separator/>
      </w:r>
    </w:p>
  </w:footnote>
  <w:footnote w:type="continuationSeparator" w:id="0">
    <w:p w14:paraId="055C4732" w14:textId="77777777" w:rsidR="005F4662" w:rsidRDefault="005F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6097812">
    <w:abstractNumId w:val="3"/>
  </w:num>
  <w:num w:numId="2" w16cid:durableId="97019539">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1462108970">
    <w:abstractNumId w:val="6"/>
  </w:num>
  <w:num w:numId="4" w16cid:durableId="31922999">
    <w:abstractNumId w:val="4"/>
  </w:num>
  <w:num w:numId="5" w16cid:durableId="583146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575631">
    <w:abstractNumId w:val="1"/>
  </w:num>
  <w:num w:numId="7" w16cid:durableId="918561998">
    <w:abstractNumId w:val="2"/>
  </w:num>
  <w:num w:numId="8" w16cid:durableId="1966542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055740">
    <w:abstractNumId w:val="5"/>
  </w:num>
  <w:num w:numId="10" w16cid:durableId="1547378558">
    <w:abstractNumId w:val="10"/>
  </w:num>
  <w:num w:numId="11" w16cid:durableId="623535316">
    <w:abstractNumId w:val="8"/>
  </w:num>
  <w:num w:numId="12" w16cid:durableId="1753356331">
    <w:abstractNumId w:val="9"/>
  </w:num>
  <w:num w:numId="13" w16cid:durableId="64909389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126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1C8D"/>
    <w:rsid w:val="00002341"/>
    <w:rsid w:val="00003127"/>
    <w:rsid w:val="000031AA"/>
    <w:rsid w:val="000034E0"/>
    <w:rsid w:val="00003985"/>
    <w:rsid w:val="000045A2"/>
    <w:rsid w:val="00004976"/>
    <w:rsid w:val="00006146"/>
    <w:rsid w:val="00006D2A"/>
    <w:rsid w:val="00010534"/>
    <w:rsid w:val="000108EF"/>
    <w:rsid w:val="00010CDD"/>
    <w:rsid w:val="00011002"/>
    <w:rsid w:val="00011BEF"/>
    <w:rsid w:val="00012345"/>
    <w:rsid w:val="000128C9"/>
    <w:rsid w:val="00012E6B"/>
    <w:rsid w:val="00015F1B"/>
    <w:rsid w:val="000162CE"/>
    <w:rsid w:val="000168CC"/>
    <w:rsid w:val="00017A17"/>
    <w:rsid w:val="000206F1"/>
    <w:rsid w:val="00021A09"/>
    <w:rsid w:val="0002202E"/>
    <w:rsid w:val="000237DB"/>
    <w:rsid w:val="0002455D"/>
    <w:rsid w:val="000251EA"/>
    <w:rsid w:val="000253FD"/>
    <w:rsid w:val="00025C72"/>
    <w:rsid w:val="00025E86"/>
    <w:rsid w:val="000267C2"/>
    <w:rsid w:val="000311C2"/>
    <w:rsid w:val="00031A17"/>
    <w:rsid w:val="0003218D"/>
    <w:rsid w:val="00032EFE"/>
    <w:rsid w:val="00033091"/>
    <w:rsid w:val="000331E4"/>
    <w:rsid w:val="00033723"/>
    <w:rsid w:val="00036D88"/>
    <w:rsid w:val="0003701D"/>
    <w:rsid w:val="000371CC"/>
    <w:rsid w:val="00037DDA"/>
    <w:rsid w:val="00041939"/>
    <w:rsid w:val="00041E98"/>
    <w:rsid w:val="000427E1"/>
    <w:rsid w:val="00045086"/>
    <w:rsid w:val="00045778"/>
    <w:rsid w:val="00045A27"/>
    <w:rsid w:val="000467AD"/>
    <w:rsid w:val="00046E77"/>
    <w:rsid w:val="000504C2"/>
    <w:rsid w:val="00050847"/>
    <w:rsid w:val="00050E31"/>
    <w:rsid w:val="000510FB"/>
    <w:rsid w:val="0005266E"/>
    <w:rsid w:val="00052BD0"/>
    <w:rsid w:val="00052C14"/>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1D6F"/>
    <w:rsid w:val="00072810"/>
    <w:rsid w:val="00074805"/>
    <w:rsid w:val="00075378"/>
    <w:rsid w:val="0007631A"/>
    <w:rsid w:val="00076ACC"/>
    <w:rsid w:val="00082209"/>
    <w:rsid w:val="0008274C"/>
    <w:rsid w:val="00085927"/>
    <w:rsid w:val="00086188"/>
    <w:rsid w:val="0008634B"/>
    <w:rsid w:val="00086A2F"/>
    <w:rsid w:val="000871E0"/>
    <w:rsid w:val="00087841"/>
    <w:rsid w:val="00087E6E"/>
    <w:rsid w:val="00087F53"/>
    <w:rsid w:val="00090FF4"/>
    <w:rsid w:val="00094012"/>
    <w:rsid w:val="0009462E"/>
    <w:rsid w:val="000947D0"/>
    <w:rsid w:val="00095DD7"/>
    <w:rsid w:val="00096B1B"/>
    <w:rsid w:val="00096E33"/>
    <w:rsid w:val="000972C2"/>
    <w:rsid w:val="00097B30"/>
    <w:rsid w:val="000A3522"/>
    <w:rsid w:val="000A37E8"/>
    <w:rsid w:val="000A437C"/>
    <w:rsid w:val="000A49BE"/>
    <w:rsid w:val="000A4CB0"/>
    <w:rsid w:val="000A4DF8"/>
    <w:rsid w:val="000A5148"/>
    <w:rsid w:val="000A55AE"/>
    <w:rsid w:val="000A58BB"/>
    <w:rsid w:val="000A6576"/>
    <w:rsid w:val="000A6F1B"/>
    <w:rsid w:val="000B0FD9"/>
    <w:rsid w:val="000B12B0"/>
    <w:rsid w:val="000B1892"/>
    <w:rsid w:val="000B19B2"/>
    <w:rsid w:val="000B33FC"/>
    <w:rsid w:val="000B4A80"/>
    <w:rsid w:val="000B5975"/>
    <w:rsid w:val="000B5C24"/>
    <w:rsid w:val="000B648E"/>
    <w:rsid w:val="000B712F"/>
    <w:rsid w:val="000B7596"/>
    <w:rsid w:val="000B7D9B"/>
    <w:rsid w:val="000C0100"/>
    <w:rsid w:val="000C085D"/>
    <w:rsid w:val="000C18B5"/>
    <w:rsid w:val="000C3133"/>
    <w:rsid w:val="000C38A3"/>
    <w:rsid w:val="000C4495"/>
    <w:rsid w:val="000C47BC"/>
    <w:rsid w:val="000C50EF"/>
    <w:rsid w:val="000C6372"/>
    <w:rsid w:val="000C6642"/>
    <w:rsid w:val="000C6697"/>
    <w:rsid w:val="000C70FD"/>
    <w:rsid w:val="000D0077"/>
    <w:rsid w:val="000D15F1"/>
    <w:rsid w:val="000D3DC5"/>
    <w:rsid w:val="000D4459"/>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B9C"/>
    <w:rsid w:val="000F0F0D"/>
    <w:rsid w:val="000F202C"/>
    <w:rsid w:val="000F378F"/>
    <w:rsid w:val="000F3A7C"/>
    <w:rsid w:val="000F3D82"/>
    <w:rsid w:val="000F4B4D"/>
    <w:rsid w:val="000F57EC"/>
    <w:rsid w:val="000F5A92"/>
    <w:rsid w:val="000F6610"/>
    <w:rsid w:val="000F6A1C"/>
    <w:rsid w:val="000F7274"/>
    <w:rsid w:val="000F74E2"/>
    <w:rsid w:val="001000F4"/>
    <w:rsid w:val="00103160"/>
    <w:rsid w:val="00103750"/>
    <w:rsid w:val="001046B1"/>
    <w:rsid w:val="00105589"/>
    <w:rsid w:val="00105666"/>
    <w:rsid w:val="00105905"/>
    <w:rsid w:val="00106DDC"/>
    <w:rsid w:val="00106E6F"/>
    <w:rsid w:val="0011067F"/>
    <w:rsid w:val="00110954"/>
    <w:rsid w:val="00110E4D"/>
    <w:rsid w:val="00110F05"/>
    <w:rsid w:val="001113CE"/>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67D9"/>
    <w:rsid w:val="00137307"/>
    <w:rsid w:val="001373A9"/>
    <w:rsid w:val="001376F5"/>
    <w:rsid w:val="00137D87"/>
    <w:rsid w:val="00140C57"/>
    <w:rsid w:val="0014178D"/>
    <w:rsid w:val="00141A8D"/>
    <w:rsid w:val="001426C2"/>
    <w:rsid w:val="001427A0"/>
    <w:rsid w:val="001435F4"/>
    <w:rsid w:val="001436ED"/>
    <w:rsid w:val="00143709"/>
    <w:rsid w:val="00143716"/>
    <w:rsid w:val="00143C0E"/>
    <w:rsid w:val="001451E8"/>
    <w:rsid w:val="00146008"/>
    <w:rsid w:val="00146FFE"/>
    <w:rsid w:val="00147AF4"/>
    <w:rsid w:val="00150DA7"/>
    <w:rsid w:val="00152824"/>
    <w:rsid w:val="00154A23"/>
    <w:rsid w:val="00155130"/>
    <w:rsid w:val="001568E0"/>
    <w:rsid w:val="00156F0B"/>
    <w:rsid w:val="0016039E"/>
    <w:rsid w:val="001608A4"/>
    <w:rsid w:val="0016138B"/>
    <w:rsid w:val="00161492"/>
    <w:rsid w:val="001615D5"/>
    <w:rsid w:val="001619B6"/>
    <w:rsid w:val="00161A28"/>
    <w:rsid w:val="0016206A"/>
    <w:rsid w:val="00162B50"/>
    <w:rsid w:val="001630D7"/>
    <w:rsid w:val="0016377E"/>
    <w:rsid w:val="00163782"/>
    <w:rsid w:val="001653A6"/>
    <w:rsid w:val="0016579D"/>
    <w:rsid w:val="00165DE5"/>
    <w:rsid w:val="001664F3"/>
    <w:rsid w:val="00166A4A"/>
    <w:rsid w:val="001677CE"/>
    <w:rsid w:val="00170256"/>
    <w:rsid w:val="00171251"/>
    <w:rsid w:val="00172748"/>
    <w:rsid w:val="0017287E"/>
    <w:rsid w:val="00172BE4"/>
    <w:rsid w:val="00174B2B"/>
    <w:rsid w:val="00175858"/>
    <w:rsid w:val="00175A7C"/>
    <w:rsid w:val="001768F7"/>
    <w:rsid w:val="0017772C"/>
    <w:rsid w:val="00177E79"/>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0E17"/>
    <w:rsid w:val="001C1459"/>
    <w:rsid w:val="001C32F6"/>
    <w:rsid w:val="001C3695"/>
    <w:rsid w:val="001C37F3"/>
    <w:rsid w:val="001C3AC6"/>
    <w:rsid w:val="001C4BA5"/>
    <w:rsid w:val="001C4F8F"/>
    <w:rsid w:val="001C5077"/>
    <w:rsid w:val="001C62BA"/>
    <w:rsid w:val="001C6303"/>
    <w:rsid w:val="001C6599"/>
    <w:rsid w:val="001C6718"/>
    <w:rsid w:val="001C7065"/>
    <w:rsid w:val="001C7C53"/>
    <w:rsid w:val="001D44D7"/>
    <w:rsid w:val="001D4A52"/>
    <w:rsid w:val="001D6731"/>
    <w:rsid w:val="001D745A"/>
    <w:rsid w:val="001D7CCE"/>
    <w:rsid w:val="001E026B"/>
    <w:rsid w:val="001E0D7D"/>
    <w:rsid w:val="001E1B0D"/>
    <w:rsid w:val="001E2628"/>
    <w:rsid w:val="001E302D"/>
    <w:rsid w:val="001E43A8"/>
    <w:rsid w:val="001E4713"/>
    <w:rsid w:val="001E6A3F"/>
    <w:rsid w:val="001E77F3"/>
    <w:rsid w:val="001E78A9"/>
    <w:rsid w:val="001E7B55"/>
    <w:rsid w:val="001F04BE"/>
    <w:rsid w:val="001F0568"/>
    <w:rsid w:val="001F09D0"/>
    <w:rsid w:val="001F0A16"/>
    <w:rsid w:val="001F2008"/>
    <w:rsid w:val="001F251F"/>
    <w:rsid w:val="001F2E8C"/>
    <w:rsid w:val="001F4209"/>
    <w:rsid w:val="001F62EC"/>
    <w:rsid w:val="001F7F86"/>
    <w:rsid w:val="002024CE"/>
    <w:rsid w:val="002025C3"/>
    <w:rsid w:val="00202BAB"/>
    <w:rsid w:val="0020331B"/>
    <w:rsid w:val="002048CA"/>
    <w:rsid w:val="00205913"/>
    <w:rsid w:val="002059C0"/>
    <w:rsid w:val="00205B29"/>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458D"/>
    <w:rsid w:val="00224660"/>
    <w:rsid w:val="0022515F"/>
    <w:rsid w:val="002254C4"/>
    <w:rsid w:val="002259F1"/>
    <w:rsid w:val="002260F6"/>
    <w:rsid w:val="00226729"/>
    <w:rsid w:val="002300D1"/>
    <w:rsid w:val="00231346"/>
    <w:rsid w:val="00231AD7"/>
    <w:rsid w:val="00234F72"/>
    <w:rsid w:val="00235CCA"/>
    <w:rsid w:val="00236AFC"/>
    <w:rsid w:val="00237166"/>
    <w:rsid w:val="00237A64"/>
    <w:rsid w:val="00237AEE"/>
    <w:rsid w:val="002401F7"/>
    <w:rsid w:val="00240B57"/>
    <w:rsid w:val="00241293"/>
    <w:rsid w:val="00243245"/>
    <w:rsid w:val="0024365D"/>
    <w:rsid w:val="0024386A"/>
    <w:rsid w:val="00243F27"/>
    <w:rsid w:val="00244465"/>
    <w:rsid w:val="00244A54"/>
    <w:rsid w:val="00244F17"/>
    <w:rsid w:val="00245CAF"/>
    <w:rsid w:val="00245E4D"/>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FE0"/>
    <w:rsid w:val="002703B5"/>
    <w:rsid w:val="00270616"/>
    <w:rsid w:val="00270FAD"/>
    <w:rsid w:val="0027114F"/>
    <w:rsid w:val="00271E59"/>
    <w:rsid w:val="00272B03"/>
    <w:rsid w:val="00272B87"/>
    <w:rsid w:val="00272D9F"/>
    <w:rsid w:val="00273176"/>
    <w:rsid w:val="00273F9E"/>
    <w:rsid w:val="002747DD"/>
    <w:rsid w:val="00276836"/>
    <w:rsid w:val="00276CF2"/>
    <w:rsid w:val="00277679"/>
    <w:rsid w:val="00277C53"/>
    <w:rsid w:val="00277F5A"/>
    <w:rsid w:val="00280782"/>
    <w:rsid w:val="00281393"/>
    <w:rsid w:val="00282224"/>
    <w:rsid w:val="002824B6"/>
    <w:rsid w:val="002825FD"/>
    <w:rsid w:val="00282695"/>
    <w:rsid w:val="00282C60"/>
    <w:rsid w:val="002830D0"/>
    <w:rsid w:val="00283298"/>
    <w:rsid w:val="00284352"/>
    <w:rsid w:val="00284967"/>
    <w:rsid w:val="00284A96"/>
    <w:rsid w:val="00285F4C"/>
    <w:rsid w:val="00286211"/>
    <w:rsid w:val="00286CD3"/>
    <w:rsid w:val="00286E88"/>
    <w:rsid w:val="00287997"/>
    <w:rsid w:val="00287B37"/>
    <w:rsid w:val="00291018"/>
    <w:rsid w:val="002916DB"/>
    <w:rsid w:val="002924FD"/>
    <w:rsid w:val="00292DA5"/>
    <w:rsid w:val="002940C2"/>
    <w:rsid w:val="00294C62"/>
    <w:rsid w:val="002953C2"/>
    <w:rsid w:val="00296B9C"/>
    <w:rsid w:val="00297C39"/>
    <w:rsid w:val="002A0849"/>
    <w:rsid w:val="002A1016"/>
    <w:rsid w:val="002A1D5B"/>
    <w:rsid w:val="002A2053"/>
    <w:rsid w:val="002A33CE"/>
    <w:rsid w:val="002A3612"/>
    <w:rsid w:val="002A3643"/>
    <w:rsid w:val="002A366D"/>
    <w:rsid w:val="002A36E7"/>
    <w:rsid w:val="002A3CEB"/>
    <w:rsid w:val="002A4B7D"/>
    <w:rsid w:val="002A56A7"/>
    <w:rsid w:val="002A6173"/>
    <w:rsid w:val="002A64CF"/>
    <w:rsid w:val="002A7C8A"/>
    <w:rsid w:val="002B008D"/>
    <w:rsid w:val="002B012B"/>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6F6C"/>
    <w:rsid w:val="002B71C6"/>
    <w:rsid w:val="002C064C"/>
    <w:rsid w:val="002C15DA"/>
    <w:rsid w:val="002C1FD0"/>
    <w:rsid w:val="002C26C7"/>
    <w:rsid w:val="002C2BDB"/>
    <w:rsid w:val="002C4265"/>
    <w:rsid w:val="002C446F"/>
    <w:rsid w:val="002C4612"/>
    <w:rsid w:val="002C47DA"/>
    <w:rsid w:val="002C503A"/>
    <w:rsid w:val="002C65AC"/>
    <w:rsid w:val="002C6B31"/>
    <w:rsid w:val="002C785E"/>
    <w:rsid w:val="002D0356"/>
    <w:rsid w:val="002D1230"/>
    <w:rsid w:val="002D19A2"/>
    <w:rsid w:val="002D1A5A"/>
    <w:rsid w:val="002D2C1C"/>
    <w:rsid w:val="002D47BF"/>
    <w:rsid w:val="002D50D9"/>
    <w:rsid w:val="002D627A"/>
    <w:rsid w:val="002D676E"/>
    <w:rsid w:val="002D6A9E"/>
    <w:rsid w:val="002D75EF"/>
    <w:rsid w:val="002D7837"/>
    <w:rsid w:val="002E10BA"/>
    <w:rsid w:val="002E2877"/>
    <w:rsid w:val="002E3CAF"/>
    <w:rsid w:val="002E449A"/>
    <w:rsid w:val="002E4A22"/>
    <w:rsid w:val="002E4FAF"/>
    <w:rsid w:val="002E5D06"/>
    <w:rsid w:val="002E74EF"/>
    <w:rsid w:val="002E7E14"/>
    <w:rsid w:val="002F05B7"/>
    <w:rsid w:val="002F0916"/>
    <w:rsid w:val="002F1439"/>
    <w:rsid w:val="002F1B97"/>
    <w:rsid w:val="002F3AA2"/>
    <w:rsid w:val="002F3BEB"/>
    <w:rsid w:val="002F53D1"/>
    <w:rsid w:val="00300507"/>
    <w:rsid w:val="0030310F"/>
    <w:rsid w:val="0030340E"/>
    <w:rsid w:val="003039A5"/>
    <w:rsid w:val="00304332"/>
    <w:rsid w:val="0030455A"/>
    <w:rsid w:val="00306812"/>
    <w:rsid w:val="00306F1D"/>
    <w:rsid w:val="00307685"/>
    <w:rsid w:val="00310F92"/>
    <w:rsid w:val="0031109D"/>
    <w:rsid w:val="003113F2"/>
    <w:rsid w:val="00311621"/>
    <w:rsid w:val="00312A9D"/>
    <w:rsid w:val="00312F8D"/>
    <w:rsid w:val="003137A1"/>
    <w:rsid w:val="00314494"/>
    <w:rsid w:val="00315051"/>
    <w:rsid w:val="003161F3"/>
    <w:rsid w:val="00316ABB"/>
    <w:rsid w:val="003179B8"/>
    <w:rsid w:val="00320832"/>
    <w:rsid w:val="00320C55"/>
    <w:rsid w:val="0032202F"/>
    <w:rsid w:val="00323128"/>
    <w:rsid w:val="00323150"/>
    <w:rsid w:val="00324708"/>
    <w:rsid w:val="0032570B"/>
    <w:rsid w:val="003268F2"/>
    <w:rsid w:val="00330817"/>
    <w:rsid w:val="00330A8F"/>
    <w:rsid w:val="00330DCA"/>
    <w:rsid w:val="00331503"/>
    <w:rsid w:val="003327BF"/>
    <w:rsid w:val="003329F8"/>
    <w:rsid w:val="00332FB0"/>
    <w:rsid w:val="00333260"/>
    <w:rsid w:val="00333843"/>
    <w:rsid w:val="00333E38"/>
    <w:rsid w:val="00334FCA"/>
    <w:rsid w:val="00335393"/>
    <w:rsid w:val="0033576A"/>
    <w:rsid w:val="00335EFC"/>
    <w:rsid w:val="00335FCC"/>
    <w:rsid w:val="003360CE"/>
    <w:rsid w:val="00337294"/>
    <w:rsid w:val="0034086E"/>
    <w:rsid w:val="0034148D"/>
    <w:rsid w:val="00342196"/>
    <w:rsid w:val="00343765"/>
    <w:rsid w:val="003441A0"/>
    <w:rsid w:val="00344350"/>
    <w:rsid w:val="00344595"/>
    <w:rsid w:val="00344EA6"/>
    <w:rsid w:val="003463A0"/>
    <w:rsid w:val="003467A5"/>
    <w:rsid w:val="00346823"/>
    <w:rsid w:val="0034697D"/>
    <w:rsid w:val="0034732B"/>
    <w:rsid w:val="0035003D"/>
    <w:rsid w:val="00350671"/>
    <w:rsid w:val="0035085F"/>
    <w:rsid w:val="00350D62"/>
    <w:rsid w:val="003513DB"/>
    <w:rsid w:val="00351AC8"/>
    <w:rsid w:val="00352743"/>
    <w:rsid w:val="003535E6"/>
    <w:rsid w:val="003542D2"/>
    <w:rsid w:val="00354595"/>
    <w:rsid w:val="00356734"/>
    <w:rsid w:val="003567C7"/>
    <w:rsid w:val="00356AD1"/>
    <w:rsid w:val="0035777C"/>
    <w:rsid w:val="00357DC8"/>
    <w:rsid w:val="00357E0B"/>
    <w:rsid w:val="00361012"/>
    <w:rsid w:val="003615B2"/>
    <w:rsid w:val="00361F10"/>
    <w:rsid w:val="00363680"/>
    <w:rsid w:val="0036411A"/>
    <w:rsid w:val="00365F57"/>
    <w:rsid w:val="003669F6"/>
    <w:rsid w:val="0036720F"/>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32D9"/>
    <w:rsid w:val="00384143"/>
    <w:rsid w:val="00384F51"/>
    <w:rsid w:val="00385703"/>
    <w:rsid w:val="00385E2F"/>
    <w:rsid w:val="00386021"/>
    <w:rsid w:val="00386760"/>
    <w:rsid w:val="00387105"/>
    <w:rsid w:val="00387333"/>
    <w:rsid w:val="003900DF"/>
    <w:rsid w:val="00391F19"/>
    <w:rsid w:val="0039222C"/>
    <w:rsid w:val="0039241A"/>
    <w:rsid w:val="003927C1"/>
    <w:rsid w:val="0039294F"/>
    <w:rsid w:val="00394451"/>
    <w:rsid w:val="003944F2"/>
    <w:rsid w:val="0039467E"/>
    <w:rsid w:val="00395F83"/>
    <w:rsid w:val="00396286"/>
    <w:rsid w:val="003A0C0D"/>
    <w:rsid w:val="003A21F9"/>
    <w:rsid w:val="003A2390"/>
    <w:rsid w:val="003A420F"/>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224"/>
    <w:rsid w:val="003D0372"/>
    <w:rsid w:val="003D0FFF"/>
    <w:rsid w:val="003D173F"/>
    <w:rsid w:val="003D2CA5"/>
    <w:rsid w:val="003D3EA8"/>
    <w:rsid w:val="003D5252"/>
    <w:rsid w:val="003D663A"/>
    <w:rsid w:val="003D6A75"/>
    <w:rsid w:val="003D719E"/>
    <w:rsid w:val="003E2267"/>
    <w:rsid w:val="003E2B17"/>
    <w:rsid w:val="003E425C"/>
    <w:rsid w:val="003E4B17"/>
    <w:rsid w:val="003E4BC5"/>
    <w:rsid w:val="003E5086"/>
    <w:rsid w:val="003E6788"/>
    <w:rsid w:val="003E67B3"/>
    <w:rsid w:val="003E7124"/>
    <w:rsid w:val="003E7450"/>
    <w:rsid w:val="003F38DE"/>
    <w:rsid w:val="003F3C5A"/>
    <w:rsid w:val="003F3F98"/>
    <w:rsid w:val="003F4F6C"/>
    <w:rsid w:val="003F5257"/>
    <w:rsid w:val="003F664C"/>
    <w:rsid w:val="003F6C32"/>
    <w:rsid w:val="003F7E05"/>
    <w:rsid w:val="00400247"/>
    <w:rsid w:val="004008BE"/>
    <w:rsid w:val="004008E8"/>
    <w:rsid w:val="00400AFE"/>
    <w:rsid w:val="00400D6F"/>
    <w:rsid w:val="0040231A"/>
    <w:rsid w:val="00402BA5"/>
    <w:rsid w:val="00403122"/>
    <w:rsid w:val="004034E9"/>
    <w:rsid w:val="00404CBC"/>
    <w:rsid w:val="00405129"/>
    <w:rsid w:val="0040627F"/>
    <w:rsid w:val="004068BC"/>
    <w:rsid w:val="00407464"/>
    <w:rsid w:val="004075BE"/>
    <w:rsid w:val="0041180F"/>
    <w:rsid w:val="00411BD1"/>
    <w:rsid w:val="00411C0E"/>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7D8"/>
    <w:rsid w:val="00435BCD"/>
    <w:rsid w:val="00435FCE"/>
    <w:rsid w:val="00436318"/>
    <w:rsid w:val="00436B74"/>
    <w:rsid w:val="00437A00"/>
    <w:rsid w:val="004413A2"/>
    <w:rsid w:val="00442E1C"/>
    <w:rsid w:val="004436F2"/>
    <w:rsid w:val="00444503"/>
    <w:rsid w:val="00446351"/>
    <w:rsid w:val="0044760B"/>
    <w:rsid w:val="004477EF"/>
    <w:rsid w:val="004506F6"/>
    <w:rsid w:val="0045103B"/>
    <w:rsid w:val="004511C6"/>
    <w:rsid w:val="00451563"/>
    <w:rsid w:val="0045277A"/>
    <w:rsid w:val="00452D3C"/>
    <w:rsid w:val="00453AD4"/>
    <w:rsid w:val="004549A7"/>
    <w:rsid w:val="00456E9A"/>
    <w:rsid w:val="00457098"/>
    <w:rsid w:val="00457C00"/>
    <w:rsid w:val="00460775"/>
    <w:rsid w:val="004612F7"/>
    <w:rsid w:val="0046257C"/>
    <w:rsid w:val="0046273F"/>
    <w:rsid w:val="0046286C"/>
    <w:rsid w:val="00462D62"/>
    <w:rsid w:val="00463064"/>
    <w:rsid w:val="00463FB7"/>
    <w:rsid w:val="004640D8"/>
    <w:rsid w:val="00464893"/>
    <w:rsid w:val="004662A2"/>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466"/>
    <w:rsid w:val="00486728"/>
    <w:rsid w:val="00487CAB"/>
    <w:rsid w:val="004901C9"/>
    <w:rsid w:val="004905B9"/>
    <w:rsid w:val="00491083"/>
    <w:rsid w:val="00493BB7"/>
    <w:rsid w:val="00493E48"/>
    <w:rsid w:val="00495FB2"/>
    <w:rsid w:val="00496098"/>
    <w:rsid w:val="0049614B"/>
    <w:rsid w:val="00496902"/>
    <w:rsid w:val="004A028C"/>
    <w:rsid w:val="004A05A5"/>
    <w:rsid w:val="004A06DF"/>
    <w:rsid w:val="004A3014"/>
    <w:rsid w:val="004A3A49"/>
    <w:rsid w:val="004A4DC6"/>
    <w:rsid w:val="004A5665"/>
    <w:rsid w:val="004A5874"/>
    <w:rsid w:val="004A5F4E"/>
    <w:rsid w:val="004A6891"/>
    <w:rsid w:val="004A7B3F"/>
    <w:rsid w:val="004B0174"/>
    <w:rsid w:val="004B063C"/>
    <w:rsid w:val="004B2EEB"/>
    <w:rsid w:val="004B3413"/>
    <w:rsid w:val="004B43AC"/>
    <w:rsid w:val="004B5102"/>
    <w:rsid w:val="004B5435"/>
    <w:rsid w:val="004B5B77"/>
    <w:rsid w:val="004B5DC9"/>
    <w:rsid w:val="004B5DF1"/>
    <w:rsid w:val="004B6E93"/>
    <w:rsid w:val="004B7205"/>
    <w:rsid w:val="004B7AC9"/>
    <w:rsid w:val="004C0A63"/>
    <w:rsid w:val="004C149C"/>
    <w:rsid w:val="004C192E"/>
    <w:rsid w:val="004C3FBC"/>
    <w:rsid w:val="004C434E"/>
    <w:rsid w:val="004C5060"/>
    <w:rsid w:val="004C570D"/>
    <w:rsid w:val="004C61BB"/>
    <w:rsid w:val="004C6488"/>
    <w:rsid w:val="004C77EE"/>
    <w:rsid w:val="004D1CDF"/>
    <w:rsid w:val="004D2502"/>
    <w:rsid w:val="004D27B4"/>
    <w:rsid w:val="004D285A"/>
    <w:rsid w:val="004D2A78"/>
    <w:rsid w:val="004D2E2F"/>
    <w:rsid w:val="004D40D8"/>
    <w:rsid w:val="004D4562"/>
    <w:rsid w:val="004D5228"/>
    <w:rsid w:val="004D58F1"/>
    <w:rsid w:val="004D5F4F"/>
    <w:rsid w:val="004D61A5"/>
    <w:rsid w:val="004D6825"/>
    <w:rsid w:val="004D6F0F"/>
    <w:rsid w:val="004D6F55"/>
    <w:rsid w:val="004D78A3"/>
    <w:rsid w:val="004E07F6"/>
    <w:rsid w:val="004E11CB"/>
    <w:rsid w:val="004E21C8"/>
    <w:rsid w:val="004E3374"/>
    <w:rsid w:val="004E3B36"/>
    <w:rsid w:val="004E564C"/>
    <w:rsid w:val="004E5BEA"/>
    <w:rsid w:val="004E5E4C"/>
    <w:rsid w:val="004F2FF4"/>
    <w:rsid w:val="004F479E"/>
    <w:rsid w:val="004F529E"/>
    <w:rsid w:val="004F596C"/>
    <w:rsid w:val="004F6699"/>
    <w:rsid w:val="004F6810"/>
    <w:rsid w:val="004F6B5D"/>
    <w:rsid w:val="004F7572"/>
    <w:rsid w:val="005003DA"/>
    <w:rsid w:val="0050175E"/>
    <w:rsid w:val="00501EEA"/>
    <w:rsid w:val="005024A5"/>
    <w:rsid w:val="005024F5"/>
    <w:rsid w:val="005025D3"/>
    <w:rsid w:val="00502870"/>
    <w:rsid w:val="005036D4"/>
    <w:rsid w:val="00504189"/>
    <w:rsid w:val="00504E21"/>
    <w:rsid w:val="00506C8E"/>
    <w:rsid w:val="00507645"/>
    <w:rsid w:val="00507DB9"/>
    <w:rsid w:val="00507FFA"/>
    <w:rsid w:val="005105AA"/>
    <w:rsid w:val="005105D4"/>
    <w:rsid w:val="00511410"/>
    <w:rsid w:val="0051605E"/>
    <w:rsid w:val="0051766F"/>
    <w:rsid w:val="005177BD"/>
    <w:rsid w:val="00521F32"/>
    <w:rsid w:val="005220EF"/>
    <w:rsid w:val="00522582"/>
    <w:rsid w:val="0052366F"/>
    <w:rsid w:val="00523C32"/>
    <w:rsid w:val="00524636"/>
    <w:rsid w:val="005268FE"/>
    <w:rsid w:val="005277CB"/>
    <w:rsid w:val="00527F02"/>
    <w:rsid w:val="005310C7"/>
    <w:rsid w:val="00531A71"/>
    <w:rsid w:val="00532083"/>
    <w:rsid w:val="00532502"/>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1CEB"/>
    <w:rsid w:val="005420B5"/>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570D6"/>
    <w:rsid w:val="00560065"/>
    <w:rsid w:val="00561271"/>
    <w:rsid w:val="0056383C"/>
    <w:rsid w:val="00564078"/>
    <w:rsid w:val="005641C0"/>
    <w:rsid w:val="00565257"/>
    <w:rsid w:val="005652BD"/>
    <w:rsid w:val="00565650"/>
    <w:rsid w:val="0056581D"/>
    <w:rsid w:val="00565A68"/>
    <w:rsid w:val="005661A8"/>
    <w:rsid w:val="0057050B"/>
    <w:rsid w:val="005731CC"/>
    <w:rsid w:val="005737C3"/>
    <w:rsid w:val="00574A25"/>
    <w:rsid w:val="0057563D"/>
    <w:rsid w:val="0057572B"/>
    <w:rsid w:val="00576C19"/>
    <w:rsid w:val="0057743A"/>
    <w:rsid w:val="005776D5"/>
    <w:rsid w:val="00577A08"/>
    <w:rsid w:val="00580F8A"/>
    <w:rsid w:val="0058175D"/>
    <w:rsid w:val="00581EE6"/>
    <w:rsid w:val="00582294"/>
    <w:rsid w:val="0058293D"/>
    <w:rsid w:val="00583B2A"/>
    <w:rsid w:val="0058507E"/>
    <w:rsid w:val="00585725"/>
    <w:rsid w:val="00585E89"/>
    <w:rsid w:val="00586B72"/>
    <w:rsid w:val="00587925"/>
    <w:rsid w:val="005879BD"/>
    <w:rsid w:val="005903E6"/>
    <w:rsid w:val="00590AFC"/>
    <w:rsid w:val="005916C0"/>
    <w:rsid w:val="005918D5"/>
    <w:rsid w:val="005922F5"/>
    <w:rsid w:val="00592D98"/>
    <w:rsid w:val="00593889"/>
    <w:rsid w:val="00593DF1"/>
    <w:rsid w:val="00593EB6"/>
    <w:rsid w:val="005940FA"/>
    <w:rsid w:val="00594438"/>
    <w:rsid w:val="00595E6C"/>
    <w:rsid w:val="005A0080"/>
    <w:rsid w:val="005A04E5"/>
    <w:rsid w:val="005A1611"/>
    <w:rsid w:val="005A1716"/>
    <w:rsid w:val="005A175B"/>
    <w:rsid w:val="005A2265"/>
    <w:rsid w:val="005A4699"/>
    <w:rsid w:val="005A7B56"/>
    <w:rsid w:val="005B0364"/>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3311"/>
    <w:rsid w:val="005C5025"/>
    <w:rsid w:val="005C6958"/>
    <w:rsid w:val="005D0043"/>
    <w:rsid w:val="005D043E"/>
    <w:rsid w:val="005D2328"/>
    <w:rsid w:val="005D2491"/>
    <w:rsid w:val="005D2500"/>
    <w:rsid w:val="005D251A"/>
    <w:rsid w:val="005D2DB8"/>
    <w:rsid w:val="005D2DE8"/>
    <w:rsid w:val="005D347D"/>
    <w:rsid w:val="005D4939"/>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5FAE"/>
    <w:rsid w:val="005E7A32"/>
    <w:rsid w:val="005F0563"/>
    <w:rsid w:val="005F06F0"/>
    <w:rsid w:val="005F0851"/>
    <w:rsid w:val="005F0CB8"/>
    <w:rsid w:val="005F1A36"/>
    <w:rsid w:val="005F2FFB"/>
    <w:rsid w:val="005F3175"/>
    <w:rsid w:val="005F4076"/>
    <w:rsid w:val="005F40B3"/>
    <w:rsid w:val="005F4662"/>
    <w:rsid w:val="005F6AE5"/>
    <w:rsid w:val="006002B4"/>
    <w:rsid w:val="006008BF"/>
    <w:rsid w:val="00601A18"/>
    <w:rsid w:val="00602613"/>
    <w:rsid w:val="00603305"/>
    <w:rsid w:val="006035B9"/>
    <w:rsid w:val="00604177"/>
    <w:rsid w:val="00604611"/>
    <w:rsid w:val="00604788"/>
    <w:rsid w:val="006060BC"/>
    <w:rsid w:val="006061C7"/>
    <w:rsid w:val="0060682C"/>
    <w:rsid w:val="00607593"/>
    <w:rsid w:val="006079E6"/>
    <w:rsid w:val="00610322"/>
    <w:rsid w:val="00611672"/>
    <w:rsid w:val="006118A2"/>
    <w:rsid w:val="00611AB1"/>
    <w:rsid w:val="00611DD6"/>
    <w:rsid w:val="006122E7"/>
    <w:rsid w:val="006125DE"/>
    <w:rsid w:val="00612B10"/>
    <w:rsid w:val="00612DF9"/>
    <w:rsid w:val="0061314E"/>
    <w:rsid w:val="006156EA"/>
    <w:rsid w:val="00616ABC"/>
    <w:rsid w:val="00616C12"/>
    <w:rsid w:val="00617734"/>
    <w:rsid w:val="006201F3"/>
    <w:rsid w:val="00620B3E"/>
    <w:rsid w:val="0062287A"/>
    <w:rsid w:val="00623265"/>
    <w:rsid w:val="00623804"/>
    <w:rsid w:val="00623BBF"/>
    <w:rsid w:val="00625BA7"/>
    <w:rsid w:val="00626A6C"/>
    <w:rsid w:val="00626E7D"/>
    <w:rsid w:val="00630044"/>
    <w:rsid w:val="006303A1"/>
    <w:rsid w:val="00631B52"/>
    <w:rsid w:val="00632AC8"/>
    <w:rsid w:val="0063349C"/>
    <w:rsid w:val="00633723"/>
    <w:rsid w:val="00636396"/>
    <w:rsid w:val="00636549"/>
    <w:rsid w:val="0063669D"/>
    <w:rsid w:val="00640348"/>
    <w:rsid w:val="00643C50"/>
    <w:rsid w:val="00643C84"/>
    <w:rsid w:val="00644067"/>
    <w:rsid w:val="00644156"/>
    <w:rsid w:val="00644368"/>
    <w:rsid w:val="006446F0"/>
    <w:rsid w:val="006449CF"/>
    <w:rsid w:val="00644AFF"/>
    <w:rsid w:val="00646219"/>
    <w:rsid w:val="00646565"/>
    <w:rsid w:val="00646E48"/>
    <w:rsid w:val="00647403"/>
    <w:rsid w:val="00647548"/>
    <w:rsid w:val="00647C06"/>
    <w:rsid w:val="00647C66"/>
    <w:rsid w:val="00650E77"/>
    <w:rsid w:val="006537DA"/>
    <w:rsid w:val="006539B0"/>
    <w:rsid w:val="00653E5F"/>
    <w:rsid w:val="006546CE"/>
    <w:rsid w:val="00654776"/>
    <w:rsid w:val="006567BB"/>
    <w:rsid w:val="0065681E"/>
    <w:rsid w:val="00657F33"/>
    <w:rsid w:val="00662C05"/>
    <w:rsid w:val="00663CBB"/>
    <w:rsid w:val="00664EEA"/>
    <w:rsid w:val="00665232"/>
    <w:rsid w:val="00665612"/>
    <w:rsid w:val="0066567A"/>
    <w:rsid w:val="00665E82"/>
    <w:rsid w:val="006660DA"/>
    <w:rsid w:val="00666C4F"/>
    <w:rsid w:val="0066780E"/>
    <w:rsid w:val="00670736"/>
    <w:rsid w:val="006728D8"/>
    <w:rsid w:val="00672EE4"/>
    <w:rsid w:val="006734BC"/>
    <w:rsid w:val="00673ADB"/>
    <w:rsid w:val="0067415A"/>
    <w:rsid w:val="00674BF3"/>
    <w:rsid w:val="00674CE2"/>
    <w:rsid w:val="00675187"/>
    <w:rsid w:val="006753E2"/>
    <w:rsid w:val="00675961"/>
    <w:rsid w:val="00675C69"/>
    <w:rsid w:val="00676336"/>
    <w:rsid w:val="00676E8C"/>
    <w:rsid w:val="00677308"/>
    <w:rsid w:val="00677311"/>
    <w:rsid w:val="006777B4"/>
    <w:rsid w:val="00680EF7"/>
    <w:rsid w:val="006813FC"/>
    <w:rsid w:val="006816F3"/>
    <w:rsid w:val="00681E0D"/>
    <w:rsid w:val="0068236C"/>
    <w:rsid w:val="0068375E"/>
    <w:rsid w:val="00683FD1"/>
    <w:rsid w:val="00684452"/>
    <w:rsid w:val="00684966"/>
    <w:rsid w:val="00685606"/>
    <w:rsid w:val="00685F04"/>
    <w:rsid w:val="00686BC1"/>
    <w:rsid w:val="006874E2"/>
    <w:rsid w:val="00690CED"/>
    <w:rsid w:val="00690D70"/>
    <w:rsid w:val="00691987"/>
    <w:rsid w:val="00691CC0"/>
    <w:rsid w:val="00692504"/>
    <w:rsid w:val="00693185"/>
    <w:rsid w:val="00694EA1"/>
    <w:rsid w:val="00695515"/>
    <w:rsid w:val="0069583E"/>
    <w:rsid w:val="00695B83"/>
    <w:rsid w:val="0069739C"/>
    <w:rsid w:val="00697B51"/>
    <w:rsid w:val="00697D16"/>
    <w:rsid w:val="006A0191"/>
    <w:rsid w:val="006A0F15"/>
    <w:rsid w:val="006A0F79"/>
    <w:rsid w:val="006A121E"/>
    <w:rsid w:val="006A16BF"/>
    <w:rsid w:val="006A1BB0"/>
    <w:rsid w:val="006A2503"/>
    <w:rsid w:val="006A266A"/>
    <w:rsid w:val="006A37A4"/>
    <w:rsid w:val="006A3A92"/>
    <w:rsid w:val="006A3D3F"/>
    <w:rsid w:val="006A3ECD"/>
    <w:rsid w:val="006A4280"/>
    <w:rsid w:val="006A4689"/>
    <w:rsid w:val="006A48BD"/>
    <w:rsid w:val="006A4A4B"/>
    <w:rsid w:val="006A4E88"/>
    <w:rsid w:val="006A6B3F"/>
    <w:rsid w:val="006A70C4"/>
    <w:rsid w:val="006B0127"/>
    <w:rsid w:val="006B08CC"/>
    <w:rsid w:val="006B15D8"/>
    <w:rsid w:val="006B2167"/>
    <w:rsid w:val="006B2E73"/>
    <w:rsid w:val="006B3F11"/>
    <w:rsid w:val="006B43A2"/>
    <w:rsid w:val="006B43ED"/>
    <w:rsid w:val="006B69BF"/>
    <w:rsid w:val="006B6B64"/>
    <w:rsid w:val="006B6CF9"/>
    <w:rsid w:val="006B73D8"/>
    <w:rsid w:val="006B79A4"/>
    <w:rsid w:val="006B7CE4"/>
    <w:rsid w:val="006C0D1D"/>
    <w:rsid w:val="006C115A"/>
    <w:rsid w:val="006C1B86"/>
    <w:rsid w:val="006C2E50"/>
    <w:rsid w:val="006C41C5"/>
    <w:rsid w:val="006C52EA"/>
    <w:rsid w:val="006C5690"/>
    <w:rsid w:val="006C5B40"/>
    <w:rsid w:val="006C6143"/>
    <w:rsid w:val="006C6D19"/>
    <w:rsid w:val="006D0991"/>
    <w:rsid w:val="006D156D"/>
    <w:rsid w:val="006D22F6"/>
    <w:rsid w:val="006D2C83"/>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6D4A"/>
    <w:rsid w:val="006E769B"/>
    <w:rsid w:val="006E7CF8"/>
    <w:rsid w:val="006E7D01"/>
    <w:rsid w:val="006F0937"/>
    <w:rsid w:val="006F0BD4"/>
    <w:rsid w:val="006F1C67"/>
    <w:rsid w:val="006F2532"/>
    <w:rsid w:val="006F2DBA"/>
    <w:rsid w:val="006F2EA2"/>
    <w:rsid w:val="006F2FEC"/>
    <w:rsid w:val="006F30E7"/>
    <w:rsid w:val="006F40F9"/>
    <w:rsid w:val="006F5B94"/>
    <w:rsid w:val="006F7401"/>
    <w:rsid w:val="006F74A0"/>
    <w:rsid w:val="006F7AED"/>
    <w:rsid w:val="006F7F56"/>
    <w:rsid w:val="00700CEA"/>
    <w:rsid w:val="00702174"/>
    <w:rsid w:val="00702986"/>
    <w:rsid w:val="0070332A"/>
    <w:rsid w:val="00703996"/>
    <w:rsid w:val="00703A3F"/>
    <w:rsid w:val="00705F16"/>
    <w:rsid w:val="00707130"/>
    <w:rsid w:val="00707A22"/>
    <w:rsid w:val="00710777"/>
    <w:rsid w:val="00712CE1"/>
    <w:rsid w:val="0071419A"/>
    <w:rsid w:val="007146A0"/>
    <w:rsid w:val="0071637B"/>
    <w:rsid w:val="0071684D"/>
    <w:rsid w:val="0071685B"/>
    <w:rsid w:val="00716911"/>
    <w:rsid w:val="00716A40"/>
    <w:rsid w:val="00716FF7"/>
    <w:rsid w:val="0071773C"/>
    <w:rsid w:val="00717940"/>
    <w:rsid w:val="00720781"/>
    <w:rsid w:val="00720DD9"/>
    <w:rsid w:val="007227E4"/>
    <w:rsid w:val="00723617"/>
    <w:rsid w:val="007236E6"/>
    <w:rsid w:val="00723853"/>
    <w:rsid w:val="00724238"/>
    <w:rsid w:val="007247B2"/>
    <w:rsid w:val="00724B4F"/>
    <w:rsid w:val="007250D8"/>
    <w:rsid w:val="007252CF"/>
    <w:rsid w:val="0072585E"/>
    <w:rsid w:val="00725963"/>
    <w:rsid w:val="007318C7"/>
    <w:rsid w:val="00731B50"/>
    <w:rsid w:val="00731C61"/>
    <w:rsid w:val="00731D11"/>
    <w:rsid w:val="00731FC4"/>
    <w:rsid w:val="0073635E"/>
    <w:rsid w:val="007364FE"/>
    <w:rsid w:val="007369F8"/>
    <w:rsid w:val="00737604"/>
    <w:rsid w:val="00737B40"/>
    <w:rsid w:val="00740957"/>
    <w:rsid w:val="00741150"/>
    <w:rsid w:val="00741E04"/>
    <w:rsid w:val="00742C89"/>
    <w:rsid w:val="00742E05"/>
    <w:rsid w:val="00742ED6"/>
    <w:rsid w:val="00743CB7"/>
    <w:rsid w:val="0074461A"/>
    <w:rsid w:val="00745277"/>
    <w:rsid w:val="0074675D"/>
    <w:rsid w:val="0074681A"/>
    <w:rsid w:val="00747B76"/>
    <w:rsid w:val="00747E9C"/>
    <w:rsid w:val="00747F31"/>
    <w:rsid w:val="007520EB"/>
    <w:rsid w:val="007536E4"/>
    <w:rsid w:val="0075396C"/>
    <w:rsid w:val="00753C4E"/>
    <w:rsid w:val="007544BA"/>
    <w:rsid w:val="00754655"/>
    <w:rsid w:val="007558A2"/>
    <w:rsid w:val="00755A34"/>
    <w:rsid w:val="00756B6F"/>
    <w:rsid w:val="00757775"/>
    <w:rsid w:val="00761288"/>
    <w:rsid w:val="00761C9F"/>
    <w:rsid w:val="00761DCE"/>
    <w:rsid w:val="00762AA1"/>
    <w:rsid w:val="00763BFE"/>
    <w:rsid w:val="007640CB"/>
    <w:rsid w:val="007649AE"/>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764D3"/>
    <w:rsid w:val="007824B8"/>
    <w:rsid w:val="00782840"/>
    <w:rsid w:val="00782D41"/>
    <w:rsid w:val="0078469E"/>
    <w:rsid w:val="00785361"/>
    <w:rsid w:val="007875CC"/>
    <w:rsid w:val="00787E33"/>
    <w:rsid w:val="0079064B"/>
    <w:rsid w:val="0079083A"/>
    <w:rsid w:val="00791546"/>
    <w:rsid w:val="00791C84"/>
    <w:rsid w:val="00792866"/>
    <w:rsid w:val="007933DC"/>
    <w:rsid w:val="00793844"/>
    <w:rsid w:val="007947EE"/>
    <w:rsid w:val="0079713A"/>
    <w:rsid w:val="00797EE1"/>
    <w:rsid w:val="007A0881"/>
    <w:rsid w:val="007A09BA"/>
    <w:rsid w:val="007A1320"/>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30E9"/>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175E"/>
    <w:rsid w:val="007D3A34"/>
    <w:rsid w:val="007D3A80"/>
    <w:rsid w:val="007D4278"/>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0E80"/>
    <w:rsid w:val="007F1159"/>
    <w:rsid w:val="007F1DD9"/>
    <w:rsid w:val="007F2C9F"/>
    <w:rsid w:val="007F3F0D"/>
    <w:rsid w:val="007F4789"/>
    <w:rsid w:val="007F5D4D"/>
    <w:rsid w:val="007F70DF"/>
    <w:rsid w:val="00801622"/>
    <w:rsid w:val="00802195"/>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E86"/>
    <w:rsid w:val="0081350C"/>
    <w:rsid w:val="00813A36"/>
    <w:rsid w:val="00815F96"/>
    <w:rsid w:val="0081657E"/>
    <w:rsid w:val="00816946"/>
    <w:rsid w:val="00816DB9"/>
    <w:rsid w:val="00817C2C"/>
    <w:rsid w:val="008203CD"/>
    <w:rsid w:val="0082111B"/>
    <w:rsid w:val="00821C02"/>
    <w:rsid w:val="008235C7"/>
    <w:rsid w:val="0082373B"/>
    <w:rsid w:val="00823D2D"/>
    <w:rsid w:val="008258F1"/>
    <w:rsid w:val="00825A24"/>
    <w:rsid w:val="00825F2E"/>
    <w:rsid w:val="00827AAD"/>
    <w:rsid w:val="00827CEF"/>
    <w:rsid w:val="00827D33"/>
    <w:rsid w:val="00830ECC"/>
    <w:rsid w:val="0083123E"/>
    <w:rsid w:val="00832341"/>
    <w:rsid w:val="008334DC"/>
    <w:rsid w:val="00833915"/>
    <w:rsid w:val="00833F08"/>
    <w:rsid w:val="008346F5"/>
    <w:rsid w:val="00835F1B"/>
    <w:rsid w:val="00836124"/>
    <w:rsid w:val="00836524"/>
    <w:rsid w:val="0083669B"/>
    <w:rsid w:val="008368EE"/>
    <w:rsid w:val="00836C60"/>
    <w:rsid w:val="00836F7C"/>
    <w:rsid w:val="00837AE3"/>
    <w:rsid w:val="008414D5"/>
    <w:rsid w:val="008416C3"/>
    <w:rsid w:val="0084176F"/>
    <w:rsid w:val="00842C46"/>
    <w:rsid w:val="00843806"/>
    <w:rsid w:val="00844352"/>
    <w:rsid w:val="008446E6"/>
    <w:rsid w:val="00851793"/>
    <w:rsid w:val="00851B00"/>
    <w:rsid w:val="008522D3"/>
    <w:rsid w:val="0085259B"/>
    <w:rsid w:val="0085270C"/>
    <w:rsid w:val="00853096"/>
    <w:rsid w:val="0085417A"/>
    <w:rsid w:val="00854AB8"/>
    <w:rsid w:val="0085600A"/>
    <w:rsid w:val="0085665E"/>
    <w:rsid w:val="00856BC0"/>
    <w:rsid w:val="008570C2"/>
    <w:rsid w:val="0085717B"/>
    <w:rsid w:val="008576FB"/>
    <w:rsid w:val="00857E8A"/>
    <w:rsid w:val="00861E51"/>
    <w:rsid w:val="008620A3"/>
    <w:rsid w:val="00862EEA"/>
    <w:rsid w:val="008637A2"/>
    <w:rsid w:val="008637C6"/>
    <w:rsid w:val="0086394E"/>
    <w:rsid w:val="0086541A"/>
    <w:rsid w:val="00865E4A"/>
    <w:rsid w:val="00865FB3"/>
    <w:rsid w:val="00866611"/>
    <w:rsid w:val="00866755"/>
    <w:rsid w:val="008678E6"/>
    <w:rsid w:val="00867ACE"/>
    <w:rsid w:val="00867B5A"/>
    <w:rsid w:val="00870AE8"/>
    <w:rsid w:val="00870D62"/>
    <w:rsid w:val="008712BB"/>
    <w:rsid w:val="00872ED1"/>
    <w:rsid w:val="008752B0"/>
    <w:rsid w:val="008758A5"/>
    <w:rsid w:val="00875F81"/>
    <w:rsid w:val="0087657B"/>
    <w:rsid w:val="00877101"/>
    <w:rsid w:val="00880545"/>
    <w:rsid w:val="00881333"/>
    <w:rsid w:val="00881E20"/>
    <w:rsid w:val="00883CC1"/>
    <w:rsid w:val="0088453E"/>
    <w:rsid w:val="00884BA5"/>
    <w:rsid w:val="00885D7D"/>
    <w:rsid w:val="008861A0"/>
    <w:rsid w:val="008864E5"/>
    <w:rsid w:val="00886FCF"/>
    <w:rsid w:val="008918DD"/>
    <w:rsid w:val="00893C62"/>
    <w:rsid w:val="00894076"/>
    <w:rsid w:val="0089545E"/>
    <w:rsid w:val="0089572B"/>
    <w:rsid w:val="00895DC9"/>
    <w:rsid w:val="00897792"/>
    <w:rsid w:val="008A10DA"/>
    <w:rsid w:val="008A2914"/>
    <w:rsid w:val="008A2924"/>
    <w:rsid w:val="008A47E2"/>
    <w:rsid w:val="008A6515"/>
    <w:rsid w:val="008A6593"/>
    <w:rsid w:val="008A721C"/>
    <w:rsid w:val="008B03B2"/>
    <w:rsid w:val="008B0E39"/>
    <w:rsid w:val="008B15AF"/>
    <w:rsid w:val="008B1C1E"/>
    <w:rsid w:val="008B1FC2"/>
    <w:rsid w:val="008B2A13"/>
    <w:rsid w:val="008B321B"/>
    <w:rsid w:val="008B3D62"/>
    <w:rsid w:val="008B577D"/>
    <w:rsid w:val="008B66A9"/>
    <w:rsid w:val="008B7143"/>
    <w:rsid w:val="008B7315"/>
    <w:rsid w:val="008C0026"/>
    <w:rsid w:val="008C0ABC"/>
    <w:rsid w:val="008C1829"/>
    <w:rsid w:val="008C266F"/>
    <w:rsid w:val="008C287F"/>
    <w:rsid w:val="008C2AC9"/>
    <w:rsid w:val="008C2FE1"/>
    <w:rsid w:val="008C326E"/>
    <w:rsid w:val="008C3877"/>
    <w:rsid w:val="008C5B79"/>
    <w:rsid w:val="008C5C30"/>
    <w:rsid w:val="008C6230"/>
    <w:rsid w:val="008D0625"/>
    <w:rsid w:val="008D0F89"/>
    <w:rsid w:val="008D1017"/>
    <w:rsid w:val="008D2424"/>
    <w:rsid w:val="008D2C81"/>
    <w:rsid w:val="008D39E4"/>
    <w:rsid w:val="008D40B9"/>
    <w:rsid w:val="008D462F"/>
    <w:rsid w:val="008D6655"/>
    <w:rsid w:val="008D6989"/>
    <w:rsid w:val="008D6DD7"/>
    <w:rsid w:val="008D72F6"/>
    <w:rsid w:val="008E03A9"/>
    <w:rsid w:val="008E074D"/>
    <w:rsid w:val="008E1242"/>
    <w:rsid w:val="008E1DB8"/>
    <w:rsid w:val="008E1E89"/>
    <w:rsid w:val="008E1FE0"/>
    <w:rsid w:val="008E2AD3"/>
    <w:rsid w:val="008E4766"/>
    <w:rsid w:val="008E4BA9"/>
    <w:rsid w:val="008E55C8"/>
    <w:rsid w:val="008E660A"/>
    <w:rsid w:val="008E6CE7"/>
    <w:rsid w:val="008E7552"/>
    <w:rsid w:val="008E7DBC"/>
    <w:rsid w:val="008F088E"/>
    <w:rsid w:val="008F1269"/>
    <w:rsid w:val="008F2D01"/>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3720"/>
    <w:rsid w:val="0091418B"/>
    <w:rsid w:val="00915293"/>
    <w:rsid w:val="009157AA"/>
    <w:rsid w:val="009173EB"/>
    <w:rsid w:val="0092033C"/>
    <w:rsid w:val="00920B30"/>
    <w:rsid w:val="0092101B"/>
    <w:rsid w:val="00921A55"/>
    <w:rsid w:val="00922B65"/>
    <w:rsid w:val="00925C68"/>
    <w:rsid w:val="00925E4B"/>
    <w:rsid w:val="00925FE3"/>
    <w:rsid w:val="009262BD"/>
    <w:rsid w:val="00930DB2"/>
    <w:rsid w:val="00931027"/>
    <w:rsid w:val="009312E9"/>
    <w:rsid w:val="009318C1"/>
    <w:rsid w:val="00931D38"/>
    <w:rsid w:val="0093359E"/>
    <w:rsid w:val="009336A9"/>
    <w:rsid w:val="00933A2B"/>
    <w:rsid w:val="00933EC4"/>
    <w:rsid w:val="00934AC2"/>
    <w:rsid w:val="00934F25"/>
    <w:rsid w:val="0093581E"/>
    <w:rsid w:val="00936289"/>
    <w:rsid w:val="009369A2"/>
    <w:rsid w:val="00936A7F"/>
    <w:rsid w:val="009372F2"/>
    <w:rsid w:val="00937376"/>
    <w:rsid w:val="00937753"/>
    <w:rsid w:val="00937A3A"/>
    <w:rsid w:val="00937B1B"/>
    <w:rsid w:val="00937D81"/>
    <w:rsid w:val="00940623"/>
    <w:rsid w:val="00945742"/>
    <w:rsid w:val="009457C2"/>
    <w:rsid w:val="00945D31"/>
    <w:rsid w:val="00945DB9"/>
    <w:rsid w:val="0094630A"/>
    <w:rsid w:val="00946ED5"/>
    <w:rsid w:val="0094774D"/>
    <w:rsid w:val="00947F5B"/>
    <w:rsid w:val="009508C3"/>
    <w:rsid w:val="00950D6D"/>
    <w:rsid w:val="0095123E"/>
    <w:rsid w:val="00951D36"/>
    <w:rsid w:val="0095203B"/>
    <w:rsid w:val="0095337B"/>
    <w:rsid w:val="00954516"/>
    <w:rsid w:val="009546C0"/>
    <w:rsid w:val="009552F8"/>
    <w:rsid w:val="00956877"/>
    <w:rsid w:val="00956E19"/>
    <w:rsid w:val="00957243"/>
    <w:rsid w:val="00957C9A"/>
    <w:rsid w:val="00957D25"/>
    <w:rsid w:val="00957FB1"/>
    <w:rsid w:val="0096047C"/>
    <w:rsid w:val="009623AE"/>
    <w:rsid w:val="00962B70"/>
    <w:rsid w:val="0096321B"/>
    <w:rsid w:val="00963B34"/>
    <w:rsid w:val="00965461"/>
    <w:rsid w:val="009659B1"/>
    <w:rsid w:val="00965C5B"/>
    <w:rsid w:val="009673AF"/>
    <w:rsid w:val="009675FA"/>
    <w:rsid w:val="009701D0"/>
    <w:rsid w:val="009701F2"/>
    <w:rsid w:val="009707CC"/>
    <w:rsid w:val="00970943"/>
    <w:rsid w:val="00970E88"/>
    <w:rsid w:val="0097181C"/>
    <w:rsid w:val="00972E8F"/>
    <w:rsid w:val="009736ED"/>
    <w:rsid w:val="00974832"/>
    <w:rsid w:val="00974E79"/>
    <w:rsid w:val="009751BA"/>
    <w:rsid w:val="009761D8"/>
    <w:rsid w:val="009761F7"/>
    <w:rsid w:val="009765DD"/>
    <w:rsid w:val="009768F3"/>
    <w:rsid w:val="00976C24"/>
    <w:rsid w:val="009771C4"/>
    <w:rsid w:val="009818D6"/>
    <w:rsid w:val="0098252B"/>
    <w:rsid w:val="00982D21"/>
    <w:rsid w:val="00983948"/>
    <w:rsid w:val="0098411C"/>
    <w:rsid w:val="009853BF"/>
    <w:rsid w:val="009857D8"/>
    <w:rsid w:val="00986D87"/>
    <w:rsid w:val="009874B5"/>
    <w:rsid w:val="009877E6"/>
    <w:rsid w:val="00987E07"/>
    <w:rsid w:val="00987EF3"/>
    <w:rsid w:val="0099082C"/>
    <w:rsid w:val="009935BC"/>
    <w:rsid w:val="009941FA"/>
    <w:rsid w:val="009946C2"/>
    <w:rsid w:val="009948FF"/>
    <w:rsid w:val="00995C4E"/>
    <w:rsid w:val="00995F7A"/>
    <w:rsid w:val="009961D7"/>
    <w:rsid w:val="009973AE"/>
    <w:rsid w:val="00997848"/>
    <w:rsid w:val="00997F61"/>
    <w:rsid w:val="009A0761"/>
    <w:rsid w:val="009A3C87"/>
    <w:rsid w:val="009A443F"/>
    <w:rsid w:val="009A53FB"/>
    <w:rsid w:val="009A5B22"/>
    <w:rsid w:val="009A5B53"/>
    <w:rsid w:val="009A6954"/>
    <w:rsid w:val="009B0828"/>
    <w:rsid w:val="009B0A52"/>
    <w:rsid w:val="009B114A"/>
    <w:rsid w:val="009B1468"/>
    <w:rsid w:val="009B1B60"/>
    <w:rsid w:val="009B20E1"/>
    <w:rsid w:val="009B2404"/>
    <w:rsid w:val="009B355C"/>
    <w:rsid w:val="009B3EA3"/>
    <w:rsid w:val="009B5445"/>
    <w:rsid w:val="009B5C12"/>
    <w:rsid w:val="009B624A"/>
    <w:rsid w:val="009B6AB0"/>
    <w:rsid w:val="009B6B9A"/>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5A44"/>
    <w:rsid w:val="009D60B3"/>
    <w:rsid w:val="009D73C2"/>
    <w:rsid w:val="009E0C12"/>
    <w:rsid w:val="009E0EDC"/>
    <w:rsid w:val="009E1876"/>
    <w:rsid w:val="009E1FEF"/>
    <w:rsid w:val="009E20DE"/>
    <w:rsid w:val="009E2CD3"/>
    <w:rsid w:val="009E324F"/>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243B"/>
    <w:rsid w:val="00A024CE"/>
    <w:rsid w:val="00A03548"/>
    <w:rsid w:val="00A04E2D"/>
    <w:rsid w:val="00A05516"/>
    <w:rsid w:val="00A05EC1"/>
    <w:rsid w:val="00A06004"/>
    <w:rsid w:val="00A111FB"/>
    <w:rsid w:val="00A12752"/>
    <w:rsid w:val="00A12E9E"/>
    <w:rsid w:val="00A13B10"/>
    <w:rsid w:val="00A13B22"/>
    <w:rsid w:val="00A14727"/>
    <w:rsid w:val="00A15BDB"/>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4115"/>
    <w:rsid w:val="00A351AE"/>
    <w:rsid w:val="00A35386"/>
    <w:rsid w:val="00A3551C"/>
    <w:rsid w:val="00A4002A"/>
    <w:rsid w:val="00A40D25"/>
    <w:rsid w:val="00A41884"/>
    <w:rsid w:val="00A420E8"/>
    <w:rsid w:val="00A42963"/>
    <w:rsid w:val="00A43281"/>
    <w:rsid w:val="00A43563"/>
    <w:rsid w:val="00A4477E"/>
    <w:rsid w:val="00A4500B"/>
    <w:rsid w:val="00A4563F"/>
    <w:rsid w:val="00A459FF"/>
    <w:rsid w:val="00A4662D"/>
    <w:rsid w:val="00A47125"/>
    <w:rsid w:val="00A5303E"/>
    <w:rsid w:val="00A531D3"/>
    <w:rsid w:val="00A53872"/>
    <w:rsid w:val="00A53AB8"/>
    <w:rsid w:val="00A5441A"/>
    <w:rsid w:val="00A54AEC"/>
    <w:rsid w:val="00A54EAD"/>
    <w:rsid w:val="00A55095"/>
    <w:rsid w:val="00A559AB"/>
    <w:rsid w:val="00A5669E"/>
    <w:rsid w:val="00A56A43"/>
    <w:rsid w:val="00A57C79"/>
    <w:rsid w:val="00A602B6"/>
    <w:rsid w:val="00A60344"/>
    <w:rsid w:val="00A605A5"/>
    <w:rsid w:val="00A61728"/>
    <w:rsid w:val="00A6252C"/>
    <w:rsid w:val="00A63414"/>
    <w:rsid w:val="00A6350E"/>
    <w:rsid w:val="00A637D4"/>
    <w:rsid w:val="00A638E1"/>
    <w:rsid w:val="00A640A8"/>
    <w:rsid w:val="00A64203"/>
    <w:rsid w:val="00A65555"/>
    <w:rsid w:val="00A65DC2"/>
    <w:rsid w:val="00A65F5F"/>
    <w:rsid w:val="00A66596"/>
    <w:rsid w:val="00A67F10"/>
    <w:rsid w:val="00A707C8"/>
    <w:rsid w:val="00A71A83"/>
    <w:rsid w:val="00A71EE6"/>
    <w:rsid w:val="00A7437C"/>
    <w:rsid w:val="00A8053D"/>
    <w:rsid w:val="00A80E0D"/>
    <w:rsid w:val="00A81221"/>
    <w:rsid w:val="00A82443"/>
    <w:rsid w:val="00A82773"/>
    <w:rsid w:val="00A8340F"/>
    <w:rsid w:val="00A83961"/>
    <w:rsid w:val="00A83EDC"/>
    <w:rsid w:val="00A840E6"/>
    <w:rsid w:val="00A85885"/>
    <w:rsid w:val="00A85DA0"/>
    <w:rsid w:val="00A871D2"/>
    <w:rsid w:val="00A87862"/>
    <w:rsid w:val="00A87BFE"/>
    <w:rsid w:val="00A90048"/>
    <w:rsid w:val="00A902E0"/>
    <w:rsid w:val="00A905B6"/>
    <w:rsid w:val="00A920D8"/>
    <w:rsid w:val="00A95C7B"/>
    <w:rsid w:val="00A967B3"/>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6F9C"/>
    <w:rsid w:val="00AB7386"/>
    <w:rsid w:val="00AB751E"/>
    <w:rsid w:val="00AC01C4"/>
    <w:rsid w:val="00AC158C"/>
    <w:rsid w:val="00AC1CBA"/>
    <w:rsid w:val="00AC2071"/>
    <w:rsid w:val="00AC2F0A"/>
    <w:rsid w:val="00AC34FC"/>
    <w:rsid w:val="00AC3C74"/>
    <w:rsid w:val="00AC42E9"/>
    <w:rsid w:val="00AC463D"/>
    <w:rsid w:val="00AC47AB"/>
    <w:rsid w:val="00AC47F0"/>
    <w:rsid w:val="00AC6837"/>
    <w:rsid w:val="00AC7B96"/>
    <w:rsid w:val="00AD003B"/>
    <w:rsid w:val="00AD0118"/>
    <w:rsid w:val="00AD017A"/>
    <w:rsid w:val="00AD19ED"/>
    <w:rsid w:val="00AD2CA6"/>
    <w:rsid w:val="00AD2EAC"/>
    <w:rsid w:val="00AD3433"/>
    <w:rsid w:val="00AD3F5E"/>
    <w:rsid w:val="00AD60D7"/>
    <w:rsid w:val="00AD6B28"/>
    <w:rsid w:val="00AD71BE"/>
    <w:rsid w:val="00AD73C8"/>
    <w:rsid w:val="00AD77CD"/>
    <w:rsid w:val="00AE007C"/>
    <w:rsid w:val="00AE0CD0"/>
    <w:rsid w:val="00AE0CFF"/>
    <w:rsid w:val="00AE10E1"/>
    <w:rsid w:val="00AE1136"/>
    <w:rsid w:val="00AE1FDC"/>
    <w:rsid w:val="00AE2EB4"/>
    <w:rsid w:val="00AE31DB"/>
    <w:rsid w:val="00AE3FA6"/>
    <w:rsid w:val="00AE46A3"/>
    <w:rsid w:val="00AE4867"/>
    <w:rsid w:val="00AE52C3"/>
    <w:rsid w:val="00AE619A"/>
    <w:rsid w:val="00AF0BDD"/>
    <w:rsid w:val="00AF17E1"/>
    <w:rsid w:val="00AF238A"/>
    <w:rsid w:val="00AF341B"/>
    <w:rsid w:val="00AF3639"/>
    <w:rsid w:val="00AF694E"/>
    <w:rsid w:val="00AF7B97"/>
    <w:rsid w:val="00B0021E"/>
    <w:rsid w:val="00B009EF"/>
    <w:rsid w:val="00B00F3D"/>
    <w:rsid w:val="00B0193A"/>
    <w:rsid w:val="00B01FAC"/>
    <w:rsid w:val="00B02535"/>
    <w:rsid w:val="00B03994"/>
    <w:rsid w:val="00B04260"/>
    <w:rsid w:val="00B05A07"/>
    <w:rsid w:val="00B05DCE"/>
    <w:rsid w:val="00B065AB"/>
    <w:rsid w:val="00B06924"/>
    <w:rsid w:val="00B06A07"/>
    <w:rsid w:val="00B06A21"/>
    <w:rsid w:val="00B06C0B"/>
    <w:rsid w:val="00B0716D"/>
    <w:rsid w:val="00B078A2"/>
    <w:rsid w:val="00B07D72"/>
    <w:rsid w:val="00B1007E"/>
    <w:rsid w:val="00B10247"/>
    <w:rsid w:val="00B117EB"/>
    <w:rsid w:val="00B11B28"/>
    <w:rsid w:val="00B11FF6"/>
    <w:rsid w:val="00B12774"/>
    <w:rsid w:val="00B13804"/>
    <w:rsid w:val="00B13BB8"/>
    <w:rsid w:val="00B1413A"/>
    <w:rsid w:val="00B158D9"/>
    <w:rsid w:val="00B15B2D"/>
    <w:rsid w:val="00B15BDD"/>
    <w:rsid w:val="00B15C36"/>
    <w:rsid w:val="00B15DE7"/>
    <w:rsid w:val="00B16E5C"/>
    <w:rsid w:val="00B17656"/>
    <w:rsid w:val="00B20C5F"/>
    <w:rsid w:val="00B21800"/>
    <w:rsid w:val="00B218E5"/>
    <w:rsid w:val="00B219F0"/>
    <w:rsid w:val="00B229E2"/>
    <w:rsid w:val="00B238D3"/>
    <w:rsid w:val="00B24904"/>
    <w:rsid w:val="00B24B84"/>
    <w:rsid w:val="00B24BB5"/>
    <w:rsid w:val="00B254A3"/>
    <w:rsid w:val="00B26669"/>
    <w:rsid w:val="00B26F93"/>
    <w:rsid w:val="00B275EC"/>
    <w:rsid w:val="00B27B9D"/>
    <w:rsid w:val="00B307CB"/>
    <w:rsid w:val="00B30CEA"/>
    <w:rsid w:val="00B31655"/>
    <w:rsid w:val="00B31D29"/>
    <w:rsid w:val="00B31F23"/>
    <w:rsid w:val="00B328B6"/>
    <w:rsid w:val="00B34006"/>
    <w:rsid w:val="00B345DC"/>
    <w:rsid w:val="00B34BA9"/>
    <w:rsid w:val="00B35C97"/>
    <w:rsid w:val="00B37F78"/>
    <w:rsid w:val="00B40538"/>
    <w:rsid w:val="00B41520"/>
    <w:rsid w:val="00B418BF"/>
    <w:rsid w:val="00B41D77"/>
    <w:rsid w:val="00B43991"/>
    <w:rsid w:val="00B43D8C"/>
    <w:rsid w:val="00B43DB2"/>
    <w:rsid w:val="00B44A4C"/>
    <w:rsid w:val="00B47783"/>
    <w:rsid w:val="00B50B1D"/>
    <w:rsid w:val="00B53172"/>
    <w:rsid w:val="00B53199"/>
    <w:rsid w:val="00B54D7E"/>
    <w:rsid w:val="00B54E09"/>
    <w:rsid w:val="00B55E44"/>
    <w:rsid w:val="00B562DA"/>
    <w:rsid w:val="00B571FD"/>
    <w:rsid w:val="00B605EA"/>
    <w:rsid w:val="00B60D36"/>
    <w:rsid w:val="00B62EFB"/>
    <w:rsid w:val="00B62FB6"/>
    <w:rsid w:val="00B647B5"/>
    <w:rsid w:val="00B65815"/>
    <w:rsid w:val="00B65E66"/>
    <w:rsid w:val="00B67889"/>
    <w:rsid w:val="00B67D15"/>
    <w:rsid w:val="00B706C8"/>
    <w:rsid w:val="00B70FE8"/>
    <w:rsid w:val="00B723D0"/>
    <w:rsid w:val="00B739C5"/>
    <w:rsid w:val="00B74BA5"/>
    <w:rsid w:val="00B76BCF"/>
    <w:rsid w:val="00B76E58"/>
    <w:rsid w:val="00B80008"/>
    <w:rsid w:val="00B82609"/>
    <w:rsid w:val="00B830A8"/>
    <w:rsid w:val="00B83382"/>
    <w:rsid w:val="00B83A90"/>
    <w:rsid w:val="00B83C21"/>
    <w:rsid w:val="00B85BC7"/>
    <w:rsid w:val="00B87EC8"/>
    <w:rsid w:val="00B903CF"/>
    <w:rsid w:val="00B90557"/>
    <w:rsid w:val="00B91D47"/>
    <w:rsid w:val="00B91E17"/>
    <w:rsid w:val="00B932CD"/>
    <w:rsid w:val="00B9332C"/>
    <w:rsid w:val="00B936FD"/>
    <w:rsid w:val="00B937D8"/>
    <w:rsid w:val="00B93C45"/>
    <w:rsid w:val="00B94BF2"/>
    <w:rsid w:val="00B94CBC"/>
    <w:rsid w:val="00B95ABE"/>
    <w:rsid w:val="00B95DE7"/>
    <w:rsid w:val="00B96105"/>
    <w:rsid w:val="00BA0CA6"/>
    <w:rsid w:val="00BA1860"/>
    <w:rsid w:val="00BA1C3C"/>
    <w:rsid w:val="00BA214E"/>
    <w:rsid w:val="00BA2A18"/>
    <w:rsid w:val="00BA343C"/>
    <w:rsid w:val="00BA3BFF"/>
    <w:rsid w:val="00BA3FC4"/>
    <w:rsid w:val="00BA4726"/>
    <w:rsid w:val="00BA51AB"/>
    <w:rsid w:val="00BA5934"/>
    <w:rsid w:val="00BA66CA"/>
    <w:rsid w:val="00BA6C73"/>
    <w:rsid w:val="00BA7033"/>
    <w:rsid w:val="00BA7585"/>
    <w:rsid w:val="00BA79CC"/>
    <w:rsid w:val="00BB0883"/>
    <w:rsid w:val="00BB1421"/>
    <w:rsid w:val="00BB1537"/>
    <w:rsid w:val="00BB20B6"/>
    <w:rsid w:val="00BB4A62"/>
    <w:rsid w:val="00BB4AA3"/>
    <w:rsid w:val="00BB4B3D"/>
    <w:rsid w:val="00BB4C3B"/>
    <w:rsid w:val="00BB58AA"/>
    <w:rsid w:val="00BB5EC1"/>
    <w:rsid w:val="00BB64C9"/>
    <w:rsid w:val="00BB68A7"/>
    <w:rsid w:val="00BB70B1"/>
    <w:rsid w:val="00BB71A7"/>
    <w:rsid w:val="00BB750D"/>
    <w:rsid w:val="00BB7BD4"/>
    <w:rsid w:val="00BC1257"/>
    <w:rsid w:val="00BC1D08"/>
    <w:rsid w:val="00BC1F3E"/>
    <w:rsid w:val="00BC27AA"/>
    <w:rsid w:val="00BC418A"/>
    <w:rsid w:val="00BC442B"/>
    <w:rsid w:val="00BC44C4"/>
    <w:rsid w:val="00BC4ACE"/>
    <w:rsid w:val="00BC4FC4"/>
    <w:rsid w:val="00BC59D3"/>
    <w:rsid w:val="00BC5C8C"/>
    <w:rsid w:val="00BC6B92"/>
    <w:rsid w:val="00BC706D"/>
    <w:rsid w:val="00BD0DB6"/>
    <w:rsid w:val="00BD302A"/>
    <w:rsid w:val="00BD3C1C"/>
    <w:rsid w:val="00BD3C5A"/>
    <w:rsid w:val="00BD3EA9"/>
    <w:rsid w:val="00BD41FD"/>
    <w:rsid w:val="00BD4290"/>
    <w:rsid w:val="00BD554F"/>
    <w:rsid w:val="00BD6562"/>
    <w:rsid w:val="00BD6B81"/>
    <w:rsid w:val="00BD6BBE"/>
    <w:rsid w:val="00BD6C62"/>
    <w:rsid w:val="00BE1BAD"/>
    <w:rsid w:val="00BE2405"/>
    <w:rsid w:val="00BE2CA7"/>
    <w:rsid w:val="00BE2D3F"/>
    <w:rsid w:val="00BE5EE1"/>
    <w:rsid w:val="00BE61F2"/>
    <w:rsid w:val="00BF0850"/>
    <w:rsid w:val="00BF1181"/>
    <w:rsid w:val="00BF311F"/>
    <w:rsid w:val="00BF4340"/>
    <w:rsid w:val="00BF664E"/>
    <w:rsid w:val="00BF72B7"/>
    <w:rsid w:val="00BF75A2"/>
    <w:rsid w:val="00BF79B1"/>
    <w:rsid w:val="00BF7DB7"/>
    <w:rsid w:val="00C01522"/>
    <w:rsid w:val="00C0394C"/>
    <w:rsid w:val="00C03E0C"/>
    <w:rsid w:val="00C04945"/>
    <w:rsid w:val="00C05683"/>
    <w:rsid w:val="00C063E5"/>
    <w:rsid w:val="00C068B5"/>
    <w:rsid w:val="00C06DE2"/>
    <w:rsid w:val="00C06E85"/>
    <w:rsid w:val="00C07024"/>
    <w:rsid w:val="00C07381"/>
    <w:rsid w:val="00C07C60"/>
    <w:rsid w:val="00C108A0"/>
    <w:rsid w:val="00C10E11"/>
    <w:rsid w:val="00C119A2"/>
    <w:rsid w:val="00C11CEA"/>
    <w:rsid w:val="00C123C8"/>
    <w:rsid w:val="00C1358F"/>
    <w:rsid w:val="00C13AA3"/>
    <w:rsid w:val="00C144F7"/>
    <w:rsid w:val="00C1506D"/>
    <w:rsid w:val="00C160B2"/>
    <w:rsid w:val="00C16C0D"/>
    <w:rsid w:val="00C17152"/>
    <w:rsid w:val="00C17918"/>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BA"/>
    <w:rsid w:val="00C31EDD"/>
    <w:rsid w:val="00C323DF"/>
    <w:rsid w:val="00C3255F"/>
    <w:rsid w:val="00C34257"/>
    <w:rsid w:val="00C34549"/>
    <w:rsid w:val="00C35021"/>
    <w:rsid w:val="00C366FC"/>
    <w:rsid w:val="00C370D3"/>
    <w:rsid w:val="00C37230"/>
    <w:rsid w:val="00C372FB"/>
    <w:rsid w:val="00C3738A"/>
    <w:rsid w:val="00C375C2"/>
    <w:rsid w:val="00C4007C"/>
    <w:rsid w:val="00C402E2"/>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7864"/>
    <w:rsid w:val="00C608E2"/>
    <w:rsid w:val="00C615CA"/>
    <w:rsid w:val="00C64BCB"/>
    <w:rsid w:val="00C64F44"/>
    <w:rsid w:val="00C65F0F"/>
    <w:rsid w:val="00C662C0"/>
    <w:rsid w:val="00C66573"/>
    <w:rsid w:val="00C6672A"/>
    <w:rsid w:val="00C67B43"/>
    <w:rsid w:val="00C67C3F"/>
    <w:rsid w:val="00C67F29"/>
    <w:rsid w:val="00C70B80"/>
    <w:rsid w:val="00C72903"/>
    <w:rsid w:val="00C734E4"/>
    <w:rsid w:val="00C73A89"/>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3B8F"/>
    <w:rsid w:val="00C94342"/>
    <w:rsid w:val="00C94A9A"/>
    <w:rsid w:val="00C94B67"/>
    <w:rsid w:val="00C9566C"/>
    <w:rsid w:val="00C968B2"/>
    <w:rsid w:val="00C96A0E"/>
    <w:rsid w:val="00C96CC7"/>
    <w:rsid w:val="00CA27AE"/>
    <w:rsid w:val="00CA3018"/>
    <w:rsid w:val="00CA3F6F"/>
    <w:rsid w:val="00CA4B17"/>
    <w:rsid w:val="00CA560B"/>
    <w:rsid w:val="00CA5B5F"/>
    <w:rsid w:val="00CA7549"/>
    <w:rsid w:val="00CA7960"/>
    <w:rsid w:val="00CB1D71"/>
    <w:rsid w:val="00CB2C32"/>
    <w:rsid w:val="00CB2EA8"/>
    <w:rsid w:val="00CB564D"/>
    <w:rsid w:val="00CB57BB"/>
    <w:rsid w:val="00CB5CD0"/>
    <w:rsid w:val="00CB60AF"/>
    <w:rsid w:val="00CB6329"/>
    <w:rsid w:val="00CB6359"/>
    <w:rsid w:val="00CB6539"/>
    <w:rsid w:val="00CB6D76"/>
    <w:rsid w:val="00CB787F"/>
    <w:rsid w:val="00CC0245"/>
    <w:rsid w:val="00CC0408"/>
    <w:rsid w:val="00CC0E04"/>
    <w:rsid w:val="00CC10F7"/>
    <w:rsid w:val="00CC2136"/>
    <w:rsid w:val="00CC3038"/>
    <w:rsid w:val="00CC55FB"/>
    <w:rsid w:val="00CC59C6"/>
    <w:rsid w:val="00CC6D8F"/>
    <w:rsid w:val="00CC770F"/>
    <w:rsid w:val="00CC77C2"/>
    <w:rsid w:val="00CC7A74"/>
    <w:rsid w:val="00CC7DFB"/>
    <w:rsid w:val="00CD0BFA"/>
    <w:rsid w:val="00CD23A1"/>
    <w:rsid w:val="00CD2A74"/>
    <w:rsid w:val="00CD2DA9"/>
    <w:rsid w:val="00CD2F4C"/>
    <w:rsid w:val="00CD3897"/>
    <w:rsid w:val="00CD427F"/>
    <w:rsid w:val="00CD43E7"/>
    <w:rsid w:val="00CD4698"/>
    <w:rsid w:val="00CD48EF"/>
    <w:rsid w:val="00CD5073"/>
    <w:rsid w:val="00CD5558"/>
    <w:rsid w:val="00CD5F26"/>
    <w:rsid w:val="00CD6319"/>
    <w:rsid w:val="00CD6D88"/>
    <w:rsid w:val="00CD71DB"/>
    <w:rsid w:val="00CE04AB"/>
    <w:rsid w:val="00CE1FF4"/>
    <w:rsid w:val="00CE4269"/>
    <w:rsid w:val="00CE53FC"/>
    <w:rsid w:val="00CE5648"/>
    <w:rsid w:val="00CE5C5E"/>
    <w:rsid w:val="00CE76CE"/>
    <w:rsid w:val="00CE7D72"/>
    <w:rsid w:val="00CF03B6"/>
    <w:rsid w:val="00CF1375"/>
    <w:rsid w:val="00CF3A57"/>
    <w:rsid w:val="00CF4179"/>
    <w:rsid w:val="00CF4185"/>
    <w:rsid w:val="00CF4280"/>
    <w:rsid w:val="00CF5635"/>
    <w:rsid w:val="00CF588B"/>
    <w:rsid w:val="00CF5DFF"/>
    <w:rsid w:val="00CF6943"/>
    <w:rsid w:val="00CF71E6"/>
    <w:rsid w:val="00CF7B2B"/>
    <w:rsid w:val="00CF7D03"/>
    <w:rsid w:val="00D00C59"/>
    <w:rsid w:val="00D026E5"/>
    <w:rsid w:val="00D027C9"/>
    <w:rsid w:val="00D02D19"/>
    <w:rsid w:val="00D035BA"/>
    <w:rsid w:val="00D04597"/>
    <w:rsid w:val="00D060E5"/>
    <w:rsid w:val="00D06843"/>
    <w:rsid w:val="00D068B8"/>
    <w:rsid w:val="00D06A5F"/>
    <w:rsid w:val="00D07D2C"/>
    <w:rsid w:val="00D104D4"/>
    <w:rsid w:val="00D11C3E"/>
    <w:rsid w:val="00D11F86"/>
    <w:rsid w:val="00D127E4"/>
    <w:rsid w:val="00D1369D"/>
    <w:rsid w:val="00D13ECA"/>
    <w:rsid w:val="00D1539D"/>
    <w:rsid w:val="00D157A7"/>
    <w:rsid w:val="00D15D89"/>
    <w:rsid w:val="00D15F87"/>
    <w:rsid w:val="00D16FDE"/>
    <w:rsid w:val="00D174BC"/>
    <w:rsid w:val="00D1774F"/>
    <w:rsid w:val="00D2028D"/>
    <w:rsid w:val="00D21257"/>
    <w:rsid w:val="00D21F02"/>
    <w:rsid w:val="00D21F04"/>
    <w:rsid w:val="00D2206A"/>
    <w:rsid w:val="00D2319B"/>
    <w:rsid w:val="00D24902"/>
    <w:rsid w:val="00D24DC9"/>
    <w:rsid w:val="00D274AB"/>
    <w:rsid w:val="00D27ADC"/>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43B"/>
    <w:rsid w:val="00D47FE0"/>
    <w:rsid w:val="00D5037D"/>
    <w:rsid w:val="00D503C2"/>
    <w:rsid w:val="00D509C7"/>
    <w:rsid w:val="00D5105E"/>
    <w:rsid w:val="00D518B5"/>
    <w:rsid w:val="00D524FF"/>
    <w:rsid w:val="00D5277C"/>
    <w:rsid w:val="00D537FB"/>
    <w:rsid w:val="00D54A29"/>
    <w:rsid w:val="00D5505F"/>
    <w:rsid w:val="00D5595F"/>
    <w:rsid w:val="00D56227"/>
    <w:rsid w:val="00D56397"/>
    <w:rsid w:val="00D571BB"/>
    <w:rsid w:val="00D574E2"/>
    <w:rsid w:val="00D57A25"/>
    <w:rsid w:val="00D61660"/>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45F2"/>
    <w:rsid w:val="00D74F1F"/>
    <w:rsid w:val="00D754DB"/>
    <w:rsid w:val="00D760A5"/>
    <w:rsid w:val="00D76B60"/>
    <w:rsid w:val="00D76F94"/>
    <w:rsid w:val="00D812D6"/>
    <w:rsid w:val="00D82707"/>
    <w:rsid w:val="00D82855"/>
    <w:rsid w:val="00D82F3E"/>
    <w:rsid w:val="00D8350B"/>
    <w:rsid w:val="00D843A8"/>
    <w:rsid w:val="00D8589C"/>
    <w:rsid w:val="00D8725E"/>
    <w:rsid w:val="00D87745"/>
    <w:rsid w:val="00D9086D"/>
    <w:rsid w:val="00D90BE6"/>
    <w:rsid w:val="00D91A59"/>
    <w:rsid w:val="00D93079"/>
    <w:rsid w:val="00D94996"/>
    <w:rsid w:val="00D94D1C"/>
    <w:rsid w:val="00D94E2D"/>
    <w:rsid w:val="00D9526A"/>
    <w:rsid w:val="00D95286"/>
    <w:rsid w:val="00D96108"/>
    <w:rsid w:val="00D97250"/>
    <w:rsid w:val="00D97F71"/>
    <w:rsid w:val="00DA1B75"/>
    <w:rsid w:val="00DA2768"/>
    <w:rsid w:val="00DA339E"/>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786"/>
    <w:rsid w:val="00DD3887"/>
    <w:rsid w:val="00DD4293"/>
    <w:rsid w:val="00DD731B"/>
    <w:rsid w:val="00DD77D5"/>
    <w:rsid w:val="00DD78E3"/>
    <w:rsid w:val="00DE0E14"/>
    <w:rsid w:val="00DE14C8"/>
    <w:rsid w:val="00DE24A5"/>
    <w:rsid w:val="00DE27BF"/>
    <w:rsid w:val="00DE3FD6"/>
    <w:rsid w:val="00DE468B"/>
    <w:rsid w:val="00DE4B96"/>
    <w:rsid w:val="00DE52E2"/>
    <w:rsid w:val="00DE58E3"/>
    <w:rsid w:val="00DE5E07"/>
    <w:rsid w:val="00DE5E11"/>
    <w:rsid w:val="00DE618C"/>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61B0"/>
    <w:rsid w:val="00DF760C"/>
    <w:rsid w:val="00E0049A"/>
    <w:rsid w:val="00E008AF"/>
    <w:rsid w:val="00E014FA"/>
    <w:rsid w:val="00E019E2"/>
    <w:rsid w:val="00E022F7"/>
    <w:rsid w:val="00E0298C"/>
    <w:rsid w:val="00E02F7D"/>
    <w:rsid w:val="00E060AD"/>
    <w:rsid w:val="00E0736D"/>
    <w:rsid w:val="00E10233"/>
    <w:rsid w:val="00E105BA"/>
    <w:rsid w:val="00E1121F"/>
    <w:rsid w:val="00E11D8F"/>
    <w:rsid w:val="00E1248A"/>
    <w:rsid w:val="00E12D5A"/>
    <w:rsid w:val="00E13787"/>
    <w:rsid w:val="00E13FE9"/>
    <w:rsid w:val="00E16346"/>
    <w:rsid w:val="00E16565"/>
    <w:rsid w:val="00E16A75"/>
    <w:rsid w:val="00E1707A"/>
    <w:rsid w:val="00E17803"/>
    <w:rsid w:val="00E17A9F"/>
    <w:rsid w:val="00E22B31"/>
    <w:rsid w:val="00E235EF"/>
    <w:rsid w:val="00E23D51"/>
    <w:rsid w:val="00E243F1"/>
    <w:rsid w:val="00E245FF"/>
    <w:rsid w:val="00E24CD9"/>
    <w:rsid w:val="00E265CB"/>
    <w:rsid w:val="00E26EA9"/>
    <w:rsid w:val="00E271E8"/>
    <w:rsid w:val="00E30D57"/>
    <w:rsid w:val="00E3156C"/>
    <w:rsid w:val="00E321CC"/>
    <w:rsid w:val="00E3224D"/>
    <w:rsid w:val="00E329B5"/>
    <w:rsid w:val="00E32EA3"/>
    <w:rsid w:val="00E3326C"/>
    <w:rsid w:val="00E33578"/>
    <w:rsid w:val="00E34893"/>
    <w:rsid w:val="00E35DD6"/>
    <w:rsid w:val="00E3643B"/>
    <w:rsid w:val="00E377E4"/>
    <w:rsid w:val="00E37E28"/>
    <w:rsid w:val="00E415D4"/>
    <w:rsid w:val="00E41903"/>
    <w:rsid w:val="00E42517"/>
    <w:rsid w:val="00E42747"/>
    <w:rsid w:val="00E427BD"/>
    <w:rsid w:val="00E42AFF"/>
    <w:rsid w:val="00E42B46"/>
    <w:rsid w:val="00E43273"/>
    <w:rsid w:val="00E4353B"/>
    <w:rsid w:val="00E44522"/>
    <w:rsid w:val="00E446F6"/>
    <w:rsid w:val="00E44C4B"/>
    <w:rsid w:val="00E451B0"/>
    <w:rsid w:val="00E45FE3"/>
    <w:rsid w:val="00E46115"/>
    <w:rsid w:val="00E46D29"/>
    <w:rsid w:val="00E47221"/>
    <w:rsid w:val="00E47E5D"/>
    <w:rsid w:val="00E50F53"/>
    <w:rsid w:val="00E51702"/>
    <w:rsid w:val="00E522E4"/>
    <w:rsid w:val="00E527EA"/>
    <w:rsid w:val="00E529C7"/>
    <w:rsid w:val="00E52CA6"/>
    <w:rsid w:val="00E535C6"/>
    <w:rsid w:val="00E53694"/>
    <w:rsid w:val="00E536B2"/>
    <w:rsid w:val="00E53FC4"/>
    <w:rsid w:val="00E54A0E"/>
    <w:rsid w:val="00E55A6A"/>
    <w:rsid w:val="00E563E0"/>
    <w:rsid w:val="00E56CF1"/>
    <w:rsid w:val="00E576BB"/>
    <w:rsid w:val="00E5783E"/>
    <w:rsid w:val="00E57E5D"/>
    <w:rsid w:val="00E602A0"/>
    <w:rsid w:val="00E617AF"/>
    <w:rsid w:val="00E61C81"/>
    <w:rsid w:val="00E62B24"/>
    <w:rsid w:val="00E63149"/>
    <w:rsid w:val="00E63B6A"/>
    <w:rsid w:val="00E63E95"/>
    <w:rsid w:val="00E663A3"/>
    <w:rsid w:val="00E668EB"/>
    <w:rsid w:val="00E67399"/>
    <w:rsid w:val="00E706C3"/>
    <w:rsid w:val="00E71A3A"/>
    <w:rsid w:val="00E727AE"/>
    <w:rsid w:val="00E72AC0"/>
    <w:rsid w:val="00E7341C"/>
    <w:rsid w:val="00E73A1D"/>
    <w:rsid w:val="00E74795"/>
    <w:rsid w:val="00E75734"/>
    <w:rsid w:val="00E75C56"/>
    <w:rsid w:val="00E76167"/>
    <w:rsid w:val="00E76AB0"/>
    <w:rsid w:val="00E7720D"/>
    <w:rsid w:val="00E7744B"/>
    <w:rsid w:val="00E77B25"/>
    <w:rsid w:val="00E80550"/>
    <w:rsid w:val="00E818F2"/>
    <w:rsid w:val="00E823D1"/>
    <w:rsid w:val="00E827D3"/>
    <w:rsid w:val="00E83679"/>
    <w:rsid w:val="00E8377F"/>
    <w:rsid w:val="00E843E6"/>
    <w:rsid w:val="00E85043"/>
    <w:rsid w:val="00E85122"/>
    <w:rsid w:val="00E85911"/>
    <w:rsid w:val="00E8647A"/>
    <w:rsid w:val="00E86B1C"/>
    <w:rsid w:val="00E871B9"/>
    <w:rsid w:val="00E906FA"/>
    <w:rsid w:val="00E90717"/>
    <w:rsid w:val="00E937BE"/>
    <w:rsid w:val="00E955C3"/>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440"/>
    <w:rsid w:val="00EB7890"/>
    <w:rsid w:val="00EC046B"/>
    <w:rsid w:val="00EC1997"/>
    <w:rsid w:val="00EC4079"/>
    <w:rsid w:val="00EC52E7"/>
    <w:rsid w:val="00EC59E2"/>
    <w:rsid w:val="00EC69DE"/>
    <w:rsid w:val="00EC6F3F"/>
    <w:rsid w:val="00EC7378"/>
    <w:rsid w:val="00ED09BF"/>
    <w:rsid w:val="00ED15BB"/>
    <w:rsid w:val="00ED1975"/>
    <w:rsid w:val="00ED1AE4"/>
    <w:rsid w:val="00ED2485"/>
    <w:rsid w:val="00ED3D3E"/>
    <w:rsid w:val="00ED4468"/>
    <w:rsid w:val="00ED4EBE"/>
    <w:rsid w:val="00ED6B2C"/>
    <w:rsid w:val="00ED6C0E"/>
    <w:rsid w:val="00ED6E96"/>
    <w:rsid w:val="00ED7AD0"/>
    <w:rsid w:val="00EE03A0"/>
    <w:rsid w:val="00EE135C"/>
    <w:rsid w:val="00EE1EE9"/>
    <w:rsid w:val="00EE23E9"/>
    <w:rsid w:val="00EE3934"/>
    <w:rsid w:val="00EE3B65"/>
    <w:rsid w:val="00EE3CF1"/>
    <w:rsid w:val="00EE4E23"/>
    <w:rsid w:val="00EE5C76"/>
    <w:rsid w:val="00EF07E8"/>
    <w:rsid w:val="00EF09A9"/>
    <w:rsid w:val="00EF211C"/>
    <w:rsid w:val="00EF2BD0"/>
    <w:rsid w:val="00EF479A"/>
    <w:rsid w:val="00EF5748"/>
    <w:rsid w:val="00EF6E26"/>
    <w:rsid w:val="00EF7C00"/>
    <w:rsid w:val="00F007CB"/>
    <w:rsid w:val="00F01C2D"/>
    <w:rsid w:val="00F0247F"/>
    <w:rsid w:val="00F038AE"/>
    <w:rsid w:val="00F04CF5"/>
    <w:rsid w:val="00F06223"/>
    <w:rsid w:val="00F06F27"/>
    <w:rsid w:val="00F06FE4"/>
    <w:rsid w:val="00F0785E"/>
    <w:rsid w:val="00F10299"/>
    <w:rsid w:val="00F11277"/>
    <w:rsid w:val="00F11696"/>
    <w:rsid w:val="00F11B56"/>
    <w:rsid w:val="00F131A5"/>
    <w:rsid w:val="00F13DE0"/>
    <w:rsid w:val="00F1433A"/>
    <w:rsid w:val="00F150F3"/>
    <w:rsid w:val="00F16886"/>
    <w:rsid w:val="00F17632"/>
    <w:rsid w:val="00F21C60"/>
    <w:rsid w:val="00F237AD"/>
    <w:rsid w:val="00F23B39"/>
    <w:rsid w:val="00F259D5"/>
    <w:rsid w:val="00F25CAB"/>
    <w:rsid w:val="00F26E0E"/>
    <w:rsid w:val="00F27CCD"/>
    <w:rsid w:val="00F30223"/>
    <w:rsid w:val="00F30F86"/>
    <w:rsid w:val="00F34FA5"/>
    <w:rsid w:val="00F36129"/>
    <w:rsid w:val="00F3683A"/>
    <w:rsid w:val="00F376E7"/>
    <w:rsid w:val="00F4064E"/>
    <w:rsid w:val="00F40B5E"/>
    <w:rsid w:val="00F415DC"/>
    <w:rsid w:val="00F41634"/>
    <w:rsid w:val="00F4178F"/>
    <w:rsid w:val="00F41E37"/>
    <w:rsid w:val="00F424B3"/>
    <w:rsid w:val="00F42D61"/>
    <w:rsid w:val="00F437C5"/>
    <w:rsid w:val="00F44C3F"/>
    <w:rsid w:val="00F44FD3"/>
    <w:rsid w:val="00F478E5"/>
    <w:rsid w:val="00F51616"/>
    <w:rsid w:val="00F52299"/>
    <w:rsid w:val="00F53171"/>
    <w:rsid w:val="00F53F94"/>
    <w:rsid w:val="00F57376"/>
    <w:rsid w:val="00F57CCD"/>
    <w:rsid w:val="00F6275F"/>
    <w:rsid w:val="00F63074"/>
    <w:rsid w:val="00F6385E"/>
    <w:rsid w:val="00F63FCA"/>
    <w:rsid w:val="00F64C78"/>
    <w:rsid w:val="00F67419"/>
    <w:rsid w:val="00F701DC"/>
    <w:rsid w:val="00F70957"/>
    <w:rsid w:val="00F71CE5"/>
    <w:rsid w:val="00F73630"/>
    <w:rsid w:val="00F736A0"/>
    <w:rsid w:val="00F74A72"/>
    <w:rsid w:val="00F750B2"/>
    <w:rsid w:val="00F75588"/>
    <w:rsid w:val="00F758D1"/>
    <w:rsid w:val="00F76150"/>
    <w:rsid w:val="00F766A5"/>
    <w:rsid w:val="00F7793A"/>
    <w:rsid w:val="00F77BCE"/>
    <w:rsid w:val="00F800D4"/>
    <w:rsid w:val="00F8513F"/>
    <w:rsid w:val="00F85301"/>
    <w:rsid w:val="00F855ED"/>
    <w:rsid w:val="00F85A7D"/>
    <w:rsid w:val="00F869FA"/>
    <w:rsid w:val="00F8707F"/>
    <w:rsid w:val="00F872A9"/>
    <w:rsid w:val="00F87A5B"/>
    <w:rsid w:val="00F87A83"/>
    <w:rsid w:val="00F910D1"/>
    <w:rsid w:val="00F92A7B"/>
    <w:rsid w:val="00F93945"/>
    <w:rsid w:val="00F93D84"/>
    <w:rsid w:val="00F95EF4"/>
    <w:rsid w:val="00F965AB"/>
    <w:rsid w:val="00FA005A"/>
    <w:rsid w:val="00FA0526"/>
    <w:rsid w:val="00FA0A33"/>
    <w:rsid w:val="00FA11DD"/>
    <w:rsid w:val="00FA15F9"/>
    <w:rsid w:val="00FA16A5"/>
    <w:rsid w:val="00FA242F"/>
    <w:rsid w:val="00FA28B9"/>
    <w:rsid w:val="00FA3470"/>
    <w:rsid w:val="00FA533D"/>
    <w:rsid w:val="00FA67EE"/>
    <w:rsid w:val="00FA7A17"/>
    <w:rsid w:val="00FB1450"/>
    <w:rsid w:val="00FB1B00"/>
    <w:rsid w:val="00FB1EB5"/>
    <w:rsid w:val="00FB2CC8"/>
    <w:rsid w:val="00FB387B"/>
    <w:rsid w:val="00FB3F52"/>
    <w:rsid w:val="00FB451C"/>
    <w:rsid w:val="00FB467F"/>
    <w:rsid w:val="00FB587B"/>
    <w:rsid w:val="00FB6A85"/>
    <w:rsid w:val="00FB6E04"/>
    <w:rsid w:val="00FB6E40"/>
    <w:rsid w:val="00FB7645"/>
    <w:rsid w:val="00FC019B"/>
    <w:rsid w:val="00FC1630"/>
    <w:rsid w:val="00FC1C96"/>
    <w:rsid w:val="00FC2429"/>
    <w:rsid w:val="00FC34B4"/>
    <w:rsid w:val="00FC4FFA"/>
    <w:rsid w:val="00FC74C3"/>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5B3F"/>
    <w:rsid w:val="00FE69F3"/>
    <w:rsid w:val="00FE6C1C"/>
    <w:rsid w:val="00FF1475"/>
    <w:rsid w:val="00FF14E4"/>
    <w:rsid w:val="00FF28F8"/>
    <w:rsid w:val="00FF4353"/>
    <w:rsid w:val="00FF4AE5"/>
    <w:rsid w:val="00FF4C1F"/>
    <w:rsid w:val="00FF5B5C"/>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D77"/>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4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4B3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48681679">
      <w:bodyDiv w:val="1"/>
      <w:marLeft w:val="0"/>
      <w:marRight w:val="0"/>
      <w:marTop w:val="0"/>
      <w:marBottom w:val="0"/>
      <w:divBdr>
        <w:top w:val="none" w:sz="0" w:space="0" w:color="auto"/>
        <w:left w:val="none" w:sz="0" w:space="0" w:color="auto"/>
        <w:bottom w:val="none" w:sz="0" w:space="0" w:color="auto"/>
        <w:right w:val="none" w:sz="0" w:space="0" w:color="auto"/>
      </w:divBdr>
      <w:divsChild>
        <w:div w:id="1959875844">
          <w:marLeft w:val="0"/>
          <w:marRight w:val="0"/>
          <w:marTop w:val="0"/>
          <w:marBottom w:val="0"/>
          <w:divBdr>
            <w:top w:val="none" w:sz="0" w:space="0" w:color="auto"/>
            <w:left w:val="none" w:sz="0" w:space="0" w:color="auto"/>
            <w:bottom w:val="none" w:sz="0" w:space="0" w:color="auto"/>
            <w:right w:val="none" w:sz="0" w:space="0" w:color="auto"/>
          </w:divBdr>
          <w:divsChild>
            <w:div w:id="1309819404">
              <w:marLeft w:val="0"/>
              <w:marRight w:val="0"/>
              <w:marTop w:val="0"/>
              <w:marBottom w:val="0"/>
              <w:divBdr>
                <w:top w:val="none" w:sz="0" w:space="0" w:color="auto"/>
                <w:left w:val="none" w:sz="0" w:space="0" w:color="auto"/>
                <w:bottom w:val="none" w:sz="0" w:space="0" w:color="auto"/>
                <w:right w:val="none" w:sz="0" w:space="0" w:color="auto"/>
              </w:divBdr>
            </w:div>
            <w:div w:id="1727218779">
              <w:marLeft w:val="0"/>
              <w:marRight w:val="0"/>
              <w:marTop w:val="0"/>
              <w:marBottom w:val="600"/>
              <w:divBdr>
                <w:top w:val="none" w:sz="0" w:space="0" w:color="auto"/>
                <w:left w:val="none" w:sz="0" w:space="0" w:color="auto"/>
                <w:bottom w:val="none" w:sz="0" w:space="0" w:color="auto"/>
                <w:right w:val="none" w:sz="0" w:space="0" w:color="auto"/>
              </w:divBdr>
            </w:div>
          </w:divsChild>
        </w:div>
        <w:div w:id="929702568">
          <w:marLeft w:val="0"/>
          <w:marRight w:val="0"/>
          <w:marTop w:val="0"/>
          <w:marBottom w:val="0"/>
          <w:divBdr>
            <w:top w:val="none" w:sz="0" w:space="0" w:color="auto"/>
            <w:left w:val="none" w:sz="0" w:space="0" w:color="auto"/>
            <w:bottom w:val="none" w:sz="0" w:space="0" w:color="auto"/>
            <w:right w:val="none" w:sz="0" w:space="0" w:color="auto"/>
          </w:divBdr>
          <w:divsChild>
            <w:div w:id="561524237">
              <w:marLeft w:val="0"/>
              <w:marRight w:val="0"/>
              <w:marTop w:val="432"/>
              <w:marBottom w:val="0"/>
              <w:divBdr>
                <w:top w:val="none" w:sz="0" w:space="0" w:color="auto"/>
                <w:left w:val="none" w:sz="0" w:space="0" w:color="auto"/>
                <w:bottom w:val="none" w:sz="0" w:space="0" w:color="auto"/>
                <w:right w:val="none" w:sz="0" w:space="0" w:color="auto"/>
              </w:divBdr>
            </w:div>
            <w:div w:id="1266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8246664">
      <w:bodyDiv w:val="1"/>
      <w:marLeft w:val="0"/>
      <w:marRight w:val="0"/>
      <w:marTop w:val="0"/>
      <w:marBottom w:val="0"/>
      <w:divBdr>
        <w:top w:val="none" w:sz="0" w:space="0" w:color="auto"/>
        <w:left w:val="none" w:sz="0" w:space="0" w:color="auto"/>
        <w:bottom w:val="none" w:sz="0" w:space="0" w:color="auto"/>
        <w:right w:val="none" w:sz="0" w:space="0" w:color="auto"/>
      </w:divBdr>
      <w:divsChild>
        <w:div w:id="1832675630">
          <w:marLeft w:val="0"/>
          <w:marRight w:val="0"/>
          <w:marTop w:val="0"/>
          <w:marBottom w:val="0"/>
          <w:divBdr>
            <w:top w:val="none" w:sz="0" w:space="0" w:color="auto"/>
            <w:left w:val="none" w:sz="0" w:space="0" w:color="auto"/>
            <w:bottom w:val="none" w:sz="0" w:space="0" w:color="auto"/>
            <w:right w:val="none" w:sz="0" w:space="0" w:color="auto"/>
          </w:divBdr>
          <w:divsChild>
            <w:div w:id="1793556459">
              <w:marLeft w:val="0"/>
              <w:marRight w:val="0"/>
              <w:marTop w:val="0"/>
              <w:marBottom w:val="0"/>
              <w:divBdr>
                <w:top w:val="none" w:sz="0" w:space="0" w:color="auto"/>
                <w:left w:val="none" w:sz="0" w:space="0" w:color="auto"/>
                <w:bottom w:val="none" w:sz="0" w:space="0" w:color="auto"/>
                <w:right w:val="none" w:sz="0" w:space="0" w:color="auto"/>
              </w:divBdr>
            </w:div>
            <w:div w:id="2030598385">
              <w:marLeft w:val="0"/>
              <w:marRight w:val="0"/>
              <w:marTop w:val="0"/>
              <w:marBottom w:val="0"/>
              <w:divBdr>
                <w:top w:val="none" w:sz="0" w:space="0" w:color="auto"/>
                <w:left w:val="none" w:sz="0" w:space="0" w:color="auto"/>
                <w:bottom w:val="none" w:sz="0" w:space="0" w:color="auto"/>
                <w:right w:val="none" w:sz="0" w:space="0" w:color="auto"/>
              </w:divBdr>
            </w:div>
            <w:div w:id="1586916012">
              <w:marLeft w:val="0"/>
              <w:marRight w:val="0"/>
              <w:marTop w:val="0"/>
              <w:marBottom w:val="0"/>
              <w:divBdr>
                <w:top w:val="none" w:sz="0" w:space="0" w:color="auto"/>
                <w:left w:val="none" w:sz="0" w:space="0" w:color="auto"/>
                <w:bottom w:val="none" w:sz="0" w:space="0" w:color="auto"/>
                <w:right w:val="none" w:sz="0" w:space="0" w:color="auto"/>
              </w:divBdr>
            </w:div>
            <w:div w:id="1946303302">
              <w:marLeft w:val="0"/>
              <w:marRight w:val="0"/>
              <w:marTop w:val="0"/>
              <w:marBottom w:val="0"/>
              <w:divBdr>
                <w:top w:val="none" w:sz="0" w:space="0" w:color="auto"/>
                <w:left w:val="none" w:sz="0" w:space="0" w:color="auto"/>
                <w:bottom w:val="none" w:sz="0" w:space="0" w:color="auto"/>
                <w:right w:val="none" w:sz="0" w:space="0" w:color="auto"/>
              </w:divBdr>
            </w:div>
            <w:div w:id="176191740">
              <w:marLeft w:val="0"/>
              <w:marRight w:val="0"/>
              <w:marTop w:val="0"/>
              <w:marBottom w:val="0"/>
              <w:divBdr>
                <w:top w:val="none" w:sz="0" w:space="0" w:color="auto"/>
                <w:left w:val="none" w:sz="0" w:space="0" w:color="auto"/>
                <w:bottom w:val="none" w:sz="0" w:space="0" w:color="auto"/>
                <w:right w:val="none" w:sz="0" w:space="0" w:color="auto"/>
              </w:divBdr>
            </w:div>
            <w:div w:id="205259006">
              <w:marLeft w:val="0"/>
              <w:marRight w:val="0"/>
              <w:marTop w:val="0"/>
              <w:marBottom w:val="0"/>
              <w:divBdr>
                <w:top w:val="none" w:sz="0" w:space="0" w:color="auto"/>
                <w:left w:val="none" w:sz="0" w:space="0" w:color="auto"/>
                <w:bottom w:val="none" w:sz="0" w:space="0" w:color="auto"/>
                <w:right w:val="none" w:sz="0" w:space="0" w:color="auto"/>
              </w:divBdr>
            </w:div>
            <w:div w:id="262690662">
              <w:marLeft w:val="0"/>
              <w:marRight w:val="0"/>
              <w:marTop w:val="0"/>
              <w:marBottom w:val="0"/>
              <w:divBdr>
                <w:top w:val="none" w:sz="0" w:space="0" w:color="auto"/>
                <w:left w:val="none" w:sz="0" w:space="0" w:color="auto"/>
                <w:bottom w:val="none" w:sz="0" w:space="0" w:color="auto"/>
                <w:right w:val="none" w:sz="0" w:space="0" w:color="auto"/>
              </w:divBdr>
            </w:div>
            <w:div w:id="106432037">
              <w:marLeft w:val="0"/>
              <w:marRight w:val="0"/>
              <w:marTop w:val="0"/>
              <w:marBottom w:val="0"/>
              <w:divBdr>
                <w:top w:val="none" w:sz="0" w:space="0" w:color="auto"/>
                <w:left w:val="none" w:sz="0" w:space="0" w:color="auto"/>
                <w:bottom w:val="none" w:sz="0" w:space="0" w:color="auto"/>
                <w:right w:val="none" w:sz="0" w:space="0" w:color="auto"/>
              </w:divBdr>
            </w:div>
            <w:div w:id="1057364065">
              <w:marLeft w:val="0"/>
              <w:marRight w:val="0"/>
              <w:marTop w:val="0"/>
              <w:marBottom w:val="0"/>
              <w:divBdr>
                <w:top w:val="none" w:sz="0" w:space="0" w:color="auto"/>
                <w:left w:val="none" w:sz="0" w:space="0" w:color="auto"/>
                <w:bottom w:val="none" w:sz="0" w:space="0" w:color="auto"/>
                <w:right w:val="none" w:sz="0" w:space="0" w:color="auto"/>
              </w:divBdr>
            </w:div>
            <w:div w:id="1282495162">
              <w:marLeft w:val="0"/>
              <w:marRight w:val="0"/>
              <w:marTop w:val="0"/>
              <w:marBottom w:val="0"/>
              <w:divBdr>
                <w:top w:val="none" w:sz="0" w:space="0" w:color="auto"/>
                <w:left w:val="none" w:sz="0" w:space="0" w:color="auto"/>
                <w:bottom w:val="none" w:sz="0" w:space="0" w:color="auto"/>
                <w:right w:val="none" w:sz="0" w:space="0" w:color="auto"/>
              </w:divBdr>
            </w:div>
            <w:div w:id="1130712869">
              <w:marLeft w:val="0"/>
              <w:marRight w:val="0"/>
              <w:marTop w:val="0"/>
              <w:marBottom w:val="0"/>
              <w:divBdr>
                <w:top w:val="none" w:sz="0" w:space="0" w:color="auto"/>
                <w:left w:val="none" w:sz="0" w:space="0" w:color="auto"/>
                <w:bottom w:val="none" w:sz="0" w:space="0" w:color="auto"/>
                <w:right w:val="none" w:sz="0" w:space="0" w:color="auto"/>
              </w:divBdr>
            </w:div>
            <w:div w:id="1306933210">
              <w:marLeft w:val="0"/>
              <w:marRight w:val="0"/>
              <w:marTop w:val="0"/>
              <w:marBottom w:val="0"/>
              <w:divBdr>
                <w:top w:val="none" w:sz="0" w:space="0" w:color="auto"/>
                <w:left w:val="none" w:sz="0" w:space="0" w:color="auto"/>
                <w:bottom w:val="none" w:sz="0" w:space="0" w:color="auto"/>
                <w:right w:val="none" w:sz="0" w:space="0" w:color="auto"/>
              </w:divBdr>
            </w:div>
            <w:div w:id="1015033001">
              <w:marLeft w:val="0"/>
              <w:marRight w:val="0"/>
              <w:marTop w:val="0"/>
              <w:marBottom w:val="0"/>
              <w:divBdr>
                <w:top w:val="none" w:sz="0" w:space="0" w:color="auto"/>
                <w:left w:val="none" w:sz="0" w:space="0" w:color="auto"/>
                <w:bottom w:val="none" w:sz="0" w:space="0" w:color="auto"/>
                <w:right w:val="none" w:sz="0" w:space="0" w:color="auto"/>
              </w:divBdr>
            </w:div>
            <w:div w:id="1726223241">
              <w:marLeft w:val="0"/>
              <w:marRight w:val="0"/>
              <w:marTop w:val="0"/>
              <w:marBottom w:val="0"/>
              <w:divBdr>
                <w:top w:val="none" w:sz="0" w:space="0" w:color="auto"/>
                <w:left w:val="none" w:sz="0" w:space="0" w:color="auto"/>
                <w:bottom w:val="none" w:sz="0" w:space="0" w:color="auto"/>
                <w:right w:val="none" w:sz="0" w:space="0" w:color="auto"/>
              </w:divBdr>
            </w:div>
            <w:div w:id="1929075121">
              <w:marLeft w:val="0"/>
              <w:marRight w:val="0"/>
              <w:marTop w:val="0"/>
              <w:marBottom w:val="0"/>
              <w:divBdr>
                <w:top w:val="none" w:sz="0" w:space="0" w:color="auto"/>
                <w:left w:val="none" w:sz="0" w:space="0" w:color="auto"/>
                <w:bottom w:val="none" w:sz="0" w:space="0" w:color="auto"/>
                <w:right w:val="none" w:sz="0" w:space="0" w:color="auto"/>
              </w:divBdr>
            </w:div>
          </w:divsChild>
        </w:div>
        <w:div w:id="25955532">
          <w:marLeft w:val="0"/>
          <w:marRight w:val="0"/>
          <w:marTop w:val="0"/>
          <w:marBottom w:val="0"/>
          <w:divBdr>
            <w:top w:val="none" w:sz="0" w:space="0" w:color="auto"/>
            <w:left w:val="none" w:sz="0" w:space="0" w:color="auto"/>
            <w:bottom w:val="none" w:sz="0" w:space="0" w:color="auto"/>
            <w:right w:val="none" w:sz="0" w:space="0" w:color="auto"/>
          </w:divBdr>
          <w:divsChild>
            <w:div w:id="678851189">
              <w:marLeft w:val="0"/>
              <w:marRight w:val="0"/>
              <w:marTop w:val="0"/>
              <w:marBottom w:val="0"/>
              <w:divBdr>
                <w:top w:val="none" w:sz="0" w:space="0" w:color="auto"/>
                <w:left w:val="none" w:sz="0" w:space="0" w:color="auto"/>
                <w:bottom w:val="none" w:sz="0" w:space="0" w:color="auto"/>
                <w:right w:val="none" w:sz="0" w:space="0" w:color="auto"/>
              </w:divBdr>
            </w:div>
            <w:div w:id="633678059">
              <w:marLeft w:val="0"/>
              <w:marRight w:val="0"/>
              <w:marTop w:val="0"/>
              <w:marBottom w:val="0"/>
              <w:divBdr>
                <w:top w:val="none" w:sz="0" w:space="0" w:color="auto"/>
                <w:left w:val="none" w:sz="0" w:space="0" w:color="auto"/>
                <w:bottom w:val="none" w:sz="0" w:space="0" w:color="auto"/>
                <w:right w:val="none" w:sz="0" w:space="0" w:color="auto"/>
              </w:divBdr>
            </w:div>
            <w:div w:id="1433209899">
              <w:marLeft w:val="0"/>
              <w:marRight w:val="0"/>
              <w:marTop w:val="0"/>
              <w:marBottom w:val="0"/>
              <w:divBdr>
                <w:top w:val="none" w:sz="0" w:space="0" w:color="auto"/>
                <w:left w:val="none" w:sz="0" w:space="0" w:color="auto"/>
                <w:bottom w:val="none" w:sz="0" w:space="0" w:color="auto"/>
                <w:right w:val="none" w:sz="0" w:space="0" w:color="auto"/>
              </w:divBdr>
            </w:div>
            <w:div w:id="1371883376">
              <w:marLeft w:val="0"/>
              <w:marRight w:val="0"/>
              <w:marTop w:val="0"/>
              <w:marBottom w:val="0"/>
              <w:divBdr>
                <w:top w:val="none" w:sz="0" w:space="0" w:color="auto"/>
                <w:left w:val="none" w:sz="0" w:space="0" w:color="auto"/>
                <w:bottom w:val="none" w:sz="0" w:space="0" w:color="auto"/>
                <w:right w:val="none" w:sz="0" w:space="0" w:color="auto"/>
              </w:divBdr>
            </w:div>
            <w:div w:id="878708088">
              <w:marLeft w:val="0"/>
              <w:marRight w:val="0"/>
              <w:marTop w:val="0"/>
              <w:marBottom w:val="0"/>
              <w:divBdr>
                <w:top w:val="none" w:sz="0" w:space="0" w:color="auto"/>
                <w:left w:val="none" w:sz="0" w:space="0" w:color="auto"/>
                <w:bottom w:val="none" w:sz="0" w:space="0" w:color="auto"/>
                <w:right w:val="none" w:sz="0" w:space="0" w:color="auto"/>
              </w:divBdr>
            </w:div>
            <w:div w:id="1595632064">
              <w:marLeft w:val="0"/>
              <w:marRight w:val="0"/>
              <w:marTop w:val="0"/>
              <w:marBottom w:val="0"/>
              <w:divBdr>
                <w:top w:val="none" w:sz="0" w:space="0" w:color="auto"/>
                <w:left w:val="none" w:sz="0" w:space="0" w:color="auto"/>
                <w:bottom w:val="none" w:sz="0" w:space="0" w:color="auto"/>
                <w:right w:val="none" w:sz="0" w:space="0" w:color="auto"/>
              </w:divBdr>
            </w:div>
          </w:divsChild>
        </w:div>
        <w:div w:id="604581552">
          <w:marLeft w:val="0"/>
          <w:marRight w:val="0"/>
          <w:marTop w:val="0"/>
          <w:marBottom w:val="0"/>
          <w:divBdr>
            <w:top w:val="none" w:sz="0" w:space="0" w:color="auto"/>
            <w:left w:val="none" w:sz="0" w:space="0" w:color="auto"/>
            <w:bottom w:val="none" w:sz="0" w:space="0" w:color="auto"/>
            <w:right w:val="none" w:sz="0" w:space="0" w:color="auto"/>
          </w:divBdr>
          <w:divsChild>
            <w:div w:id="109979158">
              <w:marLeft w:val="0"/>
              <w:marRight w:val="0"/>
              <w:marTop w:val="0"/>
              <w:marBottom w:val="0"/>
              <w:divBdr>
                <w:top w:val="none" w:sz="0" w:space="0" w:color="auto"/>
                <w:left w:val="none" w:sz="0" w:space="0" w:color="auto"/>
                <w:bottom w:val="none" w:sz="0" w:space="0" w:color="auto"/>
                <w:right w:val="none" w:sz="0" w:space="0" w:color="auto"/>
              </w:divBdr>
            </w:div>
          </w:divsChild>
        </w:div>
        <w:div w:id="1019964526">
          <w:marLeft w:val="0"/>
          <w:marRight w:val="0"/>
          <w:marTop w:val="0"/>
          <w:marBottom w:val="0"/>
          <w:divBdr>
            <w:top w:val="none" w:sz="0" w:space="0" w:color="auto"/>
            <w:left w:val="none" w:sz="0" w:space="0" w:color="auto"/>
            <w:bottom w:val="none" w:sz="0" w:space="0" w:color="auto"/>
            <w:right w:val="none" w:sz="0" w:space="0" w:color="auto"/>
          </w:divBdr>
        </w:div>
        <w:div w:id="197667380">
          <w:marLeft w:val="0"/>
          <w:marRight w:val="0"/>
          <w:marTop w:val="0"/>
          <w:marBottom w:val="0"/>
          <w:divBdr>
            <w:top w:val="none" w:sz="0" w:space="0" w:color="auto"/>
            <w:left w:val="none" w:sz="0" w:space="0" w:color="auto"/>
            <w:bottom w:val="none" w:sz="0" w:space="0" w:color="auto"/>
            <w:right w:val="none" w:sz="0" w:space="0" w:color="auto"/>
          </w:divBdr>
          <w:divsChild>
            <w:div w:id="1514489191">
              <w:marLeft w:val="0"/>
              <w:marRight w:val="0"/>
              <w:marTop w:val="0"/>
              <w:marBottom w:val="0"/>
              <w:divBdr>
                <w:top w:val="none" w:sz="0" w:space="0" w:color="auto"/>
                <w:left w:val="none" w:sz="0" w:space="0" w:color="auto"/>
                <w:bottom w:val="none" w:sz="0" w:space="0" w:color="auto"/>
                <w:right w:val="none" w:sz="0" w:space="0" w:color="auto"/>
              </w:divBdr>
            </w:div>
          </w:divsChild>
        </w:div>
        <w:div w:id="122040157">
          <w:marLeft w:val="0"/>
          <w:marRight w:val="0"/>
          <w:marTop w:val="0"/>
          <w:marBottom w:val="0"/>
          <w:divBdr>
            <w:top w:val="none" w:sz="0" w:space="0" w:color="auto"/>
            <w:left w:val="none" w:sz="0" w:space="0" w:color="auto"/>
            <w:bottom w:val="none" w:sz="0" w:space="0" w:color="auto"/>
            <w:right w:val="none" w:sz="0" w:space="0" w:color="auto"/>
          </w:divBdr>
          <w:divsChild>
            <w:div w:id="848981247">
              <w:marLeft w:val="0"/>
              <w:marRight w:val="0"/>
              <w:marTop w:val="0"/>
              <w:marBottom w:val="0"/>
              <w:divBdr>
                <w:top w:val="none" w:sz="0" w:space="0" w:color="auto"/>
                <w:left w:val="none" w:sz="0" w:space="0" w:color="auto"/>
                <w:bottom w:val="none" w:sz="0" w:space="0" w:color="auto"/>
                <w:right w:val="none" w:sz="0" w:space="0" w:color="auto"/>
              </w:divBdr>
            </w:div>
            <w:div w:id="452794929">
              <w:marLeft w:val="0"/>
              <w:marRight w:val="0"/>
              <w:marTop w:val="0"/>
              <w:marBottom w:val="0"/>
              <w:divBdr>
                <w:top w:val="none" w:sz="0" w:space="0" w:color="auto"/>
                <w:left w:val="none" w:sz="0" w:space="0" w:color="auto"/>
                <w:bottom w:val="none" w:sz="0" w:space="0" w:color="auto"/>
                <w:right w:val="none" w:sz="0" w:space="0" w:color="auto"/>
              </w:divBdr>
            </w:div>
            <w:div w:id="1459909947">
              <w:marLeft w:val="0"/>
              <w:marRight w:val="0"/>
              <w:marTop w:val="0"/>
              <w:marBottom w:val="0"/>
              <w:divBdr>
                <w:top w:val="none" w:sz="0" w:space="0" w:color="auto"/>
                <w:left w:val="none" w:sz="0" w:space="0" w:color="auto"/>
                <w:bottom w:val="none" w:sz="0" w:space="0" w:color="auto"/>
                <w:right w:val="none" w:sz="0" w:space="0" w:color="auto"/>
              </w:divBdr>
            </w:div>
          </w:divsChild>
        </w:div>
        <w:div w:id="539785867">
          <w:marLeft w:val="0"/>
          <w:marRight w:val="0"/>
          <w:marTop w:val="0"/>
          <w:marBottom w:val="0"/>
          <w:divBdr>
            <w:top w:val="none" w:sz="0" w:space="0" w:color="auto"/>
            <w:left w:val="none" w:sz="0" w:space="0" w:color="auto"/>
            <w:bottom w:val="none" w:sz="0" w:space="0" w:color="auto"/>
            <w:right w:val="none" w:sz="0" w:space="0" w:color="auto"/>
          </w:divBdr>
        </w:div>
        <w:div w:id="144780984">
          <w:marLeft w:val="0"/>
          <w:marRight w:val="0"/>
          <w:marTop w:val="0"/>
          <w:marBottom w:val="0"/>
          <w:divBdr>
            <w:top w:val="none" w:sz="0" w:space="0" w:color="auto"/>
            <w:left w:val="none" w:sz="0" w:space="0" w:color="auto"/>
            <w:bottom w:val="none" w:sz="0" w:space="0" w:color="auto"/>
            <w:right w:val="none" w:sz="0" w:space="0" w:color="auto"/>
          </w:divBdr>
          <w:divsChild>
            <w:div w:id="1302463793">
              <w:marLeft w:val="0"/>
              <w:marRight w:val="0"/>
              <w:marTop w:val="0"/>
              <w:marBottom w:val="0"/>
              <w:divBdr>
                <w:top w:val="none" w:sz="0" w:space="0" w:color="auto"/>
                <w:left w:val="none" w:sz="0" w:space="0" w:color="auto"/>
                <w:bottom w:val="none" w:sz="0" w:space="0" w:color="auto"/>
                <w:right w:val="none" w:sz="0" w:space="0" w:color="auto"/>
              </w:divBdr>
            </w:div>
            <w:div w:id="1045520571">
              <w:marLeft w:val="0"/>
              <w:marRight w:val="0"/>
              <w:marTop w:val="0"/>
              <w:marBottom w:val="0"/>
              <w:divBdr>
                <w:top w:val="none" w:sz="0" w:space="0" w:color="auto"/>
                <w:left w:val="none" w:sz="0" w:space="0" w:color="auto"/>
                <w:bottom w:val="none" w:sz="0" w:space="0" w:color="auto"/>
                <w:right w:val="none" w:sz="0" w:space="0" w:color="auto"/>
              </w:divBdr>
            </w:div>
            <w:div w:id="146554447">
              <w:marLeft w:val="0"/>
              <w:marRight w:val="0"/>
              <w:marTop w:val="0"/>
              <w:marBottom w:val="0"/>
              <w:divBdr>
                <w:top w:val="none" w:sz="0" w:space="0" w:color="auto"/>
                <w:left w:val="none" w:sz="0" w:space="0" w:color="auto"/>
                <w:bottom w:val="none" w:sz="0" w:space="0" w:color="auto"/>
                <w:right w:val="none" w:sz="0" w:space="0" w:color="auto"/>
              </w:divBdr>
            </w:div>
          </w:divsChild>
        </w:div>
        <w:div w:id="842359430">
          <w:marLeft w:val="0"/>
          <w:marRight w:val="0"/>
          <w:marTop w:val="0"/>
          <w:marBottom w:val="0"/>
          <w:divBdr>
            <w:top w:val="none" w:sz="0" w:space="0" w:color="auto"/>
            <w:left w:val="none" w:sz="0" w:space="0" w:color="auto"/>
            <w:bottom w:val="none" w:sz="0" w:space="0" w:color="auto"/>
            <w:right w:val="none" w:sz="0" w:space="0" w:color="auto"/>
          </w:divBdr>
          <w:divsChild>
            <w:div w:id="1488742464">
              <w:marLeft w:val="0"/>
              <w:marRight w:val="0"/>
              <w:marTop w:val="0"/>
              <w:marBottom w:val="0"/>
              <w:divBdr>
                <w:top w:val="none" w:sz="0" w:space="0" w:color="auto"/>
                <w:left w:val="none" w:sz="0" w:space="0" w:color="auto"/>
                <w:bottom w:val="none" w:sz="0" w:space="0" w:color="auto"/>
                <w:right w:val="none" w:sz="0" w:space="0" w:color="auto"/>
              </w:divBdr>
            </w:div>
            <w:div w:id="107896504">
              <w:marLeft w:val="0"/>
              <w:marRight w:val="0"/>
              <w:marTop w:val="0"/>
              <w:marBottom w:val="0"/>
              <w:divBdr>
                <w:top w:val="none" w:sz="0" w:space="0" w:color="auto"/>
                <w:left w:val="none" w:sz="0" w:space="0" w:color="auto"/>
                <w:bottom w:val="none" w:sz="0" w:space="0" w:color="auto"/>
                <w:right w:val="none" w:sz="0" w:space="0" w:color="auto"/>
              </w:divBdr>
            </w:div>
            <w:div w:id="1642884520">
              <w:marLeft w:val="0"/>
              <w:marRight w:val="0"/>
              <w:marTop w:val="0"/>
              <w:marBottom w:val="0"/>
              <w:divBdr>
                <w:top w:val="none" w:sz="0" w:space="0" w:color="auto"/>
                <w:left w:val="none" w:sz="0" w:space="0" w:color="auto"/>
                <w:bottom w:val="none" w:sz="0" w:space="0" w:color="auto"/>
                <w:right w:val="none" w:sz="0" w:space="0" w:color="auto"/>
              </w:divBdr>
            </w:div>
            <w:div w:id="1580477397">
              <w:marLeft w:val="0"/>
              <w:marRight w:val="0"/>
              <w:marTop w:val="0"/>
              <w:marBottom w:val="0"/>
              <w:divBdr>
                <w:top w:val="none" w:sz="0" w:space="0" w:color="auto"/>
                <w:left w:val="none" w:sz="0" w:space="0" w:color="auto"/>
                <w:bottom w:val="none" w:sz="0" w:space="0" w:color="auto"/>
                <w:right w:val="none" w:sz="0" w:space="0" w:color="auto"/>
              </w:divBdr>
            </w:div>
            <w:div w:id="539316980">
              <w:marLeft w:val="0"/>
              <w:marRight w:val="0"/>
              <w:marTop w:val="0"/>
              <w:marBottom w:val="0"/>
              <w:divBdr>
                <w:top w:val="none" w:sz="0" w:space="0" w:color="auto"/>
                <w:left w:val="none" w:sz="0" w:space="0" w:color="auto"/>
                <w:bottom w:val="none" w:sz="0" w:space="0" w:color="auto"/>
                <w:right w:val="none" w:sz="0" w:space="0" w:color="auto"/>
              </w:divBdr>
            </w:div>
            <w:div w:id="115948020">
              <w:marLeft w:val="0"/>
              <w:marRight w:val="0"/>
              <w:marTop w:val="0"/>
              <w:marBottom w:val="0"/>
              <w:divBdr>
                <w:top w:val="none" w:sz="0" w:space="0" w:color="auto"/>
                <w:left w:val="none" w:sz="0" w:space="0" w:color="auto"/>
                <w:bottom w:val="none" w:sz="0" w:space="0" w:color="auto"/>
                <w:right w:val="none" w:sz="0" w:space="0" w:color="auto"/>
              </w:divBdr>
            </w:div>
            <w:div w:id="1634366840">
              <w:marLeft w:val="0"/>
              <w:marRight w:val="0"/>
              <w:marTop w:val="0"/>
              <w:marBottom w:val="0"/>
              <w:divBdr>
                <w:top w:val="none" w:sz="0" w:space="0" w:color="auto"/>
                <w:left w:val="none" w:sz="0" w:space="0" w:color="auto"/>
                <w:bottom w:val="none" w:sz="0" w:space="0" w:color="auto"/>
                <w:right w:val="none" w:sz="0" w:space="0" w:color="auto"/>
              </w:divBdr>
            </w:div>
            <w:div w:id="575751293">
              <w:marLeft w:val="0"/>
              <w:marRight w:val="0"/>
              <w:marTop w:val="0"/>
              <w:marBottom w:val="0"/>
              <w:divBdr>
                <w:top w:val="none" w:sz="0" w:space="0" w:color="auto"/>
                <w:left w:val="none" w:sz="0" w:space="0" w:color="auto"/>
                <w:bottom w:val="none" w:sz="0" w:space="0" w:color="auto"/>
                <w:right w:val="none" w:sz="0" w:space="0" w:color="auto"/>
              </w:divBdr>
            </w:div>
            <w:div w:id="2058158478">
              <w:marLeft w:val="0"/>
              <w:marRight w:val="0"/>
              <w:marTop w:val="0"/>
              <w:marBottom w:val="0"/>
              <w:divBdr>
                <w:top w:val="none" w:sz="0" w:space="0" w:color="auto"/>
                <w:left w:val="none" w:sz="0" w:space="0" w:color="auto"/>
                <w:bottom w:val="none" w:sz="0" w:space="0" w:color="auto"/>
                <w:right w:val="none" w:sz="0" w:space="0" w:color="auto"/>
              </w:divBdr>
            </w:div>
            <w:div w:id="875046611">
              <w:marLeft w:val="0"/>
              <w:marRight w:val="0"/>
              <w:marTop w:val="0"/>
              <w:marBottom w:val="0"/>
              <w:divBdr>
                <w:top w:val="none" w:sz="0" w:space="0" w:color="auto"/>
                <w:left w:val="none" w:sz="0" w:space="0" w:color="auto"/>
                <w:bottom w:val="none" w:sz="0" w:space="0" w:color="auto"/>
                <w:right w:val="none" w:sz="0" w:space="0" w:color="auto"/>
              </w:divBdr>
            </w:div>
            <w:div w:id="262807409">
              <w:marLeft w:val="0"/>
              <w:marRight w:val="0"/>
              <w:marTop w:val="0"/>
              <w:marBottom w:val="0"/>
              <w:divBdr>
                <w:top w:val="none" w:sz="0" w:space="0" w:color="auto"/>
                <w:left w:val="none" w:sz="0" w:space="0" w:color="auto"/>
                <w:bottom w:val="none" w:sz="0" w:space="0" w:color="auto"/>
                <w:right w:val="none" w:sz="0" w:space="0" w:color="auto"/>
              </w:divBdr>
            </w:div>
            <w:div w:id="1154296353">
              <w:marLeft w:val="0"/>
              <w:marRight w:val="0"/>
              <w:marTop w:val="0"/>
              <w:marBottom w:val="0"/>
              <w:divBdr>
                <w:top w:val="none" w:sz="0" w:space="0" w:color="auto"/>
                <w:left w:val="none" w:sz="0" w:space="0" w:color="auto"/>
                <w:bottom w:val="none" w:sz="0" w:space="0" w:color="auto"/>
                <w:right w:val="none" w:sz="0" w:space="0" w:color="auto"/>
              </w:divBdr>
            </w:div>
            <w:div w:id="1234967463">
              <w:marLeft w:val="0"/>
              <w:marRight w:val="0"/>
              <w:marTop w:val="0"/>
              <w:marBottom w:val="0"/>
              <w:divBdr>
                <w:top w:val="none" w:sz="0" w:space="0" w:color="auto"/>
                <w:left w:val="none" w:sz="0" w:space="0" w:color="auto"/>
                <w:bottom w:val="none" w:sz="0" w:space="0" w:color="auto"/>
                <w:right w:val="none" w:sz="0" w:space="0" w:color="auto"/>
              </w:divBdr>
            </w:div>
            <w:div w:id="1511220247">
              <w:marLeft w:val="0"/>
              <w:marRight w:val="0"/>
              <w:marTop w:val="0"/>
              <w:marBottom w:val="0"/>
              <w:divBdr>
                <w:top w:val="none" w:sz="0" w:space="0" w:color="auto"/>
                <w:left w:val="none" w:sz="0" w:space="0" w:color="auto"/>
                <w:bottom w:val="none" w:sz="0" w:space="0" w:color="auto"/>
                <w:right w:val="none" w:sz="0" w:space="0" w:color="auto"/>
              </w:divBdr>
            </w:div>
            <w:div w:id="1658068034">
              <w:marLeft w:val="0"/>
              <w:marRight w:val="0"/>
              <w:marTop w:val="0"/>
              <w:marBottom w:val="0"/>
              <w:divBdr>
                <w:top w:val="none" w:sz="0" w:space="0" w:color="auto"/>
                <w:left w:val="none" w:sz="0" w:space="0" w:color="auto"/>
                <w:bottom w:val="none" w:sz="0" w:space="0" w:color="auto"/>
                <w:right w:val="none" w:sz="0" w:space="0" w:color="auto"/>
              </w:divBdr>
            </w:div>
          </w:divsChild>
        </w:div>
        <w:div w:id="633490939">
          <w:marLeft w:val="0"/>
          <w:marRight w:val="0"/>
          <w:marTop w:val="0"/>
          <w:marBottom w:val="0"/>
          <w:divBdr>
            <w:top w:val="none" w:sz="0" w:space="0" w:color="auto"/>
            <w:left w:val="none" w:sz="0" w:space="0" w:color="auto"/>
            <w:bottom w:val="none" w:sz="0" w:space="0" w:color="auto"/>
            <w:right w:val="none" w:sz="0" w:space="0" w:color="auto"/>
          </w:divBdr>
          <w:divsChild>
            <w:div w:id="14744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 w:id="21427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22013800/ex_380940.htm"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2013800/ex_380936.htm" TargetMode="External"/><Relationship Id="rId33" Type="http://schemas.openxmlformats.org/officeDocument/2006/relationships/hyperlink" Target="https://www.sec.gov/Archives/edgar/data/0000832489/000143774922005677/ex_339972.htm"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www.sec.gov/Archives/edgar/data/832489/000143774922013800/ex_380938.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2001326/ex_325632.htm" TargetMode="External"/><Relationship Id="rId32" Type="http://schemas.openxmlformats.org/officeDocument/2006/relationships/hyperlink" Target="https://www.sec.gov/Archives/edgar/data/0000832489/000143774922005677/ex_339971.htm"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2001326/ex_325630.htm" TargetMode="External"/><Relationship Id="rId28" Type="http://schemas.openxmlformats.org/officeDocument/2006/relationships/hyperlink" Target="https://www.sec.gov/Archives/edgar/data/832489/000143774922013800/ex_380937.htm"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sec.gov/Archives/edgar/data/0000832489/000143774922005677/ex_339970.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2001326/ex_325629.htm" TargetMode="External"/><Relationship Id="rId27" Type="http://schemas.openxmlformats.org/officeDocument/2006/relationships/hyperlink" Target="https://www.sec.gov/Archives/edgar/data/832489/000143774922013800/ex_380939.htm" TargetMode="External"/><Relationship Id="rId30" Type="http://schemas.openxmlformats.org/officeDocument/2006/relationships/hyperlink" Target="https://www.sec.gov/Archives/edgar/data/832489/000143774922013800/ex_380942.htm"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7857</Words>
  <Characters>47396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4</cp:revision>
  <cp:lastPrinted>2022-08-02T12:25:00Z</cp:lastPrinted>
  <dcterms:created xsi:type="dcterms:W3CDTF">2022-08-01T15:21:00Z</dcterms:created>
  <dcterms:modified xsi:type="dcterms:W3CDTF">2022-08-02T12:25:00Z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