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246FB4">
        <w:rPr>
          <w:b/>
          <w:sz w:val="24"/>
        </w:rPr>
      </w:r>
      <w:r w:rsidR="00246FB4">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0FD90F22" w:rsidR="00BD6BBE" w:rsidRPr="00F87A5B" w:rsidRDefault="00BD6BBE">
      <w:pPr>
        <w:tabs>
          <w:tab w:val="decimal" w:pos="9180"/>
        </w:tabs>
        <w:ind w:left="720" w:hanging="720"/>
        <w:rPr>
          <w:b/>
        </w:rPr>
      </w:pPr>
      <w:r w:rsidRPr="00F87A5B">
        <w:tab/>
        <w:t xml:space="preserve">For the quarterly period ended </w:t>
      </w:r>
      <w:r w:rsidR="00460775">
        <w:t>March 31</w:t>
      </w:r>
      <w:r w:rsidR="00482106">
        <w:t>,</w:t>
      </w:r>
      <w:r w:rsidR="00460775">
        <w:t xml:space="preserve"> 20</w:t>
      </w:r>
      <w:r w:rsidR="001F62EC">
        <w:t>2</w:t>
      </w:r>
      <w:r w:rsidR="0051714D">
        <w:t>4</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246FB4">
        <w:rPr>
          <w:b/>
          <w:sz w:val="24"/>
        </w:rPr>
      </w:r>
      <w:r w:rsidR="00246FB4">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246FB4">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246FB4">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246FB4">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246FB4">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246FB4">
        <w:rPr>
          <w:rFonts w:ascii="Wingdings" w:hAnsi="Wingdings" w:cs="Wingdings"/>
          <w:color w:val="000000"/>
          <w:sz w:val="18"/>
          <w:szCs w:val="18"/>
        </w:rPr>
      </w:r>
      <w:r w:rsidR="00246FB4">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246FB4">
        <w:rPr>
          <w:rFonts w:ascii="Wingdings" w:hAnsi="Wingdings" w:cs="Wingdings"/>
          <w:color w:val="000000"/>
          <w:sz w:val="18"/>
          <w:szCs w:val="18"/>
        </w:rPr>
      </w:r>
      <w:r w:rsidR="00246FB4">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246FB4">
        <w:rPr>
          <w:rFonts w:ascii="Wingdings" w:hAnsi="Wingdings" w:cs="Wingdings"/>
          <w:color w:val="000000"/>
          <w:sz w:val="18"/>
          <w:szCs w:val="18"/>
        </w:rPr>
      </w:r>
      <w:r w:rsidR="00246FB4">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246FB4">
        <w:rPr>
          <w:rFonts w:ascii="Wingdings" w:hAnsi="Wingdings" w:cs="Wingdings"/>
          <w:color w:val="000000"/>
          <w:sz w:val="18"/>
          <w:szCs w:val="18"/>
        </w:rPr>
      </w:r>
      <w:r w:rsidR="00246FB4">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246FB4">
        <w:rPr>
          <w:rFonts w:ascii="Wingdings" w:hAnsi="Wingdings" w:cs="Wingdings"/>
          <w:color w:val="000000"/>
          <w:sz w:val="18"/>
          <w:szCs w:val="18"/>
        </w:rPr>
      </w:r>
      <w:r w:rsidR="00246FB4">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246FB4">
        <w:rPr>
          <w:rFonts w:ascii="Wingdings" w:hAnsi="Wingdings" w:cs="Wingdings"/>
          <w:color w:val="000000"/>
          <w:sz w:val="18"/>
          <w:szCs w:val="18"/>
        </w:rPr>
      </w:r>
      <w:r w:rsidR="00246FB4">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246FB4">
        <w:rPr>
          <w:rFonts w:ascii="Wingdings" w:hAnsi="Wingdings" w:cs="Wingdings"/>
          <w:color w:val="000000"/>
          <w:sz w:val="18"/>
          <w:szCs w:val="18"/>
        </w:rPr>
      </w:r>
      <w:r w:rsidR="00246FB4">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246FB4">
        <w:rPr>
          <w:rFonts w:ascii="Wingdings" w:hAnsi="Wingdings" w:cs="Wingdings"/>
          <w:color w:val="000000"/>
          <w:sz w:val="18"/>
          <w:szCs w:val="18"/>
        </w:rPr>
      </w:r>
      <w:r w:rsidR="00246FB4">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43DAE563" w:rsidR="0094630A" w:rsidRDefault="0094630A">
      <w:pPr>
        <w:tabs>
          <w:tab w:val="decimal" w:pos="9180"/>
        </w:tabs>
        <w:jc w:val="both"/>
      </w:pPr>
      <w:r w:rsidRPr="003D6A75">
        <w:t>As o</w:t>
      </w:r>
      <w:r w:rsidR="009B114A" w:rsidRPr="003D6A75">
        <w:t xml:space="preserve">f </w:t>
      </w:r>
      <w:r w:rsidR="00136153">
        <w:t>May</w:t>
      </w:r>
      <w:r w:rsidR="001F0568" w:rsidRPr="004A5874">
        <w:t xml:space="preserve"> </w:t>
      </w:r>
      <w:r w:rsidR="00372F5C">
        <w:t>14</w:t>
      </w:r>
      <w:r w:rsidR="009B20E1" w:rsidRPr="004A5874">
        <w:t>,</w:t>
      </w:r>
      <w:r w:rsidR="00460775" w:rsidRPr="004A5874">
        <w:t xml:space="preserve"> 20</w:t>
      </w:r>
      <w:r w:rsidR="001F62EC" w:rsidRPr="004A5874">
        <w:t>2</w:t>
      </w:r>
      <w:r w:rsidR="0051714D">
        <w:t>4</w:t>
      </w:r>
      <w:r w:rsidR="00F75588" w:rsidRPr="006F2532">
        <w:t>,</w:t>
      </w:r>
      <w:r w:rsidR="00B9332C" w:rsidRPr="003D6A75">
        <w:t xml:space="preserve"> </w:t>
      </w:r>
      <w:r w:rsidR="00D03835">
        <w:t>2,308,309</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655C595A" w:rsidR="00482106" w:rsidRPr="000371CC" w:rsidRDefault="00482106" w:rsidP="004E3374">
      <w:pPr>
        <w:tabs>
          <w:tab w:val="right" w:pos="10080"/>
        </w:tabs>
        <w:ind w:left="900"/>
      </w:pPr>
      <w:r>
        <w:t xml:space="preserve">Condensed </w:t>
      </w:r>
      <w:r w:rsidRPr="000371CC">
        <w:t xml:space="preserve">Consolidated Balance Sheets as of </w:t>
      </w:r>
      <w:r w:rsidR="00460775">
        <w:t>March 31</w:t>
      </w:r>
      <w:r w:rsidR="00B35C97">
        <w:t xml:space="preserve">, </w:t>
      </w:r>
      <w:r w:rsidR="00460775">
        <w:t>20</w:t>
      </w:r>
      <w:r w:rsidR="001F62EC">
        <w:t>2</w:t>
      </w:r>
      <w:r w:rsidR="0051714D">
        <w:t>4</w:t>
      </w:r>
      <w:r w:rsidR="00ED6B2C">
        <w:t xml:space="preserve"> (unaudited)</w:t>
      </w:r>
      <w:r w:rsidR="00D74F1F">
        <w:t xml:space="preserve"> </w:t>
      </w:r>
      <w:r w:rsidR="00460775">
        <w:t xml:space="preserve">and December 31, </w:t>
      </w:r>
      <w:proofErr w:type="gramStart"/>
      <w:r w:rsidR="00460775">
        <w:t>20</w:t>
      </w:r>
      <w:r w:rsidR="00E63149">
        <w:t>2</w:t>
      </w:r>
      <w:r w:rsidR="0051714D">
        <w:t>3</w:t>
      </w:r>
      <w:proofErr w:type="gramEnd"/>
      <w:r w:rsidRPr="000371CC">
        <w:tab/>
        <w:t>1</w:t>
      </w:r>
    </w:p>
    <w:p w14:paraId="323AB257" w14:textId="5C2FAC0A"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periods </w:t>
      </w:r>
      <w:proofErr w:type="gramStart"/>
      <w:r w:rsidR="001F0568">
        <w:t>e</w:t>
      </w:r>
      <w:r w:rsidR="00A12E9E">
        <w:t>nded</w:t>
      </w:r>
      <w:proofErr w:type="gramEnd"/>
    </w:p>
    <w:p w14:paraId="10D88DBF" w14:textId="52CD1EE6" w:rsidR="00482106" w:rsidRDefault="004E3374" w:rsidP="004E3374">
      <w:pPr>
        <w:tabs>
          <w:tab w:val="right" w:pos="10080"/>
        </w:tabs>
        <w:ind w:left="900"/>
      </w:pPr>
      <w:r>
        <w:t xml:space="preserve">   </w:t>
      </w:r>
      <w:r w:rsidR="00460775">
        <w:t>March</w:t>
      </w:r>
      <w:r w:rsidR="0063349C">
        <w:t xml:space="preserve"> </w:t>
      </w:r>
      <w:r w:rsidR="00460775">
        <w:t xml:space="preserve">31, </w:t>
      </w:r>
      <w:proofErr w:type="gramStart"/>
      <w:r w:rsidR="00460775">
        <w:t>20</w:t>
      </w:r>
      <w:r w:rsidR="001F62EC">
        <w:t>2</w:t>
      </w:r>
      <w:r w:rsidR="0051714D">
        <w:t>4</w:t>
      </w:r>
      <w:proofErr w:type="gramEnd"/>
      <w:r w:rsidR="00731C61">
        <w:t xml:space="preserve"> </w:t>
      </w:r>
      <w:r w:rsidR="00460775">
        <w:t>and 20</w:t>
      </w:r>
      <w:r w:rsidR="00E63149">
        <w:t>2</w:t>
      </w:r>
      <w:r w:rsidR="0051714D">
        <w:t>3</w:t>
      </w:r>
      <w:r w:rsidR="00CC10F7">
        <w:t xml:space="preserve"> (unaudited)</w:t>
      </w:r>
      <w:r w:rsidR="00482106" w:rsidRPr="000371CC">
        <w:tab/>
      </w:r>
      <w:r w:rsidR="009E5F38">
        <w:t>2</w:t>
      </w:r>
    </w:p>
    <w:p w14:paraId="60ACCB41" w14:textId="45F85E7B" w:rsidR="00487CAB" w:rsidRDefault="00487CAB" w:rsidP="004E3374">
      <w:pPr>
        <w:tabs>
          <w:tab w:val="right" w:pos="10080"/>
        </w:tabs>
        <w:ind w:left="900"/>
      </w:pPr>
      <w:r>
        <w:t>Condensed Consolidated Statements of Changes in Stockholders’ Equity</w:t>
      </w:r>
    </w:p>
    <w:p w14:paraId="14FC8BBF" w14:textId="5CF6EE07" w:rsidR="00487CAB" w:rsidRPr="000371CC" w:rsidRDefault="00487CAB" w:rsidP="004E3374">
      <w:pPr>
        <w:tabs>
          <w:tab w:val="right" w:pos="10080"/>
        </w:tabs>
        <w:ind w:left="900"/>
      </w:pPr>
      <w:r>
        <w:t xml:space="preserve">   for the three-month periods ended March 31, </w:t>
      </w:r>
      <w:proofErr w:type="gramStart"/>
      <w:r>
        <w:t>20</w:t>
      </w:r>
      <w:r w:rsidR="001F62EC">
        <w:t>2</w:t>
      </w:r>
      <w:r w:rsidR="0051714D">
        <w:t>4</w:t>
      </w:r>
      <w:proofErr w:type="gramEnd"/>
      <w:r>
        <w:t xml:space="preserve"> and 20</w:t>
      </w:r>
      <w:r w:rsidR="00E63149">
        <w:t>2</w:t>
      </w:r>
      <w:r w:rsidR="0051714D">
        <w:t>3</w:t>
      </w:r>
      <w:r>
        <w:t xml:space="preserve"> (unaudited)</w:t>
      </w:r>
      <w:r>
        <w:tab/>
        <w:t>3</w:t>
      </w:r>
    </w:p>
    <w:p w14:paraId="5EC29F91" w14:textId="39820332" w:rsidR="004E3374" w:rsidRDefault="00482106" w:rsidP="004E3374">
      <w:pPr>
        <w:tabs>
          <w:tab w:val="right" w:pos="10080"/>
        </w:tabs>
        <w:ind w:left="900"/>
      </w:pPr>
      <w:r>
        <w:t xml:space="preserve">Condensed </w:t>
      </w:r>
      <w:r w:rsidRPr="000371CC">
        <w:t xml:space="preserve">Consolidated Statements of Cash Flows for the </w:t>
      </w:r>
      <w:r w:rsidR="00E74795">
        <w:t>three</w:t>
      </w:r>
      <w:r w:rsidR="00CC2136">
        <w:t>-</w:t>
      </w:r>
      <w:r w:rsidR="00F758D1">
        <w:t xml:space="preserve">month </w:t>
      </w:r>
      <w:r w:rsidR="00483E00">
        <w:t xml:space="preserve">periods </w:t>
      </w:r>
      <w:proofErr w:type="gramStart"/>
      <w:r w:rsidR="00731D11">
        <w:t>ended</w:t>
      </w:r>
      <w:proofErr w:type="gramEnd"/>
    </w:p>
    <w:p w14:paraId="6B706CF1" w14:textId="49A60CF6" w:rsidR="00482106" w:rsidRPr="000371CC" w:rsidRDefault="004E3374" w:rsidP="004E3374">
      <w:pPr>
        <w:tabs>
          <w:tab w:val="right" w:pos="10080"/>
        </w:tabs>
        <w:ind w:left="900"/>
      </w:pPr>
      <w:r>
        <w:t xml:space="preserve">   </w:t>
      </w:r>
      <w:r w:rsidR="00460775">
        <w:t>March</w:t>
      </w:r>
      <w:r w:rsidR="0063349C">
        <w:t xml:space="preserve"> </w:t>
      </w:r>
      <w:r w:rsidR="00460775">
        <w:t>31</w:t>
      </w:r>
      <w:r w:rsidR="00823D2D">
        <w:t xml:space="preserve">, </w:t>
      </w:r>
      <w:proofErr w:type="gramStart"/>
      <w:r w:rsidR="00460775">
        <w:t>20</w:t>
      </w:r>
      <w:r w:rsidR="001F62EC">
        <w:t>2</w:t>
      </w:r>
      <w:r w:rsidR="0051714D">
        <w:t>4</w:t>
      </w:r>
      <w:proofErr w:type="gramEnd"/>
      <w:r>
        <w:t xml:space="preserve"> </w:t>
      </w:r>
      <w:r w:rsidR="00460775">
        <w:t>and 20</w:t>
      </w:r>
      <w:r w:rsidR="00E63149">
        <w:t>2</w:t>
      </w:r>
      <w:r w:rsidR="0051714D">
        <w:t>3</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72EAD974"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D82903">
        <w:t>9</w:t>
      </w:r>
    </w:p>
    <w:p w14:paraId="04727900" w14:textId="77777777" w:rsidR="00482106" w:rsidRDefault="00482106" w:rsidP="004E3374">
      <w:pPr>
        <w:tabs>
          <w:tab w:val="left" w:pos="900"/>
          <w:tab w:val="right" w:pos="10080"/>
        </w:tabs>
      </w:pPr>
    </w:p>
    <w:p w14:paraId="3698A973" w14:textId="3B56CB28" w:rsidR="00482106" w:rsidRPr="000371CC" w:rsidRDefault="00482106" w:rsidP="004E3374">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417E8A">
        <w:t>5</w:t>
      </w:r>
    </w:p>
    <w:p w14:paraId="19A98050" w14:textId="77777777" w:rsidR="00482106" w:rsidRPr="000371CC" w:rsidRDefault="00482106" w:rsidP="002D1A5A">
      <w:pPr>
        <w:tabs>
          <w:tab w:val="left" w:pos="900"/>
          <w:tab w:val="right" w:pos="10080"/>
        </w:tabs>
      </w:pPr>
    </w:p>
    <w:p w14:paraId="16AC473F" w14:textId="5CE84A9B"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417E8A">
        <w:t>5</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7A23F639"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417E8A">
        <w:t>6</w:t>
      </w:r>
    </w:p>
    <w:p w14:paraId="073F6D6B" w14:textId="77777777" w:rsidR="00482106" w:rsidRPr="000371CC" w:rsidRDefault="00482106" w:rsidP="004E3374">
      <w:pPr>
        <w:tabs>
          <w:tab w:val="left" w:pos="900"/>
          <w:tab w:val="right" w:pos="10200"/>
        </w:tabs>
      </w:pPr>
    </w:p>
    <w:p w14:paraId="27555486" w14:textId="1F4AFBFC"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417E8A">
        <w:t>6</w:t>
      </w:r>
    </w:p>
    <w:p w14:paraId="0F986A6E" w14:textId="77777777" w:rsidR="00482106" w:rsidRPr="000371CC" w:rsidRDefault="00482106" w:rsidP="004E3374">
      <w:pPr>
        <w:tabs>
          <w:tab w:val="left" w:pos="900"/>
          <w:tab w:val="right" w:pos="10080"/>
          <w:tab w:val="right" w:pos="10200"/>
        </w:tabs>
      </w:pPr>
    </w:p>
    <w:p w14:paraId="6537B7F4" w14:textId="2FF27B0C"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417E8A">
        <w:t>6</w:t>
      </w:r>
    </w:p>
    <w:p w14:paraId="2598FC1C" w14:textId="77777777" w:rsidR="00482106" w:rsidRPr="000371CC" w:rsidRDefault="00482106" w:rsidP="004E3374">
      <w:pPr>
        <w:tabs>
          <w:tab w:val="left" w:pos="900"/>
          <w:tab w:val="right" w:pos="10080"/>
          <w:tab w:val="right" w:pos="10200"/>
        </w:tabs>
      </w:pPr>
    </w:p>
    <w:p w14:paraId="790C8A4C" w14:textId="07F7DCD6"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417E8A">
        <w:t>6</w:t>
      </w:r>
    </w:p>
    <w:p w14:paraId="7122746D" w14:textId="77777777" w:rsidR="00BF7DB7" w:rsidRDefault="00BF7DB7" w:rsidP="004E3374">
      <w:pPr>
        <w:tabs>
          <w:tab w:val="left" w:pos="900"/>
          <w:tab w:val="right" w:pos="10080"/>
          <w:tab w:val="right" w:pos="10200"/>
        </w:tabs>
      </w:pPr>
    </w:p>
    <w:p w14:paraId="51D96C50" w14:textId="040B9298"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417E8A">
        <w:t>6</w:t>
      </w:r>
    </w:p>
    <w:p w14:paraId="1D1D1680" w14:textId="77777777" w:rsidR="00482106" w:rsidRPr="000371CC" w:rsidRDefault="00482106" w:rsidP="004E3374">
      <w:pPr>
        <w:tabs>
          <w:tab w:val="left" w:pos="900"/>
          <w:tab w:val="right" w:pos="10080"/>
          <w:tab w:val="right" w:pos="10200"/>
        </w:tabs>
      </w:pPr>
    </w:p>
    <w:p w14:paraId="7FF4F361" w14:textId="63033B72"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417E8A">
        <w:t>6</w:t>
      </w:r>
    </w:p>
    <w:p w14:paraId="7329C9FE" w14:textId="77777777" w:rsidR="00482106" w:rsidRPr="000371CC" w:rsidRDefault="00482106" w:rsidP="004E3374">
      <w:pPr>
        <w:tabs>
          <w:tab w:val="left" w:pos="900"/>
          <w:tab w:val="right" w:pos="10080"/>
          <w:tab w:val="right" w:pos="10200"/>
        </w:tabs>
      </w:pPr>
    </w:p>
    <w:p w14:paraId="25371BEC" w14:textId="0B6356F8"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417E8A">
        <w:t>7</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56C0C83C"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417E8A">
        <w:t>8</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4D94E96E" w:rsidR="001F62EC" w:rsidRPr="00356734" w:rsidRDefault="001F62EC" w:rsidP="001F62EC">
            <w:pPr>
              <w:jc w:val="center"/>
              <w:rPr>
                <w:snapToGrid w:val="0"/>
                <w:color w:val="000000"/>
              </w:rPr>
            </w:pPr>
            <w:r>
              <w:rPr>
                <w:snapToGrid w:val="0"/>
                <w:color w:val="000000"/>
              </w:rPr>
              <w:t>March 31</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7ABA8A7D" w:rsidR="001F62EC" w:rsidRPr="00356734" w:rsidRDefault="001F62EC" w:rsidP="001F62EC">
            <w:pPr>
              <w:jc w:val="center"/>
              <w:rPr>
                <w:snapToGrid w:val="0"/>
                <w:color w:val="000000"/>
              </w:rPr>
            </w:pPr>
            <w:r>
              <w:rPr>
                <w:snapToGrid w:val="0"/>
                <w:color w:val="000000"/>
              </w:rPr>
              <w:t>202</w:t>
            </w:r>
            <w:r w:rsidR="0051714D">
              <w:rPr>
                <w:snapToGrid w:val="0"/>
                <w:color w:val="000000"/>
              </w:rPr>
              <w:t>4</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34C5CD5E" w:rsidR="001F62EC" w:rsidRPr="00356734" w:rsidRDefault="001F62EC" w:rsidP="001F62EC">
            <w:pPr>
              <w:jc w:val="center"/>
              <w:rPr>
                <w:snapToGrid w:val="0"/>
                <w:color w:val="000000"/>
              </w:rPr>
            </w:pPr>
            <w:r w:rsidRPr="00356734">
              <w:rPr>
                <w:snapToGrid w:val="0"/>
                <w:color w:val="000000"/>
              </w:rPr>
              <w:t>20</w:t>
            </w:r>
            <w:r w:rsidR="005E4E22">
              <w:rPr>
                <w:snapToGrid w:val="0"/>
                <w:color w:val="000000"/>
              </w:rPr>
              <w:t>2</w:t>
            </w:r>
            <w:r w:rsidR="0051714D">
              <w:rPr>
                <w:snapToGrid w:val="0"/>
                <w:color w:val="000000"/>
              </w:rPr>
              <w:t>3</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51B8734F"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D03835">
              <w:rPr>
                <w:snapToGrid w:val="0"/>
                <w:color w:val="000000"/>
              </w:rPr>
              <w:t>768,859</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5C77DED1"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r>
            <w:r w:rsidR="0051714D">
              <w:rPr>
                <w:snapToGrid w:val="0"/>
                <w:color w:val="000000"/>
              </w:rPr>
              <w:t>6,452,589</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4D6CF031" w:rsidR="001F62EC" w:rsidRPr="00EB7BF0" w:rsidRDefault="001F62EC" w:rsidP="001F62EC">
            <w:pPr>
              <w:rPr>
                <w:b/>
                <w:snapToGrid w:val="0"/>
                <w:color w:val="000000"/>
              </w:rPr>
            </w:pPr>
            <w:r w:rsidRPr="00374FE3">
              <w:rPr>
                <w:snapToGrid w:val="0"/>
                <w:color w:val="000000"/>
              </w:rPr>
              <w:t>Prepaid expenses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3CBF8C00" w:rsidR="001F62EC" w:rsidRPr="00EB7BF0" w:rsidRDefault="00D03835" w:rsidP="001F62EC">
            <w:pPr>
              <w:tabs>
                <w:tab w:val="decimal" w:pos="1320"/>
              </w:tabs>
              <w:rPr>
                <w:snapToGrid w:val="0"/>
                <w:color w:val="000000"/>
              </w:rPr>
            </w:pPr>
            <w:r>
              <w:rPr>
                <w:snapToGrid w:val="0"/>
                <w:color w:val="000000"/>
              </w:rPr>
              <w:t>2,</w:t>
            </w:r>
            <w:r w:rsidR="00416889">
              <w:rPr>
                <w:snapToGrid w:val="0"/>
                <w:color w:val="000000"/>
              </w:rPr>
              <w:t>093</w:t>
            </w:r>
            <w:r>
              <w:rPr>
                <w:snapToGrid w:val="0"/>
                <w:color w:val="000000"/>
              </w:rPr>
              <w:t>,519</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7AC40150" w:rsidR="001F62EC" w:rsidRPr="00EB7BF0" w:rsidRDefault="0051714D" w:rsidP="001F62EC">
            <w:pPr>
              <w:tabs>
                <w:tab w:val="decimal" w:pos="1500"/>
              </w:tabs>
              <w:rPr>
                <w:snapToGrid w:val="0"/>
                <w:color w:val="000000"/>
              </w:rPr>
            </w:pPr>
            <w:r>
              <w:rPr>
                <w:snapToGrid w:val="0"/>
                <w:color w:val="000000"/>
              </w:rPr>
              <w:t>1,433,153</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05F851C8" w:rsidR="001F62EC" w:rsidRPr="00E74795" w:rsidRDefault="00D03835" w:rsidP="001F62EC">
            <w:pPr>
              <w:tabs>
                <w:tab w:val="decimal" w:pos="1320"/>
              </w:tabs>
              <w:rPr>
                <w:snapToGrid w:val="0"/>
                <w:color w:val="000000"/>
              </w:rPr>
            </w:pPr>
            <w:r>
              <w:rPr>
                <w:snapToGrid w:val="0"/>
                <w:color w:val="000000"/>
              </w:rPr>
              <w:t>2,</w:t>
            </w:r>
            <w:r w:rsidR="00416889">
              <w:rPr>
                <w:snapToGrid w:val="0"/>
                <w:color w:val="000000"/>
              </w:rPr>
              <w:t>862</w:t>
            </w:r>
            <w:r>
              <w:rPr>
                <w:snapToGrid w:val="0"/>
                <w:color w:val="000000"/>
              </w:rPr>
              <w:t>,378</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544A9F6B" w:rsidR="001F62EC" w:rsidRPr="00E74795" w:rsidRDefault="0051714D" w:rsidP="001F62EC">
            <w:pPr>
              <w:tabs>
                <w:tab w:val="decimal" w:pos="1500"/>
              </w:tabs>
              <w:rPr>
                <w:snapToGrid w:val="0"/>
                <w:color w:val="000000"/>
              </w:rPr>
            </w:pPr>
            <w:r>
              <w:rPr>
                <w:snapToGrid w:val="0"/>
                <w:color w:val="000000"/>
              </w:rPr>
              <w:t>7,885,742</w:t>
            </w:r>
          </w:p>
        </w:tc>
      </w:tr>
      <w:tr w:rsidR="001F62EC" w:rsidRPr="00EB7BF0" w14:paraId="71A35CD8" w14:textId="77777777" w:rsidTr="001F62EC">
        <w:trPr>
          <w:trHeight w:hRule="exact" w:val="230"/>
        </w:trPr>
        <w:tc>
          <w:tcPr>
            <w:tcW w:w="6120" w:type="dxa"/>
            <w:gridSpan w:val="3"/>
          </w:tcPr>
          <w:p w14:paraId="6E3EC1EB" w14:textId="62496AD5" w:rsidR="001F62EC" w:rsidRPr="00E74795" w:rsidRDefault="001F62EC" w:rsidP="001F62EC">
            <w:pPr>
              <w:rPr>
                <w:b/>
                <w:snapToGrid w:val="0"/>
                <w:color w:val="000000"/>
              </w:rPr>
            </w:pPr>
            <w:r w:rsidRPr="00374FE3">
              <w:rPr>
                <w:snapToGrid w:val="0"/>
                <w:color w:val="000000"/>
              </w:rPr>
              <w:t>Property and equipment, net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7F4EAA69" w:rsidR="001F62EC" w:rsidRPr="00E74795" w:rsidRDefault="00D03835" w:rsidP="001F62EC">
            <w:pPr>
              <w:tabs>
                <w:tab w:val="decimal" w:pos="1320"/>
              </w:tabs>
              <w:rPr>
                <w:snapToGrid w:val="0"/>
                <w:color w:val="000000"/>
              </w:rPr>
            </w:pPr>
            <w:r>
              <w:rPr>
                <w:snapToGrid w:val="0"/>
                <w:color w:val="000000"/>
              </w:rPr>
              <w:t>190,113</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7B9764A7" w:rsidR="001F62EC" w:rsidRPr="00E74795" w:rsidRDefault="0051714D" w:rsidP="001F62EC">
            <w:pPr>
              <w:tabs>
                <w:tab w:val="decimal" w:pos="1500"/>
              </w:tabs>
              <w:rPr>
                <w:snapToGrid w:val="0"/>
                <w:color w:val="000000"/>
              </w:rPr>
            </w:pPr>
            <w:r>
              <w:rPr>
                <w:snapToGrid w:val="0"/>
                <w:color w:val="000000"/>
              </w:rPr>
              <w:t>209,689</w:t>
            </w:r>
          </w:p>
        </w:tc>
      </w:tr>
      <w:tr w:rsidR="001F62EC" w:rsidRPr="00EB7BF0" w14:paraId="53468FCE" w14:textId="77777777" w:rsidTr="001F62EC">
        <w:trPr>
          <w:trHeight w:hRule="exact" w:val="230"/>
        </w:trPr>
        <w:tc>
          <w:tcPr>
            <w:tcW w:w="6120" w:type="dxa"/>
            <w:gridSpan w:val="3"/>
          </w:tcPr>
          <w:p w14:paraId="232DB5B1" w14:textId="290FC462" w:rsidR="001F62EC" w:rsidRPr="00E74795" w:rsidRDefault="00636763" w:rsidP="001F62EC">
            <w:pPr>
              <w:rPr>
                <w:snapToGrid w:val="0"/>
                <w:color w:val="000000"/>
              </w:rPr>
            </w:pPr>
            <w:r>
              <w:rPr>
                <w:snapToGrid w:val="0"/>
                <w:color w:val="000000"/>
              </w:rPr>
              <w:t>Other assets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0D838654" w:rsidR="001F62EC" w:rsidRPr="00E74795" w:rsidRDefault="00416889" w:rsidP="001F62EC">
            <w:pPr>
              <w:tabs>
                <w:tab w:val="decimal" w:pos="1320"/>
              </w:tabs>
              <w:rPr>
                <w:snapToGrid w:val="0"/>
                <w:color w:val="000000"/>
              </w:rPr>
            </w:pPr>
            <w:r>
              <w:rPr>
                <w:snapToGrid w:val="0"/>
                <w:color w:val="000000"/>
              </w:rPr>
              <w:t>305</w:t>
            </w:r>
            <w:r w:rsidR="00D03835">
              <w:rPr>
                <w:snapToGrid w:val="0"/>
                <w:color w:val="000000"/>
              </w:rPr>
              <w:t>,691</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1C0DFD56" w:rsidR="001F62EC" w:rsidRPr="00E74795" w:rsidRDefault="0051714D" w:rsidP="001F62EC">
            <w:pPr>
              <w:tabs>
                <w:tab w:val="decimal" w:pos="1500"/>
              </w:tabs>
              <w:rPr>
                <w:snapToGrid w:val="0"/>
                <w:color w:val="000000"/>
              </w:rPr>
            </w:pPr>
            <w:r>
              <w:rPr>
                <w:snapToGrid w:val="0"/>
                <w:color w:val="000000"/>
              </w:rPr>
              <w:t>1,187,788</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0699AB23"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D03835">
              <w:rPr>
                <w:snapToGrid w:val="0"/>
                <w:color w:val="000000"/>
              </w:rPr>
              <w:t>3,358,182</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1850EE9A"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1714D">
              <w:rPr>
                <w:snapToGrid w:val="0"/>
                <w:color w:val="000000"/>
              </w:rPr>
              <w:t>9,283,219</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65DFDBB4" w:rsidR="001F62EC" w:rsidRPr="00E74795" w:rsidRDefault="001F62EC" w:rsidP="001F62EC">
            <w:pPr>
              <w:rPr>
                <w:snapToGrid w:val="0"/>
                <w:color w:val="000000"/>
              </w:rPr>
            </w:pPr>
            <w:r w:rsidRPr="00374FE3">
              <w:rPr>
                <w:snapToGrid w:val="0"/>
                <w:color w:val="000000"/>
              </w:rPr>
              <w:t>LIABILITIES AND STOCKHOLDERS’ EQUIT</w:t>
            </w:r>
            <w:r w:rsidR="00B158D9">
              <w:rPr>
                <w:snapToGrid w:val="0"/>
                <w:color w:val="000000"/>
              </w:rPr>
              <w:t>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1686CE8E"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D03835">
              <w:rPr>
                <w:snapToGrid w:val="0"/>
                <w:color w:val="000000"/>
              </w:rPr>
              <w:t>1,883,844</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57765D9E"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51714D">
              <w:rPr>
                <w:snapToGrid w:val="0"/>
                <w:color w:val="000000"/>
              </w:rPr>
              <w:t>2,802,950</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28AF8C15" w:rsidR="001F62EC" w:rsidRPr="00A967B3" w:rsidRDefault="001F62EC" w:rsidP="001F62EC">
            <w:pPr>
              <w:rPr>
                <w:snapToGrid w:val="0"/>
                <w:color w:val="000000"/>
              </w:rPr>
            </w:pPr>
            <w:r w:rsidRPr="00A967B3">
              <w:rPr>
                <w:snapToGrid w:val="0"/>
                <w:color w:val="000000"/>
              </w:rPr>
              <w:t>Accrued expenses</w:t>
            </w:r>
          </w:p>
        </w:tc>
        <w:tc>
          <w:tcPr>
            <w:tcW w:w="90" w:type="dxa"/>
          </w:tcPr>
          <w:p w14:paraId="11C759E6" w14:textId="77777777" w:rsidR="001F62EC" w:rsidRPr="00A967B3" w:rsidRDefault="001F62EC" w:rsidP="001F62EC">
            <w:pPr>
              <w:jc w:val="right"/>
              <w:rPr>
                <w:snapToGrid w:val="0"/>
                <w:color w:val="000000"/>
              </w:rPr>
            </w:pPr>
          </w:p>
        </w:tc>
        <w:tc>
          <w:tcPr>
            <w:tcW w:w="1710" w:type="dxa"/>
          </w:tcPr>
          <w:p w14:paraId="27D090AB" w14:textId="2E33B372" w:rsidR="001F62EC" w:rsidRPr="00A967B3" w:rsidRDefault="00D03835" w:rsidP="001F62EC">
            <w:pPr>
              <w:tabs>
                <w:tab w:val="decimal" w:pos="1320"/>
              </w:tabs>
              <w:rPr>
                <w:snapToGrid w:val="0"/>
                <w:color w:val="000000"/>
              </w:rPr>
            </w:pPr>
            <w:r>
              <w:rPr>
                <w:snapToGrid w:val="0"/>
                <w:color w:val="000000"/>
              </w:rPr>
              <w:t>1,420,063</w:t>
            </w:r>
          </w:p>
        </w:tc>
        <w:tc>
          <w:tcPr>
            <w:tcW w:w="270" w:type="dxa"/>
          </w:tcPr>
          <w:p w14:paraId="074AA7DF" w14:textId="77777777" w:rsidR="001F62EC" w:rsidRPr="00A967B3" w:rsidRDefault="001F62EC" w:rsidP="001F62EC">
            <w:pPr>
              <w:jc w:val="right"/>
              <w:rPr>
                <w:snapToGrid w:val="0"/>
                <w:color w:val="000000"/>
              </w:rPr>
            </w:pPr>
          </w:p>
        </w:tc>
        <w:tc>
          <w:tcPr>
            <w:tcW w:w="1890" w:type="dxa"/>
          </w:tcPr>
          <w:p w14:paraId="5616CEE2" w14:textId="5264CBAD" w:rsidR="001F62EC" w:rsidRPr="00E74795" w:rsidRDefault="0051714D" w:rsidP="001F62EC">
            <w:pPr>
              <w:tabs>
                <w:tab w:val="decimal" w:pos="1500"/>
              </w:tabs>
              <w:rPr>
                <w:snapToGrid w:val="0"/>
                <w:color w:val="000000"/>
              </w:rPr>
            </w:pPr>
            <w:r>
              <w:rPr>
                <w:snapToGrid w:val="0"/>
                <w:color w:val="000000"/>
              </w:rPr>
              <w:t>716,931</w:t>
            </w:r>
          </w:p>
        </w:tc>
      </w:tr>
      <w:tr w:rsidR="001F62EC" w:rsidRPr="00EB7BF0" w14:paraId="6DA53DFF" w14:textId="77777777" w:rsidTr="00662C05">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0799C957" w:rsidR="001F62EC" w:rsidRPr="00E74795" w:rsidRDefault="00D03835" w:rsidP="001F62EC">
            <w:pPr>
              <w:tabs>
                <w:tab w:val="decimal" w:pos="1320"/>
              </w:tabs>
              <w:rPr>
                <w:snapToGrid w:val="0"/>
                <w:color w:val="000000"/>
              </w:rPr>
            </w:pPr>
            <w:r>
              <w:rPr>
                <w:snapToGrid w:val="0"/>
                <w:color w:val="000000"/>
              </w:rPr>
              <w:t>3,303,907</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74B862F3" w:rsidR="001F62EC" w:rsidRPr="00E74795" w:rsidRDefault="0051714D" w:rsidP="001F62EC">
            <w:pPr>
              <w:tabs>
                <w:tab w:val="decimal" w:pos="1500"/>
              </w:tabs>
              <w:rPr>
                <w:snapToGrid w:val="0"/>
                <w:color w:val="000000"/>
              </w:rPr>
            </w:pPr>
            <w:r>
              <w:rPr>
                <w:snapToGrid w:val="0"/>
                <w:color w:val="000000"/>
              </w:rPr>
              <w:t>3,519,881</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748A72B7" w:rsidR="001F62EC" w:rsidRPr="00E74795" w:rsidRDefault="001F62EC" w:rsidP="001F62EC">
            <w:pPr>
              <w:rPr>
                <w:snapToGrid w:val="0"/>
                <w:color w:val="000000"/>
              </w:rPr>
            </w:pPr>
            <w:r w:rsidRPr="00DD73A5">
              <w:rPr>
                <w:snapToGrid w:val="0"/>
                <w:color w:val="000000"/>
              </w:rPr>
              <w:t xml:space="preserve">Commitments (Note </w:t>
            </w:r>
            <w:r w:rsidR="00DD73A5" w:rsidRPr="00DD73A5">
              <w:rPr>
                <w:snapToGrid w:val="0"/>
                <w:color w:val="000000"/>
              </w:rPr>
              <w:t>4</w:t>
            </w:r>
            <w:r w:rsidRPr="00DD73A5">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00120E0" w:rsidR="001F62EC" w:rsidRPr="00E74795" w:rsidRDefault="001F62EC" w:rsidP="001F62EC">
            <w:pPr>
              <w:rPr>
                <w:snapToGrid w:val="0"/>
                <w:color w:val="000000"/>
              </w:rPr>
            </w:pPr>
            <w:r w:rsidRPr="00374FE3">
              <w:rPr>
                <w:snapToGrid w:val="0"/>
                <w:color w:val="000000"/>
              </w:rPr>
              <w:t>Stockholders’ equity: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7"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57692FC3" w:rsidR="001F62EC" w:rsidRDefault="001F62EC" w:rsidP="001F62EC">
            <w:pPr>
              <w:tabs>
                <w:tab w:val="left" w:pos="203"/>
              </w:tabs>
              <w:rPr>
                <w:snapToGrid w:val="0"/>
                <w:color w:val="000000"/>
              </w:rPr>
            </w:pPr>
            <w:r w:rsidRPr="00374FE3">
              <w:rPr>
                <w:snapToGrid w:val="0"/>
                <w:color w:val="000000"/>
              </w:rPr>
              <w:t xml:space="preserve">Authorized shares – </w:t>
            </w:r>
            <w:r w:rsidR="0051714D">
              <w:rPr>
                <w:snapToGrid w:val="0"/>
                <w:color w:val="000000"/>
              </w:rPr>
              <w:t>150</w:t>
            </w:r>
            <w:r w:rsidRPr="00374FE3">
              <w:rPr>
                <w:snapToGrid w:val="0"/>
                <w:color w:val="000000"/>
              </w:rPr>
              <w:t>,000,000</w:t>
            </w:r>
            <w:r w:rsidR="002A0FA6">
              <w:rPr>
                <w:snapToGrid w:val="0"/>
                <w:color w:val="000000"/>
              </w:rPr>
              <w:t xml:space="preserve"> and 600,000,000 at</w:t>
            </w:r>
          </w:p>
          <w:p w14:paraId="35C5C575" w14:textId="77777777" w:rsidR="002A0FA6" w:rsidRDefault="002A0FA6" w:rsidP="001F62EC">
            <w:pPr>
              <w:tabs>
                <w:tab w:val="left" w:pos="203"/>
              </w:tabs>
              <w:rPr>
                <w:snapToGrid w:val="0"/>
                <w:color w:val="000000"/>
              </w:rPr>
            </w:pPr>
          </w:p>
          <w:p w14:paraId="1324ED39" w14:textId="77777777" w:rsidR="002A0FA6" w:rsidRPr="00374FE3" w:rsidRDefault="002A0FA6" w:rsidP="001F62EC">
            <w:pPr>
              <w:tabs>
                <w:tab w:val="left" w:pos="203"/>
              </w:tabs>
              <w:rPr>
                <w:snapToGrid w:val="0"/>
                <w:color w:val="000000"/>
              </w:rPr>
            </w:pP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2A0FA6" w:rsidRPr="00EB7BF0" w14:paraId="1907D2BF" w14:textId="77777777" w:rsidTr="001F62EC">
        <w:trPr>
          <w:trHeight w:hRule="exact" w:val="230"/>
        </w:trPr>
        <w:tc>
          <w:tcPr>
            <w:tcW w:w="305" w:type="dxa"/>
          </w:tcPr>
          <w:p w14:paraId="2194AA0C" w14:textId="77777777" w:rsidR="002A0FA6" w:rsidRPr="00EB7BF0" w:rsidRDefault="002A0FA6" w:rsidP="001F62EC">
            <w:pPr>
              <w:jc w:val="right"/>
              <w:rPr>
                <w:snapToGrid w:val="0"/>
                <w:color w:val="000000"/>
              </w:rPr>
            </w:pPr>
          </w:p>
        </w:tc>
        <w:tc>
          <w:tcPr>
            <w:tcW w:w="302" w:type="dxa"/>
          </w:tcPr>
          <w:p w14:paraId="5F4C4FC5" w14:textId="77777777" w:rsidR="002A0FA6" w:rsidRPr="00EB7BF0" w:rsidRDefault="002A0FA6" w:rsidP="001F62EC">
            <w:pPr>
              <w:jc w:val="right"/>
              <w:rPr>
                <w:snapToGrid w:val="0"/>
                <w:color w:val="000000"/>
              </w:rPr>
            </w:pPr>
          </w:p>
        </w:tc>
        <w:tc>
          <w:tcPr>
            <w:tcW w:w="5513" w:type="dxa"/>
          </w:tcPr>
          <w:p w14:paraId="0D9D285D" w14:textId="2CE35BDF" w:rsidR="002A0FA6" w:rsidRPr="00374FE3" w:rsidRDefault="002A0FA6" w:rsidP="001F62EC">
            <w:pPr>
              <w:tabs>
                <w:tab w:val="left" w:pos="203"/>
              </w:tabs>
              <w:rPr>
                <w:snapToGrid w:val="0"/>
                <w:color w:val="000000"/>
              </w:rPr>
            </w:pPr>
            <w:r>
              <w:rPr>
                <w:snapToGrid w:val="0"/>
                <w:color w:val="000000"/>
              </w:rPr>
              <w:tab/>
              <w:t xml:space="preserve">March 31, </w:t>
            </w:r>
            <w:proofErr w:type="gramStart"/>
            <w:r>
              <w:rPr>
                <w:snapToGrid w:val="0"/>
                <w:color w:val="000000"/>
              </w:rPr>
              <w:t>2024</w:t>
            </w:r>
            <w:proofErr w:type="gramEnd"/>
            <w:r>
              <w:rPr>
                <w:snapToGrid w:val="0"/>
                <w:color w:val="000000"/>
              </w:rPr>
              <w:t xml:space="preserve"> and December 31, 2023, respectively</w:t>
            </w:r>
          </w:p>
        </w:tc>
        <w:tc>
          <w:tcPr>
            <w:tcW w:w="90" w:type="dxa"/>
          </w:tcPr>
          <w:p w14:paraId="61222B8F" w14:textId="77777777" w:rsidR="002A0FA6" w:rsidRPr="00E74795" w:rsidRDefault="002A0FA6" w:rsidP="001F62EC">
            <w:pPr>
              <w:jc w:val="right"/>
              <w:rPr>
                <w:snapToGrid w:val="0"/>
                <w:color w:val="000000"/>
              </w:rPr>
            </w:pPr>
          </w:p>
        </w:tc>
        <w:tc>
          <w:tcPr>
            <w:tcW w:w="1710" w:type="dxa"/>
          </w:tcPr>
          <w:p w14:paraId="76EDFA7E" w14:textId="77777777" w:rsidR="002A0FA6" w:rsidRPr="00E74795" w:rsidRDefault="002A0FA6" w:rsidP="001F62EC">
            <w:pPr>
              <w:tabs>
                <w:tab w:val="decimal" w:pos="1320"/>
              </w:tabs>
              <w:jc w:val="right"/>
              <w:rPr>
                <w:snapToGrid w:val="0"/>
                <w:color w:val="000000"/>
              </w:rPr>
            </w:pPr>
          </w:p>
        </w:tc>
        <w:tc>
          <w:tcPr>
            <w:tcW w:w="270" w:type="dxa"/>
          </w:tcPr>
          <w:p w14:paraId="22AFA30B" w14:textId="77777777" w:rsidR="002A0FA6" w:rsidRPr="00E74795" w:rsidRDefault="002A0FA6" w:rsidP="001F62EC">
            <w:pPr>
              <w:jc w:val="right"/>
              <w:rPr>
                <w:snapToGrid w:val="0"/>
                <w:color w:val="000000"/>
              </w:rPr>
            </w:pPr>
          </w:p>
        </w:tc>
        <w:tc>
          <w:tcPr>
            <w:tcW w:w="1890" w:type="dxa"/>
          </w:tcPr>
          <w:p w14:paraId="470EACCB" w14:textId="77777777" w:rsidR="002A0FA6" w:rsidRPr="00E74795" w:rsidRDefault="002A0FA6"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0E44A5CD"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2A0FA6">
              <w:rPr>
                <w:snapToGrid w:val="0"/>
                <w:color w:val="000000"/>
              </w:rPr>
              <w:t>2,308,309</w:t>
            </w:r>
            <w:r w:rsidR="005213AC">
              <w:rPr>
                <w:snapToGrid w:val="0"/>
                <w:color w:val="000000"/>
              </w:rPr>
              <w:t xml:space="preserve"> </w:t>
            </w:r>
            <w:r w:rsidRPr="00374FE3">
              <w:rPr>
                <w:snapToGrid w:val="0"/>
                <w:color w:val="000000"/>
              </w:rPr>
              <w:t xml:space="preserve">and </w:t>
            </w:r>
            <w:r w:rsidR="0051714D">
              <w:rPr>
                <w:snapToGrid w:val="0"/>
                <w:color w:val="000000"/>
              </w:rPr>
              <w:t>1,977,152</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1EB283BE" w:rsidR="001F62EC" w:rsidRPr="00E74795" w:rsidRDefault="001F62EC" w:rsidP="001F62EC">
            <w:pPr>
              <w:tabs>
                <w:tab w:val="left" w:pos="203"/>
              </w:tabs>
              <w:rPr>
                <w:snapToGrid w:val="0"/>
                <w:color w:val="000000"/>
              </w:rPr>
            </w:pPr>
            <w:r w:rsidRPr="00374FE3">
              <w:rPr>
                <w:snapToGrid w:val="0"/>
                <w:color w:val="000000"/>
              </w:rPr>
              <w:tab/>
            </w:r>
            <w:r w:rsidR="004F479E">
              <w:rPr>
                <w:snapToGrid w:val="0"/>
                <w:color w:val="000000"/>
              </w:rPr>
              <w:t>March</w:t>
            </w:r>
            <w:r w:rsidRPr="00374FE3">
              <w:rPr>
                <w:snapToGrid w:val="0"/>
                <w:color w:val="000000"/>
              </w:rPr>
              <w:t xml:space="preserve"> 3</w:t>
            </w:r>
            <w:r w:rsidR="004F479E">
              <w:rPr>
                <w:snapToGrid w:val="0"/>
                <w:color w:val="000000"/>
              </w:rPr>
              <w:t>1</w:t>
            </w:r>
            <w:r w:rsidRPr="00374FE3">
              <w:rPr>
                <w:snapToGrid w:val="0"/>
                <w:color w:val="000000"/>
              </w:rPr>
              <w:t xml:space="preserve">, </w:t>
            </w:r>
            <w:proofErr w:type="gramStart"/>
            <w:r w:rsidRPr="00374FE3">
              <w:rPr>
                <w:snapToGrid w:val="0"/>
                <w:color w:val="000000"/>
              </w:rPr>
              <w:t>20</w:t>
            </w:r>
            <w:r w:rsidR="004F479E">
              <w:rPr>
                <w:snapToGrid w:val="0"/>
                <w:color w:val="000000"/>
              </w:rPr>
              <w:t>2</w:t>
            </w:r>
            <w:r w:rsidR="0051714D">
              <w:rPr>
                <w:snapToGrid w:val="0"/>
                <w:color w:val="000000"/>
              </w:rPr>
              <w:t>4</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sidR="00B158D9">
              <w:rPr>
                <w:snapToGrid w:val="0"/>
                <w:color w:val="000000"/>
              </w:rPr>
              <w:t>2</w:t>
            </w:r>
            <w:r w:rsidR="0051714D">
              <w:rPr>
                <w:snapToGrid w:val="0"/>
                <w:color w:val="000000"/>
              </w:rPr>
              <w:t>3</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0A7CEBCF" w:rsidR="001F62EC" w:rsidRPr="00E74795" w:rsidRDefault="00D03835" w:rsidP="001F62EC">
            <w:pPr>
              <w:tabs>
                <w:tab w:val="decimal" w:pos="1320"/>
              </w:tabs>
              <w:rPr>
                <w:snapToGrid w:val="0"/>
                <w:color w:val="000000"/>
              </w:rPr>
            </w:pPr>
            <w:r>
              <w:rPr>
                <w:snapToGrid w:val="0"/>
                <w:color w:val="000000"/>
              </w:rPr>
              <w:t>2,308</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464BB8EF" w:rsidR="001F62EC" w:rsidRPr="00E74795" w:rsidRDefault="0051714D" w:rsidP="001F62EC">
            <w:pPr>
              <w:tabs>
                <w:tab w:val="decimal" w:pos="1500"/>
              </w:tabs>
              <w:rPr>
                <w:snapToGrid w:val="0"/>
                <w:color w:val="000000"/>
              </w:rPr>
            </w:pPr>
            <w:r>
              <w:rPr>
                <w:snapToGrid w:val="0"/>
                <w:color w:val="000000"/>
              </w:rPr>
              <w:t>1,977</w:t>
            </w:r>
          </w:p>
        </w:tc>
      </w:tr>
      <w:bookmarkEnd w:id="7"/>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34D5D122" w:rsidR="001F62EC" w:rsidRPr="00E74795" w:rsidRDefault="00D03835" w:rsidP="001F62EC">
            <w:pPr>
              <w:tabs>
                <w:tab w:val="decimal" w:pos="1320"/>
              </w:tabs>
              <w:rPr>
                <w:snapToGrid w:val="0"/>
                <w:color w:val="000000"/>
              </w:rPr>
            </w:pPr>
            <w:r>
              <w:rPr>
                <w:snapToGrid w:val="0"/>
                <w:color w:val="000000"/>
              </w:rPr>
              <w:t>110,265,884</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06A2B6DE" w:rsidR="001F62EC" w:rsidRPr="00E74795" w:rsidRDefault="0051714D" w:rsidP="001F62EC">
            <w:pPr>
              <w:tabs>
                <w:tab w:val="decimal" w:pos="1500"/>
              </w:tabs>
              <w:rPr>
                <w:snapToGrid w:val="0"/>
                <w:color w:val="000000"/>
              </w:rPr>
            </w:pPr>
            <w:r>
              <w:rPr>
                <w:snapToGrid w:val="0"/>
                <w:color w:val="000000"/>
              </w:rPr>
              <w:t>110,125,146</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6676EF75" w:rsidR="001F62EC" w:rsidRPr="00E74795" w:rsidRDefault="00D03835" w:rsidP="001F62EC">
            <w:pPr>
              <w:tabs>
                <w:tab w:val="decimal" w:pos="1320"/>
              </w:tabs>
              <w:rPr>
                <w:snapToGrid w:val="0"/>
                <w:color w:val="000000"/>
              </w:rPr>
            </w:pPr>
            <w:r>
              <w:rPr>
                <w:snapToGrid w:val="0"/>
                <w:color w:val="000000"/>
              </w:rPr>
              <w:t>(110,213,917)</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5088CF06" w:rsidR="001F62EC" w:rsidRPr="00E74795" w:rsidRDefault="001F62EC" w:rsidP="001F62EC">
            <w:pPr>
              <w:tabs>
                <w:tab w:val="decimal" w:pos="1500"/>
              </w:tabs>
              <w:rPr>
                <w:snapToGrid w:val="0"/>
                <w:color w:val="000000"/>
              </w:rPr>
            </w:pPr>
            <w:r w:rsidRPr="00E74795">
              <w:rPr>
                <w:snapToGrid w:val="0"/>
                <w:color w:val="000000"/>
              </w:rPr>
              <w:t>(</w:t>
            </w:r>
            <w:r w:rsidR="0051714D">
              <w:rPr>
                <w:snapToGrid w:val="0"/>
                <w:color w:val="000000"/>
              </w:rPr>
              <w:t>104,363,785</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633A93EE" w:rsidR="001F62EC" w:rsidRPr="00E74795" w:rsidRDefault="001F62EC" w:rsidP="001F62EC">
            <w:pPr>
              <w:rPr>
                <w:snapToGrid w:val="0"/>
                <w:color w:val="000000"/>
              </w:rPr>
            </w:pPr>
            <w:r w:rsidRPr="00374FE3">
              <w:rPr>
                <w:snapToGrid w:val="0"/>
                <w:color w:val="000000"/>
              </w:rPr>
              <w:t>Total stockholders’ equity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699A4B4B" w:rsidR="001F62EC" w:rsidRPr="00E74795" w:rsidRDefault="00D03835" w:rsidP="001F62EC">
            <w:pPr>
              <w:tabs>
                <w:tab w:val="decimal" w:pos="1320"/>
              </w:tabs>
              <w:rPr>
                <w:snapToGrid w:val="0"/>
                <w:color w:val="000000"/>
              </w:rPr>
            </w:pPr>
            <w:r>
              <w:rPr>
                <w:snapToGrid w:val="0"/>
                <w:color w:val="000000"/>
              </w:rPr>
              <w:t>54,275</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68F6F64E" w:rsidR="001F62EC" w:rsidRPr="00E74795" w:rsidRDefault="0051714D" w:rsidP="001F62EC">
            <w:pPr>
              <w:tabs>
                <w:tab w:val="decimal" w:pos="1500"/>
              </w:tabs>
              <w:rPr>
                <w:snapToGrid w:val="0"/>
                <w:color w:val="000000"/>
              </w:rPr>
            </w:pPr>
            <w:r>
              <w:rPr>
                <w:snapToGrid w:val="0"/>
                <w:color w:val="000000"/>
              </w:rPr>
              <w:t>5,763,338</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77777777"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51714D">
            <w:pPr>
              <w:tabs>
                <w:tab w:val="decimal" w:pos="1195"/>
              </w:tabs>
              <w:jc w:val="center"/>
              <w:rPr>
                <w:snapToGrid w:val="0"/>
                <w:color w:val="000000"/>
              </w:rPr>
            </w:pPr>
          </w:p>
        </w:tc>
      </w:tr>
      <w:tr w:rsidR="001F62EC" w:rsidRPr="00EB7BF0" w14:paraId="54C27C2A" w14:textId="77777777" w:rsidTr="001F62EC">
        <w:trPr>
          <w:trHeight w:hRule="exact" w:val="230"/>
        </w:trPr>
        <w:tc>
          <w:tcPr>
            <w:tcW w:w="6120" w:type="dxa"/>
            <w:gridSpan w:val="3"/>
          </w:tcPr>
          <w:p w14:paraId="65218BCA" w14:textId="540281E0" w:rsidR="001F62EC" w:rsidRPr="00E74795" w:rsidRDefault="001F62EC" w:rsidP="001F62EC">
            <w:pPr>
              <w:rPr>
                <w:snapToGrid w:val="0"/>
                <w:color w:val="000000"/>
              </w:rPr>
            </w:pPr>
            <w:r w:rsidRPr="00374FE3">
              <w:rPr>
                <w:snapToGrid w:val="0"/>
                <w:color w:val="000000"/>
              </w:rPr>
              <w:t>Total liabilities and stockholders’ equity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764195A4"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D03835">
              <w:rPr>
                <w:snapToGrid w:val="0"/>
                <w:color w:val="000000"/>
              </w:rPr>
              <w:t>3,358,182</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53A4D756"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1714D">
              <w:rPr>
                <w:snapToGrid w:val="0"/>
                <w:color w:val="000000"/>
              </w:rPr>
              <w:t>9,283,219</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50E34125" w14:textId="77777777" w:rsidR="00F06223" w:rsidRDefault="00F06223" w:rsidP="00315051">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5"/>
        <w:gridCol w:w="448"/>
        <w:gridCol w:w="448"/>
        <w:gridCol w:w="1960"/>
        <w:gridCol w:w="537"/>
        <w:gridCol w:w="537"/>
        <w:gridCol w:w="1960"/>
        <w:gridCol w:w="1782"/>
        <w:gridCol w:w="359"/>
        <w:gridCol w:w="1782"/>
      </w:tblGrid>
      <w:tr w:rsidR="006E7CF8" w:rsidRPr="00212F30" w14:paraId="102F99F3" w14:textId="77777777" w:rsidTr="006B43A2">
        <w:trPr>
          <w:trHeight w:val="230"/>
        </w:trPr>
        <w:tc>
          <w:tcPr>
            <w:tcW w:w="3231" w:type="dxa"/>
            <w:gridSpan w:val="4"/>
          </w:tcPr>
          <w:p w14:paraId="07515402" w14:textId="77777777" w:rsidR="006E7CF8" w:rsidRDefault="006E7CF8" w:rsidP="006B43A2">
            <w:pPr>
              <w:tabs>
                <w:tab w:val="right" w:pos="9180"/>
              </w:tabs>
              <w:ind w:right="-360"/>
            </w:pPr>
          </w:p>
        </w:tc>
        <w:tc>
          <w:tcPr>
            <w:tcW w:w="537" w:type="dxa"/>
          </w:tcPr>
          <w:p w14:paraId="561097E8" w14:textId="77777777" w:rsidR="006E7CF8" w:rsidRPr="00212F30" w:rsidRDefault="006E7CF8" w:rsidP="006B43A2">
            <w:pPr>
              <w:tabs>
                <w:tab w:val="right" w:pos="9180"/>
              </w:tabs>
              <w:ind w:right="-18"/>
            </w:pPr>
          </w:p>
        </w:tc>
        <w:tc>
          <w:tcPr>
            <w:tcW w:w="537" w:type="dxa"/>
          </w:tcPr>
          <w:p w14:paraId="55A08E8C" w14:textId="77777777" w:rsidR="006E7CF8" w:rsidRPr="00212F30" w:rsidRDefault="006E7CF8" w:rsidP="006B43A2">
            <w:pPr>
              <w:tabs>
                <w:tab w:val="right" w:pos="9180"/>
              </w:tabs>
              <w:ind w:right="-360"/>
            </w:pPr>
          </w:p>
        </w:tc>
        <w:tc>
          <w:tcPr>
            <w:tcW w:w="1960" w:type="dxa"/>
          </w:tcPr>
          <w:p w14:paraId="0B8986F3" w14:textId="77777777" w:rsidR="006E7CF8" w:rsidRPr="00212F30" w:rsidRDefault="006E7CF8" w:rsidP="006B43A2">
            <w:pPr>
              <w:tabs>
                <w:tab w:val="right" w:pos="9180"/>
              </w:tabs>
              <w:ind w:right="-360"/>
            </w:pPr>
          </w:p>
        </w:tc>
        <w:tc>
          <w:tcPr>
            <w:tcW w:w="1782" w:type="dxa"/>
          </w:tcPr>
          <w:p w14:paraId="360AD5F2" w14:textId="77777777" w:rsidR="006E7CF8" w:rsidRDefault="006E7CF8" w:rsidP="006B43A2">
            <w:pPr>
              <w:tabs>
                <w:tab w:val="decimal" w:pos="1295"/>
                <w:tab w:val="right" w:pos="9180"/>
              </w:tabs>
              <w:ind w:right="-18"/>
            </w:pPr>
          </w:p>
        </w:tc>
        <w:tc>
          <w:tcPr>
            <w:tcW w:w="359" w:type="dxa"/>
          </w:tcPr>
          <w:p w14:paraId="58BE6B32" w14:textId="77777777" w:rsidR="006E7CF8" w:rsidRPr="00212F30" w:rsidRDefault="006E7CF8" w:rsidP="006B43A2">
            <w:pPr>
              <w:tabs>
                <w:tab w:val="right" w:pos="9180"/>
              </w:tabs>
              <w:ind w:right="-360"/>
            </w:pPr>
          </w:p>
        </w:tc>
        <w:tc>
          <w:tcPr>
            <w:tcW w:w="1782" w:type="dxa"/>
          </w:tcPr>
          <w:p w14:paraId="1C23458B" w14:textId="77777777" w:rsidR="006E7CF8" w:rsidRDefault="006E7CF8" w:rsidP="006B43A2">
            <w:pPr>
              <w:tabs>
                <w:tab w:val="decimal" w:pos="1314"/>
                <w:tab w:val="right" w:pos="9180"/>
              </w:tabs>
              <w:ind w:right="-18"/>
            </w:pPr>
          </w:p>
        </w:tc>
      </w:tr>
      <w:tr w:rsidR="006E7CF8" w:rsidRPr="00212F30" w14:paraId="122E0A93" w14:textId="77777777" w:rsidTr="006B43A2">
        <w:trPr>
          <w:trHeight w:val="230"/>
        </w:trPr>
        <w:tc>
          <w:tcPr>
            <w:tcW w:w="3231" w:type="dxa"/>
            <w:gridSpan w:val="4"/>
          </w:tcPr>
          <w:p w14:paraId="0D31B873" w14:textId="77777777" w:rsidR="006E7CF8" w:rsidRDefault="006E7CF8" w:rsidP="006B43A2">
            <w:pPr>
              <w:tabs>
                <w:tab w:val="right" w:pos="9180"/>
              </w:tabs>
              <w:ind w:right="-360"/>
            </w:pPr>
          </w:p>
        </w:tc>
        <w:tc>
          <w:tcPr>
            <w:tcW w:w="537" w:type="dxa"/>
          </w:tcPr>
          <w:p w14:paraId="477DDDF5" w14:textId="77777777" w:rsidR="006E7CF8" w:rsidRPr="00212F30" w:rsidRDefault="006E7CF8" w:rsidP="006B43A2">
            <w:pPr>
              <w:tabs>
                <w:tab w:val="right" w:pos="9180"/>
              </w:tabs>
              <w:ind w:right="-18"/>
            </w:pPr>
          </w:p>
        </w:tc>
        <w:tc>
          <w:tcPr>
            <w:tcW w:w="537" w:type="dxa"/>
          </w:tcPr>
          <w:p w14:paraId="42B8D319" w14:textId="77777777" w:rsidR="006E7CF8" w:rsidRPr="00212F30" w:rsidRDefault="006E7CF8" w:rsidP="006B43A2">
            <w:pPr>
              <w:tabs>
                <w:tab w:val="right" w:pos="9180"/>
              </w:tabs>
              <w:ind w:right="-360"/>
            </w:pPr>
          </w:p>
        </w:tc>
        <w:tc>
          <w:tcPr>
            <w:tcW w:w="1960" w:type="dxa"/>
          </w:tcPr>
          <w:p w14:paraId="478750C8" w14:textId="77777777" w:rsidR="006E7CF8" w:rsidRPr="00212F30" w:rsidRDefault="006E7CF8" w:rsidP="006B43A2">
            <w:pPr>
              <w:tabs>
                <w:tab w:val="right" w:pos="9180"/>
              </w:tabs>
              <w:ind w:right="-360"/>
            </w:pPr>
          </w:p>
        </w:tc>
        <w:tc>
          <w:tcPr>
            <w:tcW w:w="3923" w:type="dxa"/>
            <w:gridSpan w:val="3"/>
            <w:tcBorders>
              <w:bottom w:val="single" w:sz="4" w:space="0" w:color="auto"/>
            </w:tcBorders>
          </w:tcPr>
          <w:p w14:paraId="2D32D54F" w14:textId="77777777" w:rsidR="006E7CF8" w:rsidRDefault="006E7CF8" w:rsidP="006B43A2">
            <w:pPr>
              <w:tabs>
                <w:tab w:val="decimal" w:pos="1314"/>
                <w:tab w:val="right" w:pos="9180"/>
              </w:tabs>
              <w:ind w:right="-18"/>
              <w:jc w:val="center"/>
            </w:pPr>
            <w:r>
              <w:t>Three Months Ended March 31,</w:t>
            </w:r>
          </w:p>
        </w:tc>
      </w:tr>
      <w:tr w:rsidR="006E7CF8" w:rsidRPr="00212F30" w14:paraId="1F512AE9" w14:textId="77777777" w:rsidTr="006B43A2">
        <w:trPr>
          <w:trHeight w:val="230"/>
        </w:trPr>
        <w:tc>
          <w:tcPr>
            <w:tcW w:w="3231" w:type="dxa"/>
            <w:gridSpan w:val="4"/>
          </w:tcPr>
          <w:p w14:paraId="0B5858D6" w14:textId="77777777" w:rsidR="006E7CF8" w:rsidRDefault="006E7CF8" w:rsidP="006B43A2">
            <w:pPr>
              <w:tabs>
                <w:tab w:val="right" w:pos="9180"/>
              </w:tabs>
              <w:ind w:right="-360"/>
            </w:pPr>
          </w:p>
        </w:tc>
        <w:tc>
          <w:tcPr>
            <w:tcW w:w="537" w:type="dxa"/>
          </w:tcPr>
          <w:p w14:paraId="5754BC65" w14:textId="77777777" w:rsidR="006E7CF8" w:rsidRPr="00212F30" w:rsidRDefault="006E7CF8" w:rsidP="006B43A2">
            <w:pPr>
              <w:tabs>
                <w:tab w:val="right" w:pos="9180"/>
              </w:tabs>
              <w:ind w:right="-18"/>
            </w:pPr>
          </w:p>
        </w:tc>
        <w:tc>
          <w:tcPr>
            <w:tcW w:w="537" w:type="dxa"/>
          </w:tcPr>
          <w:p w14:paraId="68CC4070" w14:textId="77777777" w:rsidR="006E7CF8" w:rsidRPr="00212F30" w:rsidRDefault="006E7CF8" w:rsidP="006B43A2">
            <w:pPr>
              <w:tabs>
                <w:tab w:val="right" w:pos="9180"/>
              </w:tabs>
              <w:ind w:right="-360"/>
            </w:pPr>
          </w:p>
        </w:tc>
        <w:tc>
          <w:tcPr>
            <w:tcW w:w="1960" w:type="dxa"/>
          </w:tcPr>
          <w:p w14:paraId="7ED0E90B" w14:textId="77777777" w:rsidR="006E7CF8" w:rsidRPr="00212F30" w:rsidRDefault="006E7CF8" w:rsidP="006B43A2">
            <w:pPr>
              <w:tabs>
                <w:tab w:val="right" w:pos="9180"/>
              </w:tabs>
              <w:ind w:right="-360"/>
            </w:pPr>
          </w:p>
        </w:tc>
        <w:tc>
          <w:tcPr>
            <w:tcW w:w="1782" w:type="dxa"/>
            <w:tcBorders>
              <w:top w:val="single" w:sz="4" w:space="0" w:color="auto"/>
              <w:bottom w:val="single" w:sz="4" w:space="0" w:color="auto"/>
            </w:tcBorders>
          </w:tcPr>
          <w:p w14:paraId="2F893B77" w14:textId="67BF0464" w:rsidR="006E7CF8" w:rsidRDefault="006E7CF8" w:rsidP="006B43A2">
            <w:pPr>
              <w:tabs>
                <w:tab w:val="decimal" w:pos="1295"/>
                <w:tab w:val="right" w:pos="9180"/>
              </w:tabs>
              <w:ind w:right="-18"/>
              <w:jc w:val="center"/>
            </w:pPr>
            <w:r>
              <w:t>20</w:t>
            </w:r>
            <w:r w:rsidR="004F479E">
              <w:t>2</w:t>
            </w:r>
            <w:r w:rsidR="0051714D">
              <w:t>4</w:t>
            </w:r>
          </w:p>
        </w:tc>
        <w:tc>
          <w:tcPr>
            <w:tcW w:w="359" w:type="dxa"/>
            <w:tcBorders>
              <w:top w:val="single" w:sz="4" w:space="0" w:color="auto"/>
            </w:tcBorders>
          </w:tcPr>
          <w:p w14:paraId="3EBB106F" w14:textId="77777777" w:rsidR="006E7CF8" w:rsidRPr="00212F30" w:rsidRDefault="006E7CF8" w:rsidP="006B43A2">
            <w:pPr>
              <w:tabs>
                <w:tab w:val="right" w:pos="9180"/>
              </w:tabs>
              <w:ind w:right="-360"/>
              <w:jc w:val="center"/>
            </w:pPr>
          </w:p>
        </w:tc>
        <w:tc>
          <w:tcPr>
            <w:tcW w:w="1782" w:type="dxa"/>
            <w:tcBorders>
              <w:top w:val="single" w:sz="4" w:space="0" w:color="auto"/>
              <w:bottom w:val="single" w:sz="4" w:space="0" w:color="auto"/>
            </w:tcBorders>
          </w:tcPr>
          <w:p w14:paraId="297241C0" w14:textId="43C43807" w:rsidR="006E7CF8" w:rsidRDefault="006E7CF8" w:rsidP="006B43A2">
            <w:pPr>
              <w:tabs>
                <w:tab w:val="decimal" w:pos="1314"/>
                <w:tab w:val="right" w:pos="9180"/>
              </w:tabs>
              <w:ind w:right="-18"/>
              <w:jc w:val="center"/>
            </w:pPr>
            <w:r>
              <w:t>20</w:t>
            </w:r>
            <w:r w:rsidR="00B158D9">
              <w:t>2</w:t>
            </w:r>
            <w:r w:rsidR="0051714D">
              <w:t>3</w:t>
            </w:r>
          </w:p>
        </w:tc>
      </w:tr>
      <w:tr w:rsidR="006E7CF8" w:rsidRPr="00212F30" w14:paraId="3DAF7AEA" w14:textId="77777777" w:rsidTr="006B43A2">
        <w:trPr>
          <w:trHeight w:val="230"/>
        </w:trPr>
        <w:tc>
          <w:tcPr>
            <w:tcW w:w="3231" w:type="dxa"/>
            <w:gridSpan w:val="4"/>
          </w:tcPr>
          <w:p w14:paraId="24E90ADC" w14:textId="77777777" w:rsidR="006E7CF8" w:rsidRPr="00212F30" w:rsidRDefault="006E7CF8" w:rsidP="006B43A2">
            <w:pPr>
              <w:tabs>
                <w:tab w:val="right" w:pos="9180"/>
              </w:tabs>
              <w:ind w:right="-360"/>
            </w:pPr>
            <w:r w:rsidRPr="00212F30">
              <w:t>Operating expenses:</w:t>
            </w:r>
          </w:p>
        </w:tc>
        <w:tc>
          <w:tcPr>
            <w:tcW w:w="537" w:type="dxa"/>
          </w:tcPr>
          <w:p w14:paraId="1B524F33" w14:textId="77777777" w:rsidR="006E7CF8" w:rsidRPr="00212F30" w:rsidRDefault="006E7CF8" w:rsidP="006B43A2">
            <w:pPr>
              <w:tabs>
                <w:tab w:val="right" w:pos="9180"/>
              </w:tabs>
              <w:ind w:right="-18"/>
            </w:pPr>
          </w:p>
        </w:tc>
        <w:tc>
          <w:tcPr>
            <w:tcW w:w="537" w:type="dxa"/>
          </w:tcPr>
          <w:p w14:paraId="3FB510A0" w14:textId="77777777" w:rsidR="006E7CF8" w:rsidRPr="00212F30" w:rsidRDefault="006E7CF8" w:rsidP="006B43A2">
            <w:pPr>
              <w:tabs>
                <w:tab w:val="right" w:pos="9180"/>
              </w:tabs>
              <w:ind w:right="-360"/>
            </w:pPr>
          </w:p>
        </w:tc>
        <w:tc>
          <w:tcPr>
            <w:tcW w:w="1960" w:type="dxa"/>
          </w:tcPr>
          <w:p w14:paraId="204B8D57" w14:textId="77777777" w:rsidR="006E7CF8" w:rsidRPr="00212F30" w:rsidRDefault="006E7CF8" w:rsidP="006B43A2">
            <w:pPr>
              <w:tabs>
                <w:tab w:val="right" w:pos="9180"/>
              </w:tabs>
              <w:ind w:right="-360"/>
            </w:pPr>
          </w:p>
        </w:tc>
        <w:tc>
          <w:tcPr>
            <w:tcW w:w="1782" w:type="dxa"/>
          </w:tcPr>
          <w:p w14:paraId="0D79F376" w14:textId="77777777" w:rsidR="006E7CF8" w:rsidRPr="00212F30" w:rsidRDefault="006E7CF8" w:rsidP="006B43A2">
            <w:pPr>
              <w:tabs>
                <w:tab w:val="decimal" w:pos="1062"/>
                <w:tab w:val="right" w:pos="9180"/>
              </w:tabs>
              <w:ind w:right="-18"/>
            </w:pPr>
          </w:p>
        </w:tc>
        <w:tc>
          <w:tcPr>
            <w:tcW w:w="359" w:type="dxa"/>
          </w:tcPr>
          <w:p w14:paraId="1A7DB9D4" w14:textId="77777777" w:rsidR="006E7CF8" w:rsidRPr="00212F30" w:rsidRDefault="006E7CF8" w:rsidP="006B43A2">
            <w:pPr>
              <w:tabs>
                <w:tab w:val="right" w:pos="9180"/>
              </w:tabs>
              <w:ind w:right="-360"/>
            </w:pPr>
          </w:p>
        </w:tc>
        <w:tc>
          <w:tcPr>
            <w:tcW w:w="1782" w:type="dxa"/>
          </w:tcPr>
          <w:p w14:paraId="644ECA30" w14:textId="77777777" w:rsidR="006E7CF8" w:rsidRPr="00212F30" w:rsidRDefault="006E7CF8" w:rsidP="006B43A2">
            <w:pPr>
              <w:tabs>
                <w:tab w:val="decimal" w:pos="972"/>
                <w:tab w:val="right" w:pos="9180"/>
              </w:tabs>
              <w:ind w:right="-18"/>
            </w:pPr>
          </w:p>
        </w:tc>
      </w:tr>
      <w:tr w:rsidR="006E7CF8" w:rsidRPr="00212F30" w14:paraId="6A3936F1" w14:textId="77777777" w:rsidTr="006B43A2">
        <w:trPr>
          <w:trHeight w:val="230"/>
        </w:trPr>
        <w:tc>
          <w:tcPr>
            <w:tcW w:w="375" w:type="dxa"/>
          </w:tcPr>
          <w:p w14:paraId="100B36EE" w14:textId="77777777" w:rsidR="006E7CF8" w:rsidRPr="00212F30" w:rsidRDefault="006E7CF8" w:rsidP="006B43A2">
            <w:pPr>
              <w:ind w:right="-360"/>
            </w:pPr>
          </w:p>
        </w:tc>
        <w:tc>
          <w:tcPr>
            <w:tcW w:w="2856" w:type="dxa"/>
            <w:gridSpan w:val="3"/>
          </w:tcPr>
          <w:p w14:paraId="19470CB9" w14:textId="77777777" w:rsidR="006E7CF8" w:rsidRPr="00212F30" w:rsidRDefault="006E7CF8" w:rsidP="006B43A2">
            <w:pPr>
              <w:tabs>
                <w:tab w:val="right" w:pos="9180"/>
              </w:tabs>
              <w:ind w:right="-360"/>
            </w:pPr>
            <w:r w:rsidRPr="00212F30">
              <w:t>Research and development</w:t>
            </w:r>
          </w:p>
        </w:tc>
        <w:tc>
          <w:tcPr>
            <w:tcW w:w="537" w:type="dxa"/>
          </w:tcPr>
          <w:p w14:paraId="55BFDAE4" w14:textId="77777777" w:rsidR="006E7CF8" w:rsidRPr="00212F30" w:rsidRDefault="006E7CF8" w:rsidP="006B43A2">
            <w:pPr>
              <w:tabs>
                <w:tab w:val="decimal" w:pos="1062"/>
                <w:tab w:val="right" w:pos="9180"/>
              </w:tabs>
              <w:ind w:right="-18"/>
            </w:pPr>
          </w:p>
        </w:tc>
        <w:tc>
          <w:tcPr>
            <w:tcW w:w="537" w:type="dxa"/>
          </w:tcPr>
          <w:p w14:paraId="3C3D33D2" w14:textId="77777777" w:rsidR="006E7CF8" w:rsidRPr="00212F30" w:rsidRDefault="006E7CF8" w:rsidP="006B43A2">
            <w:pPr>
              <w:tabs>
                <w:tab w:val="right" w:pos="9180"/>
              </w:tabs>
              <w:ind w:right="-360"/>
            </w:pPr>
          </w:p>
        </w:tc>
        <w:tc>
          <w:tcPr>
            <w:tcW w:w="1960" w:type="dxa"/>
          </w:tcPr>
          <w:p w14:paraId="12F9D4B6" w14:textId="77777777" w:rsidR="006E7CF8" w:rsidRPr="00212F30" w:rsidRDefault="006E7CF8" w:rsidP="006B43A2">
            <w:pPr>
              <w:tabs>
                <w:tab w:val="right" w:pos="9180"/>
              </w:tabs>
              <w:ind w:right="-360"/>
            </w:pPr>
          </w:p>
        </w:tc>
        <w:tc>
          <w:tcPr>
            <w:tcW w:w="1782" w:type="dxa"/>
          </w:tcPr>
          <w:p w14:paraId="1562004B" w14:textId="3D398AC9" w:rsidR="006E7CF8" w:rsidRPr="00212F30" w:rsidRDefault="006E7CF8" w:rsidP="006B43A2">
            <w:pPr>
              <w:tabs>
                <w:tab w:val="decimal" w:pos="1295"/>
                <w:tab w:val="right" w:pos="9180"/>
              </w:tabs>
              <w:ind w:right="-18"/>
            </w:pPr>
            <w:r w:rsidRPr="00212F30">
              <w:tab/>
            </w:r>
            <w:r w:rsidR="00D03835">
              <w:t>4,425,728</w:t>
            </w:r>
          </w:p>
        </w:tc>
        <w:tc>
          <w:tcPr>
            <w:tcW w:w="359" w:type="dxa"/>
          </w:tcPr>
          <w:p w14:paraId="6BB1FD3C" w14:textId="77777777" w:rsidR="006E7CF8" w:rsidRPr="00212F30" w:rsidRDefault="006E7CF8" w:rsidP="006B43A2">
            <w:pPr>
              <w:tabs>
                <w:tab w:val="right" w:pos="9180"/>
              </w:tabs>
              <w:ind w:right="-360"/>
            </w:pPr>
          </w:p>
        </w:tc>
        <w:tc>
          <w:tcPr>
            <w:tcW w:w="1782" w:type="dxa"/>
          </w:tcPr>
          <w:p w14:paraId="264CC549" w14:textId="2D9D50A9" w:rsidR="006E7CF8" w:rsidRPr="00212F30" w:rsidRDefault="006E7CF8" w:rsidP="006B43A2">
            <w:pPr>
              <w:tabs>
                <w:tab w:val="decimal" w:pos="1314"/>
                <w:tab w:val="right" w:pos="9180"/>
              </w:tabs>
              <w:ind w:right="-18"/>
            </w:pPr>
            <w:r>
              <w:tab/>
            </w:r>
            <w:r w:rsidR="0051714D">
              <w:t>2,819,189</w:t>
            </w:r>
          </w:p>
        </w:tc>
      </w:tr>
      <w:tr w:rsidR="006E7CF8" w:rsidRPr="00212F30" w14:paraId="750C618C" w14:textId="77777777" w:rsidTr="006B73D8">
        <w:trPr>
          <w:trHeight w:val="230"/>
        </w:trPr>
        <w:tc>
          <w:tcPr>
            <w:tcW w:w="375" w:type="dxa"/>
          </w:tcPr>
          <w:p w14:paraId="2FFDA8F3" w14:textId="77777777" w:rsidR="006E7CF8" w:rsidRPr="00212F30" w:rsidRDefault="006E7CF8" w:rsidP="006B43A2">
            <w:pPr>
              <w:ind w:right="-360"/>
            </w:pPr>
          </w:p>
        </w:tc>
        <w:tc>
          <w:tcPr>
            <w:tcW w:w="2856" w:type="dxa"/>
            <w:gridSpan w:val="3"/>
          </w:tcPr>
          <w:p w14:paraId="31472D3F" w14:textId="77777777" w:rsidR="006E7CF8" w:rsidRPr="00212F30" w:rsidRDefault="006E7CF8" w:rsidP="006B43A2">
            <w:pPr>
              <w:tabs>
                <w:tab w:val="right" w:pos="9180"/>
              </w:tabs>
              <w:ind w:right="-360"/>
            </w:pPr>
            <w:r w:rsidRPr="00212F30">
              <w:t>General and administrative</w:t>
            </w:r>
          </w:p>
        </w:tc>
        <w:tc>
          <w:tcPr>
            <w:tcW w:w="537" w:type="dxa"/>
          </w:tcPr>
          <w:p w14:paraId="129FA1DB" w14:textId="77777777" w:rsidR="006E7CF8" w:rsidRPr="00212F30" w:rsidRDefault="006E7CF8" w:rsidP="006B43A2">
            <w:pPr>
              <w:tabs>
                <w:tab w:val="decimal" w:pos="1062"/>
                <w:tab w:val="right" w:pos="9180"/>
              </w:tabs>
              <w:ind w:right="-18"/>
            </w:pPr>
          </w:p>
        </w:tc>
        <w:tc>
          <w:tcPr>
            <w:tcW w:w="537" w:type="dxa"/>
          </w:tcPr>
          <w:p w14:paraId="11110B7A" w14:textId="77777777" w:rsidR="006E7CF8" w:rsidRPr="00212F30" w:rsidRDefault="006E7CF8" w:rsidP="006B43A2">
            <w:pPr>
              <w:tabs>
                <w:tab w:val="right" w:pos="9180"/>
              </w:tabs>
              <w:ind w:right="-360"/>
            </w:pPr>
          </w:p>
        </w:tc>
        <w:tc>
          <w:tcPr>
            <w:tcW w:w="1960" w:type="dxa"/>
          </w:tcPr>
          <w:p w14:paraId="55F214A5" w14:textId="77777777" w:rsidR="006E7CF8" w:rsidRPr="00212F30" w:rsidRDefault="006E7CF8" w:rsidP="006B43A2">
            <w:pPr>
              <w:tabs>
                <w:tab w:val="right" w:pos="9180"/>
              </w:tabs>
              <w:ind w:right="-360"/>
            </w:pPr>
          </w:p>
        </w:tc>
        <w:tc>
          <w:tcPr>
            <w:tcW w:w="1782" w:type="dxa"/>
            <w:tcBorders>
              <w:bottom w:val="single" w:sz="4" w:space="0" w:color="auto"/>
            </w:tcBorders>
          </w:tcPr>
          <w:p w14:paraId="430EE92A" w14:textId="4BF38216" w:rsidR="006E7CF8" w:rsidRPr="00212F30" w:rsidRDefault="006E7CF8" w:rsidP="006B43A2">
            <w:pPr>
              <w:tabs>
                <w:tab w:val="decimal" w:pos="1295"/>
                <w:tab w:val="right" w:pos="9180"/>
              </w:tabs>
              <w:ind w:right="-18"/>
            </w:pPr>
            <w:r w:rsidRPr="00212F30">
              <w:tab/>
            </w:r>
            <w:r w:rsidR="00D03835">
              <w:t>1,457,353</w:t>
            </w:r>
          </w:p>
        </w:tc>
        <w:tc>
          <w:tcPr>
            <w:tcW w:w="359" w:type="dxa"/>
          </w:tcPr>
          <w:p w14:paraId="2E13C753" w14:textId="77777777" w:rsidR="006E7CF8" w:rsidRPr="00212F30" w:rsidRDefault="006E7CF8" w:rsidP="006B43A2">
            <w:pPr>
              <w:tabs>
                <w:tab w:val="right" w:pos="9180"/>
              </w:tabs>
              <w:ind w:right="-360"/>
            </w:pPr>
          </w:p>
        </w:tc>
        <w:tc>
          <w:tcPr>
            <w:tcW w:w="1782" w:type="dxa"/>
            <w:tcBorders>
              <w:bottom w:val="single" w:sz="4" w:space="0" w:color="auto"/>
            </w:tcBorders>
          </w:tcPr>
          <w:p w14:paraId="47D2978A" w14:textId="5A1E4373" w:rsidR="006E7CF8" w:rsidRPr="00212F30" w:rsidRDefault="006E7CF8" w:rsidP="006B43A2">
            <w:pPr>
              <w:tabs>
                <w:tab w:val="decimal" w:pos="1314"/>
                <w:tab w:val="right" w:pos="9180"/>
              </w:tabs>
              <w:ind w:right="-18"/>
            </w:pPr>
            <w:r>
              <w:tab/>
            </w:r>
            <w:r w:rsidR="0051714D">
              <w:t>1,451,425</w:t>
            </w:r>
          </w:p>
        </w:tc>
      </w:tr>
      <w:tr w:rsidR="00D27ADC" w:rsidRPr="00212F30" w14:paraId="1E41E283" w14:textId="77777777" w:rsidTr="006B73D8">
        <w:trPr>
          <w:trHeight w:val="230"/>
        </w:trPr>
        <w:tc>
          <w:tcPr>
            <w:tcW w:w="375" w:type="dxa"/>
          </w:tcPr>
          <w:p w14:paraId="2A5A8EF8" w14:textId="77777777" w:rsidR="00D27ADC" w:rsidRPr="00212F30" w:rsidRDefault="00D27ADC" w:rsidP="006B43A2">
            <w:pPr>
              <w:ind w:right="-360"/>
            </w:pPr>
          </w:p>
        </w:tc>
        <w:tc>
          <w:tcPr>
            <w:tcW w:w="2856" w:type="dxa"/>
            <w:gridSpan w:val="3"/>
          </w:tcPr>
          <w:p w14:paraId="6F2B8254" w14:textId="4D245B53" w:rsidR="00D27ADC" w:rsidRPr="00212F30" w:rsidRDefault="00D27ADC" w:rsidP="006B43A2">
            <w:pPr>
              <w:tabs>
                <w:tab w:val="right" w:pos="9180"/>
              </w:tabs>
              <w:ind w:right="-360"/>
            </w:pPr>
            <w:r>
              <w:t>Total operating expenses</w:t>
            </w:r>
          </w:p>
        </w:tc>
        <w:tc>
          <w:tcPr>
            <w:tcW w:w="537" w:type="dxa"/>
          </w:tcPr>
          <w:p w14:paraId="7333C03B" w14:textId="77777777" w:rsidR="00D27ADC" w:rsidRPr="00212F30" w:rsidRDefault="00D27ADC" w:rsidP="006B43A2">
            <w:pPr>
              <w:tabs>
                <w:tab w:val="decimal" w:pos="1062"/>
                <w:tab w:val="right" w:pos="9180"/>
              </w:tabs>
              <w:ind w:right="-18"/>
            </w:pPr>
          </w:p>
        </w:tc>
        <w:tc>
          <w:tcPr>
            <w:tcW w:w="537" w:type="dxa"/>
          </w:tcPr>
          <w:p w14:paraId="2362910B" w14:textId="77777777" w:rsidR="00D27ADC" w:rsidRPr="00212F30" w:rsidRDefault="00D27ADC" w:rsidP="006B43A2">
            <w:pPr>
              <w:tabs>
                <w:tab w:val="right" w:pos="9180"/>
              </w:tabs>
              <w:ind w:right="-360"/>
            </w:pPr>
          </w:p>
        </w:tc>
        <w:tc>
          <w:tcPr>
            <w:tcW w:w="1960" w:type="dxa"/>
          </w:tcPr>
          <w:p w14:paraId="17632558" w14:textId="77777777" w:rsidR="00D27ADC" w:rsidRPr="00212F30" w:rsidRDefault="00D27ADC" w:rsidP="006B43A2">
            <w:pPr>
              <w:tabs>
                <w:tab w:val="right" w:pos="9180"/>
              </w:tabs>
              <w:ind w:right="-360"/>
            </w:pPr>
          </w:p>
        </w:tc>
        <w:tc>
          <w:tcPr>
            <w:tcW w:w="1782" w:type="dxa"/>
            <w:tcBorders>
              <w:top w:val="single" w:sz="4" w:space="0" w:color="auto"/>
              <w:bottom w:val="single" w:sz="4" w:space="0" w:color="auto"/>
            </w:tcBorders>
          </w:tcPr>
          <w:p w14:paraId="519C6C59" w14:textId="721CD55C" w:rsidR="00D27ADC" w:rsidRPr="00212F30" w:rsidRDefault="00D27ADC" w:rsidP="006B43A2">
            <w:pPr>
              <w:tabs>
                <w:tab w:val="decimal" w:pos="1295"/>
                <w:tab w:val="right" w:pos="9180"/>
              </w:tabs>
              <w:ind w:right="-18"/>
            </w:pPr>
            <w:r>
              <w:tab/>
            </w:r>
            <w:r w:rsidR="00D03835">
              <w:t>5,883,081</w:t>
            </w:r>
          </w:p>
        </w:tc>
        <w:tc>
          <w:tcPr>
            <w:tcW w:w="359" w:type="dxa"/>
          </w:tcPr>
          <w:p w14:paraId="78F561D4" w14:textId="77777777" w:rsidR="00D27ADC" w:rsidRPr="00212F30" w:rsidRDefault="00D27ADC" w:rsidP="006B43A2">
            <w:pPr>
              <w:tabs>
                <w:tab w:val="right" w:pos="9180"/>
              </w:tabs>
              <w:ind w:right="-360"/>
            </w:pPr>
          </w:p>
        </w:tc>
        <w:tc>
          <w:tcPr>
            <w:tcW w:w="1782" w:type="dxa"/>
            <w:tcBorders>
              <w:top w:val="single" w:sz="4" w:space="0" w:color="auto"/>
              <w:bottom w:val="single" w:sz="4" w:space="0" w:color="auto"/>
            </w:tcBorders>
          </w:tcPr>
          <w:p w14:paraId="78B6F780" w14:textId="1A36E8F1" w:rsidR="00D27ADC" w:rsidRDefault="00D27ADC" w:rsidP="006B43A2">
            <w:pPr>
              <w:tabs>
                <w:tab w:val="decimal" w:pos="1314"/>
                <w:tab w:val="right" w:pos="9180"/>
              </w:tabs>
              <w:ind w:right="-18"/>
            </w:pPr>
            <w:r>
              <w:tab/>
            </w:r>
            <w:r w:rsidR="0051714D">
              <w:t>4,270,614</w:t>
            </w:r>
          </w:p>
        </w:tc>
      </w:tr>
      <w:tr w:rsidR="006E7CF8" w:rsidRPr="00212F30" w14:paraId="1A03DC0E" w14:textId="77777777" w:rsidTr="006B73D8">
        <w:trPr>
          <w:trHeight w:val="230"/>
        </w:trPr>
        <w:tc>
          <w:tcPr>
            <w:tcW w:w="375" w:type="dxa"/>
          </w:tcPr>
          <w:p w14:paraId="5E1F3592" w14:textId="77777777" w:rsidR="006E7CF8" w:rsidRPr="00212F30" w:rsidRDefault="006E7CF8" w:rsidP="006B43A2">
            <w:pPr>
              <w:ind w:right="-360"/>
            </w:pPr>
          </w:p>
        </w:tc>
        <w:tc>
          <w:tcPr>
            <w:tcW w:w="448" w:type="dxa"/>
          </w:tcPr>
          <w:p w14:paraId="6E570C96" w14:textId="77777777" w:rsidR="006E7CF8" w:rsidRPr="00212F30" w:rsidRDefault="006E7CF8" w:rsidP="006B43A2">
            <w:pPr>
              <w:ind w:right="-360"/>
            </w:pPr>
          </w:p>
        </w:tc>
        <w:tc>
          <w:tcPr>
            <w:tcW w:w="448" w:type="dxa"/>
          </w:tcPr>
          <w:p w14:paraId="1C8ABB93" w14:textId="77777777" w:rsidR="006E7CF8" w:rsidRPr="00212F30" w:rsidRDefault="006E7CF8" w:rsidP="006B43A2">
            <w:pPr>
              <w:ind w:right="-360"/>
            </w:pPr>
          </w:p>
        </w:tc>
        <w:tc>
          <w:tcPr>
            <w:tcW w:w="1960" w:type="dxa"/>
          </w:tcPr>
          <w:p w14:paraId="114AAB3B" w14:textId="77777777" w:rsidR="006E7CF8" w:rsidRPr="00212F30" w:rsidRDefault="006E7CF8" w:rsidP="006B43A2">
            <w:pPr>
              <w:tabs>
                <w:tab w:val="right" w:pos="9180"/>
              </w:tabs>
              <w:ind w:right="-360"/>
            </w:pPr>
          </w:p>
        </w:tc>
        <w:tc>
          <w:tcPr>
            <w:tcW w:w="537" w:type="dxa"/>
          </w:tcPr>
          <w:p w14:paraId="7897AC14" w14:textId="77777777" w:rsidR="006E7CF8" w:rsidRPr="00212F30" w:rsidRDefault="006E7CF8" w:rsidP="006B43A2">
            <w:pPr>
              <w:tabs>
                <w:tab w:val="right" w:pos="9180"/>
              </w:tabs>
              <w:ind w:right="-18"/>
            </w:pPr>
          </w:p>
        </w:tc>
        <w:tc>
          <w:tcPr>
            <w:tcW w:w="537" w:type="dxa"/>
          </w:tcPr>
          <w:p w14:paraId="6DB17D90" w14:textId="77777777" w:rsidR="006E7CF8" w:rsidRPr="00212F30" w:rsidRDefault="006E7CF8" w:rsidP="006B43A2">
            <w:pPr>
              <w:tabs>
                <w:tab w:val="right" w:pos="9180"/>
              </w:tabs>
              <w:ind w:right="-360"/>
            </w:pPr>
          </w:p>
        </w:tc>
        <w:tc>
          <w:tcPr>
            <w:tcW w:w="1960" w:type="dxa"/>
          </w:tcPr>
          <w:p w14:paraId="4D2AF8B8" w14:textId="77777777" w:rsidR="006E7CF8" w:rsidRPr="00212F30" w:rsidRDefault="006E7CF8" w:rsidP="006B43A2">
            <w:pPr>
              <w:tabs>
                <w:tab w:val="right" w:pos="9180"/>
              </w:tabs>
              <w:ind w:right="-360"/>
            </w:pPr>
          </w:p>
        </w:tc>
        <w:tc>
          <w:tcPr>
            <w:tcW w:w="1782" w:type="dxa"/>
            <w:tcBorders>
              <w:top w:val="single" w:sz="4" w:space="0" w:color="auto"/>
            </w:tcBorders>
          </w:tcPr>
          <w:p w14:paraId="04948AFB" w14:textId="77777777" w:rsidR="006E7CF8" w:rsidRPr="00212F30" w:rsidRDefault="006E7CF8" w:rsidP="006B43A2">
            <w:pPr>
              <w:tabs>
                <w:tab w:val="decimal" w:pos="1062"/>
                <w:tab w:val="right" w:pos="9180"/>
              </w:tabs>
              <w:ind w:right="-18"/>
            </w:pPr>
          </w:p>
        </w:tc>
        <w:tc>
          <w:tcPr>
            <w:tcW w:w="359" w:type="dxa"/>
          </w:tcPr>
          <w:p w14:paraId="51A47462" w14:textId="77777777" w:rsidR="006E7CF8" w:rsidRPr="00212F30" w:rsidRDefault="006E7CF8" w:rsidP="006B43A2">
            <w:pPr>
              <w:tabs>
                <w:tab w:val="right" w:pos="9180"/>
              </w:tabs>
              <w:ind w:right="-360"/>
            </w:pPr>
          </w:p>
        </w:tc>
        <w:tc>
          <w:tcPr>
            <w:tcW w:w="1782" w:type="dxa"/>
            <w:tcBorders>
              <w:top w:val="single" w:sz="4" w:space="0" w:color="auto"/>
            </w:tcBorders>
          </w:tcPr>
          <w:p w14:paraId="2D11AC18" w14:textId="77777777" w:rsidR="006E7CF8" w:rsidRPr="00212F30" w:rsidRDefault="006E7CF8" w:rsidP="006B43A2">
            <w:pPr>
              <w:tabs>
                <w:tab w:val="decimal" w:pos="972"/>
                <w:tab w:val="right" w:pos="9180"/>
              </w:tabs>
              <w:ind w:right="-18"/>
            </w:pPr>
          </w:p>
        </w:tc>
      </w:tr>
      <w:tr w:rsidR="006E7CF8" w:rsidRPr="00212F30" w14:paraId="5AE77C09" w14:textId="77777777" w:rsidTr="006B43A2">
        <w:trPr>
          <w:trHeight w:val="230"/>
        </w:trPr>
        <w:tc>
          <w:tcPr>
            <w:tcW w:w="3231" w:type="dxa"/>
            <w:gridSpan w:val="4"/>
          </w:tcPr>
          <w:p w14:paraId="211DB591" w14:textId="77777777" w:rsidR="006E7CF8" w:rsidRPr="00212F30" w:rsidRDefault="006E7CF8" w:rsidP="006B43A2">
            <w:pPr>
              <w:tabs>
                <w:tab w:val="right" w:pos="9180"/>
              </w:tabs>
              <w:ind w:right="-360"/>
            </w:pPr>
            <w:r w:rsidRPr="00212F30">
              <w:t>Loss from operations</w:t>
            </w:r>
          </w:p>
        </w:tc>
        <w:tc>
          <w:tcPr>
            <w:tcW w:w="537" w:type="dxa"/>
          </w:tcPr>
          <w:p w14:paraId="0BCB4329" w14:textId="77777777" w:rsidR="006E7CF8" w:rsidRPr="00212F30" w:rsidRDefault="006E7CF8" w:rsidP="006B43A2">
            <w:pPr>
              <w:tabs>
                <w:tab w:val="decimal" w:pos="1062"/>
                <w:tab w:val="right" w:pos="9180"/>
              </w:tabs>
              <w:ind w:right="-18"/>
            </w:pPr>
          </w:p>
        </w:tc>
        <w:tc>
          <w:tcPr>
            <w:tcW w:w="537" w:type="dxa"/>
          </w:tcPr>
          <w:p w14:paraId="0FDC3A50" w14:textId="77777777" w:rsidR="006E7CF8" w:rsidRPr="00212F30" w:rsidRDefault="006E7CF8" w:rsidP="006B43A2">
            <w:pPr>
              <w:tabs>
                <w:tab w:val="right" w:pos="9180"/>
              </w:tabs>
              <w:ind w:right="-360"/>
            </w:pPr>
          </w:p>
        </w:tc>
        <w:tc>
          <w:tcPr>
            <w:tcW w:w="1960" w:type="dxa"/>
          </w:tcPr>
          <w:p w14:paraId="0EB5CE4E" w14:textId="77777777" w:rsidR="006E7CF8" w:rsidRPr="00212F30" w:rsidRDefault="006E7CF8" w:rsidP="006B43A2">
            <w:pPr>
              <w:tabs>
                <w:tab w:val="right" w:pos="9180"/>
              </w:tabs>
              <w:ind w:right="-360"/>
            </w:pPr>
          </w:p>
        </w:tc>
        <w:tc>
          <w:tcPr>
            <w:tcW w:w="1782" w:type="dxa"/>
          </w:tcPr>
          <w:p w14:paraId="6FB8457F" w14:textId="0957B6EA" w:rsidR="006E7CF8" w:rsidRPr="00212F30" w:rsidRDefault="006E7CF8" w:rsidP="006B43A2">
            <w:pPr>
              <w:tabs>
                <w:tab w:val="decimal" w:pos="1295"/>
                <w:tab w:val="right" w:pos="9180"/>
              </w:tabs>
              <w:ind w:right="-18"/>
            </w:pPr>
            <w:r w:rsidRPr="00212F30">
              <w:tab/>
            </w:r>
            <w:r w:rsidR="00D03835">
              <w:t>(5,883,081)</w:t>
            </w:r>
          </w:p>
        </w:tc>
        <w:tc>
          <w:tcPr>
            <w:tcW w:w="359" w:type="dxa"/>
          </w:tcPr>
          <w:p w14:paraId="0B4F1E10" w14:textId="77777777" w:rsidR="006E7CF8" w:rsidRPr="00212F30" w:rsidRDefault="006E7CF8" w:rsidP="006B43A2">
            <w:pPr>
              <w:tabs>
                <w:tab w:val="right" w:pos="9180"/>
              </w:tabs>
              <w:ind w:right="-360"/>
            </w:pPr>
          </w:p>
        </w:tc>
        <w:tc>
          <w:tcPr>
            <w:tcW w:w="1782" w:type="dxa"/>
          </w:tcPr>
          <w:p w14:paraId="75410847" w14:textId="62C3F72C" w:rsidR="006E7CF8" w:rsidRPr="00212F30" w:rsidRDefault="006E7CF8" w:rsidP="006B43A2">
            <w:pPr>
              <w:tabs>
                <w:tab w:val="decimal" w:pos="1314"/>
                <w:tab w:val="right" w:pos="9180"/>
              </w:tabs>
              <w:ind w:right="-18"/>
            </w:pPr>
            <w:r>
              <w:tab/>
              <w:t>(</w:t>
            </w:r>
            <w:r w:rsidR="0051714D">
              <w:t>4,270,614</w:t>
            </w:r>
            <w:r w:rsidRPr="00212F30">
              <w:t>)</w:t>
            </w:r>
          </w:p>
        </w:tc>
      </w:tr>
      <w:tr w:rsidR="006E7CF8" w:rsidRPr="00212F30" w14:paraId="443A6474" w14:textId="77777777" w:rsidTr="006B43A2">
        <w:trPr>
          <w:trHeight w:val="230"/>
        </w:trPr>
        <w:tc>
          <w:tcPr>
            <w:tcW w:w="375" w:type="dxa"/>
          </w:tcPr>
          <w:p w14:paraId="7D8E4300" w14:textId="77777777" w:rsidR="006E7CF8" w:rsidRPr="00212F30" w:rsidRDefault="006E7CF8" w:rsidP="006B43A2">
            <w:pPr>
              <w:ind w:right="-360"/>
            </w:pPr>
          </w:p>
        </w:tc>
        <w:tc>
          <w:tcPr>
            <w:tcW w:w="448" w:type="dxa"/>
          </w:tcPr>
          <w:p w14:paraId="55AD601E" w14:textId="77777777" w:rsidR="006E7CF8" w:rsidRPr="00212F30" w:rsidRDefault="006E7CF8" w:rsidP="006B43A2">
            <w:pPr>
              <w:ind w:right="-360"/>
            </w:pPr>
          </w:p>
        </w:tc>
        <w:tc>
          <w:tcPr>
            <w:tcW w:w="448" w:type="dxa"/>
          </w:tcPr>
          <w:p w14:paraId="774D4852" w14:textId="77777777" w:rsidR="006E7CF8" w:rsidRPr="00212F30" w:rsidRDefault="006E7CF8" w:rsidP="006B43A2">
            <w:pPr>
              <w:ind w:right="-360"/>
            </w:pPr>
          </w:p>
        </w:tc>
        <w:tc>
          <w:tcPr>
            <w:tcW w:w="1960" w:type="dxa"/>
          </w:tcPr>
          <w:p w14:paraId="6ADC616E" w14:textId="77777777" w:rsidR="006E7CF8" w:rsidRPr="00212F30" w:rsidRDefault="006E7CF8" w:rsidP="006B43A2">
            <w:pPr>
              <w:tabs>
                <w:tab w:val="right" w:pos="9180"/>
              </w:tabs>
              <w:ind w:right="-360"/>
            </w:pPr>
          </w:p>
        </w:tc>
        <w:tc>
          <w:tcPr>
            <w:tcW w:w="537" w:type="dxa"/>
          </w:tcPr>
          <w:p w14:paraId="2392ABAE" w14:textId="77777777" w:rsidR="006E7CF8" w:rsidRPr="00212F30" w:rsidRDefault="006E7CF8" w:rsidP="006B43A2">
            <w:pPr>
              <w:tabs>
                <w:tab w:val="right" w:pos="9180"/>
              </w:tabs>
              <w:ind w:right="-18"/>
            </w:pPr>
          </w:p>
        </w:tc>
        <w:tc>
          <w:tcPr>
            <w:tcW w:w="537" w:type="dxa"/>
          </w:tcPr>
          <w:p w14:paraId="4CD0E948" w14:textId="77777777" w:rsidR="006E7CF8" w:rsidRPr="00212F30" w:rsidRDefault="006E7CF8" w:rsidP="006B43A2">
            <w:pPr>
              <w:tabs>
                <w:tab w:val="right" w:pos="9180"/>
              </w:tabs>
              <w:ind w:right="-360"/>
            </w:pPr>
          </w:p>
        </w:tc>
        <w:tc>
          <w:tcPr>
            <w:tcW w:w="1960" w:type="dxa"/>
          </w:tcPr>
          <w:p w14:paraId="05925C68" w14:textId="77777777" w:rsidR="006E7CF8" w:rsidRPr="00212F30" w:rsidRDefault="006E7CF8" w:rsidP="006B43A2">
            <w:pPr>
              <w:tabs>
                <w:tab w:val="right" w:pos="9180"/>
              </w:tabs>
              <w:ind w:right="-360"/>
            </w:pPr>
          </w:p>
        </w:tc>
        <w:tc>
          <w:tcPr>
            <w:tcW w:w="1782" w:type="dxa"/>
          </w:tcPr>
          <w:p w14:paraId="5AEFAED0" w14:textId="77777777" w:rsidR="006E7CF8" w:rsidRPr="00212F30" w:rsidRDefault="006E7CF8" w:rsidP="006B43A2">
            <w:pPr>
              <w:tabs>
                <w:tab w:val="decimal" w:pos="1295"/>
                <w:tab w:val="right" w:pos="9180"/>
              </w:tabs>
              <w:ind w:right="-18"/>
            </w:pPr>
          </w:p>
        </w:tc>
        <w:tc>
          <w:tcPr>
            <w:tcW w:w="359" w:type="dxa"/>
          </w:tcPr>
          <w:p w14:paraId="381241C5" w14:textId="77777777" w:rsidR="006E7CF8" w:rsidRPr="00212F30" w:rsidRDefault="006E7CF8" w:rsidP="006B43A2">
            <w:pPr>
              <w:tabs>
                <w:tab w:val="right" w:pos="9180"/>
              </w:tabs>
              <w:ind w:right="-360"/>
            </w:pPr>
          </w:p>
        </w:tc>
        <w:tc>
          <w:tcPr>
            <w:tcW w:w="1782" w:type="dxa"/>
          </w:tcPr>
          <w:p w14:paraId="2F720519" w14:textId="77777777" w:rsidR="006E7CF8" w:rsidRPr="00212F30" w:rsidRDefault="006E7CF8" w:rsidP="006B43A2">
            <w:pPr>
              <w:tabs>
                <w:tab w:val="decimal" w:pos="1314"/>
                <w:tab w:val="right" w:pos="9180"/>
              </w:tabs>
              <w:ind w:right="-18"/>
            </w:pPr>
          </w:p>
        </w:tc>
      </w:tr>
      <w:tr w:rsidR="006E7CF8" w:rsidRPr="00212F30" w14:paraId="14B4FA9C" w14:textId="77777777" w:rsidTr="006B43A2">
        <w:trPr>
          <w:trHeight w:val="230"/>
        </w:trPr>
        <w:tc>
          <w:tcPr>
            <w:tcW w:w="3231" w:type="dxa"/>
            <w:gridSpan w:val="4"/>
          </w:tcPr>
          <w:p w14:paraId="0F2C7DDA" w14:textId="6F0029F0" w:rsidR="006E7CF8" w:rsidRPr="00212F30" w:rsidRDefault="006E7CF8" w:rsidP="006B43A2">
            <w:pPr>
              <w:tabs>
                <w:tab w:val="right" w:pos="9180"/>
              </w:tabs>
              <w:ind w:right="-360"/>
            </w:pPr>
            <w:r>
              <w:t>Other income</w:t>
            </w:r>
            <w:r w:rsidRPr="00212F30">
              <w:t>:</w:t>
            </w:r>
          </w:p>
        </w:tc>
        <w:tc>
          <w:tcPr>
            <w:tcW w:w="537" w:type="dxa"/>
          </w:tcPr>
          <w:p w14:paraId="38E4C127" w14:textId="77777777" w:rsidR="006E7CF8" w:rsidRPr="00212F30" w:rsidRDefault="006E7CF8" w:rsidP="006B43A2">
            <w:pPr>
              <w:tabs>
                <w:tab w:val="decimal" w:pos="1062"/>
                <w:tab w:val="right" w:pos="9180"/>
              </w:tabs>
              <w:ind w:right="-18"/>
            </w:pPr>
          </w:p>
        </w:tc>
        <w:tc>
          <w:tcPr>
            <w:tcW w:w="537" w:type="dxa"/>
          </w:tcPr>
          <w:p w14:paraId="3AD2CE69" w14:textId="77777777" w:rsidR="006E7CF8" w:rsidRPr="00212F30" w:rsidRDefault="006E7CF8" w:rsidP="006B43A2">
            <w:pPr>
              <w:tabs>
                <w:tab w:val="right" w:pos="9180"/>
              </w:tabs>
              <w:ind w:right="-360"/>
            </w:pPr>
          </w:p>
        </w:tc>
        <w:tc>
          <w:tcPr>
            <w:tcW w:w="1960" w:type="dxa"/>
          </w:tcPr>
          <w:p w14:paraId="4445526F" w14:textId="77777777" w:rsidR="006E7CF8" w:rsidRPr="00212F30" w:rsidRDefault="006E7CF8" w:rsidP="006B43A2">
            <w:pPr>
              <w:tabs>
                <w:tab w:val="right" w:pos="9180"/>
              </w:tabs>
              <w:ind w:right="-360"/>
            </w:pPr>
          </w:p>
        </w:tc>
        <w:tc>
          <w:tcPr>
            <w:tcW w:w="1782" w:type="dxa"/>
          </w:tcPr>
          <w:p w14:paraId="32784052" w14:textId="77777777" w:rsidR="006E7CF8" w:rsidRPr="00212F30" w:rsidRDefault="006E7CF8" w:rsidP="006B43A2">
            <w:pPr>
              <w:tabs>
                <w:tab w:val="decimal" w:pos="1295"/>
                <w:tab w:val="right" w:pos="9180"/>
              </w:tabs>
              <w:ind w:right="-18"/>
            </w:pPr>
          </w:p>
        </w:tc>
        <w:tc>
          <w:tcPr>
            <w:tcW w:w="359" w:type="dxa"/>
          </w:tcPr>
          <w:p w14:paraId="4A485504" w14:textId="77777777" w:rsidR="006E7CF8" w:rsidRPr="00212F30" w:rsidRDefault="006E7CF8" w:rsidP="006B43A2">
            <w:pPr>
              <w:tabs>
                <w:tab w:val="right" w:pos="9180"/>
              </w:tabs>
              <w:ind w:right="-360"/>
            </w:pPr>
          </w:p>
        </w:tc>
        <w:tc>
          <w:tcPr>
            <w:tcW w:w="1782" w:type="dxa"/>
          </w:tcPr>
          <w:p w14:paraId="53F26261" w14:textId="77777777" w:rsidR="006E7CF8" w:rsidRPr="00212F30" w:rsidRDefault="006E7CF8" w:rsidP="006B43A2">
            <w:pPr>
              <w:tabs>
                <w:tab w:val="decimal" w:pos="1314"/>
                <w:tab w:val="right" w:pos="9180"/>
              </w:tabs>
              <w:ind w:right="-18"/>
            </w:pPr>
          </w:p>
        </w:tc>
      </w:tr>
      <w:tr w:rsidR="006E7CF8" w:rsidRPr="00212F30" w14:paraId="44486BE7" w14:textId="77777777" w:rsidTr="006B43A2">
        <w:trPr>
          <w:trHeight w:val="230"/>
        </w:trPr>
        <w:tc>
          <w:tcPr>
            <w:tcW w:w="375" w:type="dxa"/>
          </w:tcPr>
          <w:p w14:paraId="7DFEDE34" w14:textId="77777777" w:rsidR="006E7CF8" w:rsidRPr="00212F30" w:rsidRDefault="006E7CF8" w:rsidP="006B43A2">
            <w:pPr>
              <w:ind w:right="-360"/>
            </w:pPr>
          </w:p>
        </w:tc>
        <w:tc>
          <w:tcPr>
            <w:tcW w:w="2856" w:type="dxa"/>
            <w:gridSpan w:val="3"/>
          </w:tcPr>
          <w:p w14:paraId="359F5F30" w14:textId="77777777" w:rsidR="006E7CF8" w:rsidRPr="00212F30" w:rsidRDefault="006E7CF8" w:rsidP="006B43A2">
            <w:pPr>
              <w:tabs>
                <w:tab w:val="right" w:pos="9180"/>
              </w:tabs>
              <w:ind w:right="-360"/>
            </w:pPr>
            <w:r w:rsidRPr="00212F30">
              <w:t>Interest income</w:t>
            </w:r>
          </w:p>
        </w:tc>
        <w:tc>
          <w:tcPr>
            <w:tcW w:w="537" w:type="dxa"/>
          </w:tcPr>
          <w:p w14:paraId="3E13764D" w14:textId="77777777" w:rsidR="006E7CF8" w:rsidRPr="00212F30" w:rsidRDefault="006E7CF8" w:rsidP="006B43A2">
            <w:pPr>
              <w:tabs>
                <w:tab w:val="decimal" w:pos="1062"/>
                <w:tab w:val="right" w:pos="9180"/>
              </w:tabs>
              <w:ind w:right="-18"/>
            </w:pPr>
          </w:p>
        </w:tc>
        <w:tc>
          <w:tcPr>
            <w:tcW w:w="537" w:type="dxa"/>
          </w:tcPr>
          <w:p w14:paraId="0BAE34DA" w14:textId="77777777" w:rsidR="006E7CF8" w:rsidRPr="00212F30" w:rsidRDefault="006E7CF8" w:rsidP="006B43A2">
            <w:pPr>
              <w:tabs>
                <w:tab w:val="right" w:pos="9180"/>
              </w:tabs>
              <w:ind w:right="-360"/>
            </w:pPr>
          </w:p>
        </w:tc>
        <w:tc>
          <w:tcPr>
            <w:tcW w:w="1960" w:type="dxa"/>
          </w:tcPr>
          <w:p w14:paraId="352E509C" w14:textId="77777777" w:rsidR="006E7CF8" w:rsidRPr="00212F30" w:rsidRDefault="006E7CF8" w:rsidP="006B43A2">
            <w:pPr>
              <w:tabs>
                <w:tab w:val="right" w:pos="9180"/>
              </w:tabs>
              <w:ind w:right="-360"/>
            </w:pPr>
          </w:p>
        </w:tc>
        <w:tc>
          <w:tcPr>
            <w:tcW w:w="1782" w:type="dxa"/>
          </w:tcPr>
          <w:p w14:paraId="4CD73A1A" w14:textId="70782751" w:rsidR="006E7CF8" w:rsidRPr="00212F30" w:rsidRDefault="006E7CF8" w:rsidP="006B43A2">
            <w:pPr>
              <w:tabs>
                <w:tab w:val="decimal" w:pos="1295"/>
                <w:tab w:val="right" w:pos="9180"/>
              </w:tabs>
              <w:ind w:right="-18"/>
            </w:pPr>
            <w:r>
              <w:tab/>
            </w:r>
            <w:r w:rsidR="00D03835">
              <w:t>32,949</w:t>
            </w:r>
          </w:p>
        </w:tc>
        <w:tc>
          <w:tcPr>
            <w:tcW w:w="359" w:type="dxa"/>
          </w:tcPr>
          <w:p w14:paraId="77DCD195" w14:textId="77777777" w:rsidR="006E7CF8" w:rsidRPr="00212F30" w:rsidRDefault="006E7CF8" w:rsidP="006B43A2">
            <w:pPr>
              <w:tabs>
                <w:tab w:val="right" w:pos="9180"/>
              </w:tabs>
              <w:ind w:right="-360"/>
            </w:pPr>
          </w:p>
        </w:tc>
        <w:tc>
          <w:tcPr>
            <w:tcW w:w="1782" w:type="dxa"/>
          </w:tcPr>
          <w:p w14:paraId="6D612EAC" w14:textId="6C121FE7" w:rsidR="006E7CF8" w:rsidRPr="00212F30" w:rsidRDefault="006E7CF8" w:rsidP="006B43A2">
            <w:pPr>
              <w:tabs>
                <w:tab w:val="decimal" w:pos="1314"/>
                <w:tab w:val="right" w:pos="9180"/>
              </w:tabs>
              <w:ind w:right="-18"/>
            </w:pPr>
            <w:r>
              <w:tab/>
            </w:r>
            <w:r w:rsidR="0051714D">
              <w:t>232,698</w:t>
            </w:r>
          </w:p>
        </w:tc>
      </w:tr>
      <w:tr w:rsidR="00F415DC" w:rsidRPr="00212F30" w14:paraId="4583BACF" w14:textId="77777777" w:rsidTr="006B43A2">
        <w:trPr>
          <w:trHeight w:val="230"/>
        </w:trPr>
        <w:tc>
          <w:tcPr>
            <w:tcW w:w="375" w:type="dxa"/>
          </w:tcPr>
          <w:p w14:paraId="314B65ED" w14:textId="77777777" w:rsidR="00F415DC" w:rsidRPr="00212F30" w:rsidRDefault="00F415DC" w:rsidP="006B43A2">
            <w:pPr>
              <w:ind w:right="-360"/>
            </w:pPr>
          </w:p>
        </w:tc>
        <w:tc>
          <w:tcPr>
            <w:tcW w:w="448" w:type="dxa"/>
          </w:tcPr>
          <w:p w14:paraId="3492130F" w14:textId="77777777" w:rsidR="00F415DC" w:rsidRPr="00212F30" w:rsidRDefault="00F415DC" w:rsidP="006B43A2">
            <w:pPr>
              <w:ind w:right="-360"/>
            </w:pPr>
          </w:p>
        </w:tc>
        <w:tc>
          <w:tcPr>
            <w:tcW w:w="448" w:type="dxa"/>
          </w:tcPr>
          <w:p w14:paraId="62F1F7BF" w14:textId="77777777" w:rsidR="00F415DC" w:rsidRPr="00212F30" w:rsidRDefault="00F415DC" w:rsidP="006B43A2">
            <w:pPr>
              <w:ind w:right="-360"/>
            </w:pPr>
          </w:p>
        </w:tc>
        <w:tc>
          <w:tcPr>
            <w:tcW w:w="1960" w:type="dxa"/>
          </w:tcPr>
          <w:p w14:paraId="77BA374B" w14:textId="77777777" w:rsidR="00F415DC" w:rsidRPr="00212F30" w:rsidRDefault="00F415DC" w:rsidP="006B43A2">
            <w:pPr>
              <w:tabs>
                <w:tab w:val="right" w:pos="9180"/>
              </w:tabs>
              <w:ind w:right="-360"/>
            </w:pPr>
          </w:p>
        </w:tc>
        <w:tc>
          <w:tcPr>
            <w:tcW w:w="537" w:type="dxa"/>
          </w:tcPr>
          <w:p w14:paraId="3DE84171" w14:textId="77777777" w:rsidR="00F415DC" w:rsidRPr="00212F30" w:rsidRDefault="00F415DC" w:rsidP="006B43A2">
            <w:pPr>
              <w:tabs>
                <w:tab w:val="right" w:pos="9180"/>
              </w:tabs>
              <w:ind w:right="-18"/>
            </w:pPr>
          </w:p>
        </w:tc>
        <w:tc>
          <w:tcPr>
            <w:tcW w:w="537" w:type="dxa"/>
          </w:tcPr>
          <w:p w14:paraId="12235602" w14:textId="77777777" w:rsidR="00F415DC" w:rsidRPr="00212F30" w:rsidRDefault="00F415DC" w:rsidP="006B43A2">
            <w:pPr>
              <w:tabs>
                <w:tab w:val="right" w:pos="9180"/>
              </w:tabs>
              <w:ind w:right="-360"/>
            </w:pPr>
          </w:p>
        </w:tc>
        <w:tc>
          <w:tcPr>
            <w:tcW w:w="1960" w:type="dxa"/>
          </w:tcPr>
          <w:p w14:paraId="70A748EA" w14:textId="77777777" w:rsidR="00F415DC" w:rsidRPr="00212F30" w:rsidRDefault="00F415DC" w:rsidP="006B43A2">
            <w:pPr>
              <w:tabs>
                <w:tab w:val="right" w:pos="9180"/>
              </w:tabs>
              <w:ind w:right="-360"/>
            </w:pPr>
          </w:p>
        </w:tc>
        <w:tc>
          <w:tcPr>
            <w:tcW w:w="1782" w:type="dxa"/>
            <w:tcBorders>
              <w:top w:val="single" w:sz="4" w:space="0" w:color="auto"/>
            </w:tcBorders>
          </w:tcPr>
          <w:p w14:paraId="5CA53011" w14:textId="77777777" w:rsidR="00F415DC" w:rsidRPr="00212F30" w:rsidRDefault="00F415DC" w:rsidP="006B43A2">
            <w:pPr>
              <w:tabs>
                <w:tab w:val="decimal" w:pos="1295"/>
                <w:tab w:val="right" w:pos="9180"/>
              </w:tabs>
              <w:ind w:right="-18"/>
            </w:pPr>
          </w:p>
        </w:tc>
        <w:tc>
          <w:tcPr>
            <w:tcW w:w="359" w:type="dxa"/>
          </w:tcPr>
          <w:p w14:paraId="4831EE24" w14:textId="77777777" w:rsidR="00F415DC" w:rsidRPr="00212F30" w:rsidRDefault="00F415DC" w:rsidP="006B43A2">
            <w:pPr>
              <w:tabs>
                <w:tab w:val="right" w:pos="9180"/>
              </w:tabs>
              <w:ind w:right="-360"/>
            </w:pPr>
          </w:p>
        </w:tc>
        <w:tc>
          <w:tcPr>
            <w:tcW w:w="1782" w:type="dxa"/>
            <w:tcBorders>
              <w:top w:val="single" w:sz="4" w:space="0" w:color="auto"/>
            </w:tcBorders>
          </w:tcPr>
          <w:p w14:paraId="3E89BF7C" w14:textId="77777777" w:rsidR="00F415DC" w:rsidRPr="00212F30" w:rsidRDefault="00F415DC" w:rsidP="006B43A2">
            <w:pPr>
              <w:tabs>
                <w:tab w:val="decimal" w:pos="1314"/>
                <w:tab w:val="right" w:pos="9180"/>
              </w:tabs>
              <w:ind w:right="-18"/>
            </w:pPr>
          </w:p>
        </w:tc>
      </w:tr>
      <w:tr w:rsidR="006E7CF8" w:rsidRPr="008C287F" w14:paraId="4BBE2179" w14:textId="77777777" w:rsidTr="006B43A2">
        <w:trPr>
          <w:trHeight w:val="230"/>
        </w:trPr>
        <w:tc>
          <w:tcPr>
            <w:tcW w:w="3231" w:type="dxa"/>
            <w:gridSpan w:val="4"/>
          </w:tcPr>
          <w:p w14:paraId="78145097" w14:textId="77777777" w:rsidR="006E7CF8" w:rsidRPr="008C287F" w:rsidRDefault="006E7CF8" w:rsidP="006B43A2">
            <w:pPr>
              <w:tabs>
                <w:tab w:val="right" w:pos="9180"/>
              </w:tabs>
              <w:ind w:right="-360"/>
            </w:pPr>
            <w:r w:rsidRPr="008C287F">
              <w:t>Net loss</w:t>
            </w:r>
          </w:p>
        </w:tc>
        <w:tc>
          <w:tcPr>
            <w:tcW w:w="537" w:type="dxa"/>
          </w:tcPr>
          <w:p w14:paraId="3E649F86" w14:textId="77777777" w:rsidR="006E7CF8" w:rsidRPr="008C287F" w:rsidRDefault="006E7CF8" w:rsidP="006B43A2">
            <w:pPr>
              <w:tabs>
                <w:tab w:val="decimal" w:pos="1062"/>
                <w:tab w:val="right" w:pos="9180"/>
              </w:tabs>
              <w:ind w:right="-18"/>
            </w:pPr>
          </w:p>
        </w:tc>
        <w:tc>
          <w:tcPr>
            <w:tcW w:w="537" w:type="dxa"/>
          </w:tcPr>
          <w:p w14:paraId="3548BC76" w14:textId="77777777" w:rsidR="006E7CF8" w:rsidRPr="008C287F" w:rsidRDefault="006E7CF8" w:rsidP="006B43A2">
            <w:pPr>
              <w:tabs>
                <w:tab w:val="right" w:pos="9180"/>
              </w:tabs>
              <w:ind w:right="-360"/>
            </w:pPr>
          </w:p>
        </w:tc>
        <w:tc>
          <w:tcPr>
            <w:tcW w:w="1960" w:type="dxa"/>
          </w:tcPr>
          <w:p w14:paraId="4272BA1B" w14:textId="77777777" w:rsidR="006E7CF8" w:rsidRPr="008C287F" w:rsidRDefault="006E7CF8" w:rsidP="006B43A2">
            <w:pPr>
              <w:tabs>
                <w:tab w:val="right" w:pos="9180"/>
              </w:tabs>
              <w:ind w:right="-360"/>
            </w:pPr>
          </w:p>
        </w:tc>
        <w:tc>
          <w:tcPr>
            <w:tcW w:w="1782" w:type="dxa"/>
            <w:tcBorders>
              <w:bottom w:val="double" w:sz="4" w:space="0" w:color="auto"/>
            </w:tcBorders>
          </w:tcPr>
          <w:p w14:paraId="465A8356" w14:textId="25658DCB" w:rsidR="006E7CF8" w:rsidRPr="008C287F" w:rsidRDefault="006E7CF8" w:rsidP="006B43A2">
            <w:pPr>
              <w:tabs>
                <w:tab w:val="decimal" w:pos="1295"/>
                <w:tab w:val="right" w:pos="9180"/>
              </w:tabs>
              <w:ind w:right="-18"/>
            </w:pPr>
            <w:r w:rsidRPr="008C287F">
              <w:t>$</w:t>
            </w:r>
            <w:r w:rsidRPr="008C287F">
              <w:tab/>
            </w:r>
            <w:r w:rsidR="00D03835">
              <w:t>(5,850,132)</w:t>
            </w:r>
          </w:p>
        </w:tc>
        <w:tc>
          <w:tcPr>
            <w:tcW w:w="359" w:type="dxa"/>
          </w:tcPr>
          <w:p w14:paraId="196D58CE" w14:textId="77777777" w:rsidR="006E7CF8" w:rsidRPr="008C287F" w:rsidRDefault="006E7CF8" w:rsidP="006B43A2">
            <w:pPr>
              <w:tabs>
                <w:tab w:val="right" w:pos="9180"/>
              </w:tabs>
              <w:ind w:right="-360"/>
            </w:pPr>
          </w:p>
        </w:tc>
        <w:tc>
          <w:tcPr>
            <w:tcW w:w="1782" w:type="dxa"/>
            <w:tcBorders>
              <w:bottom w:val="double" w:sz="4" w:space="0" w:color="auto"/>
            </w:tcBorders>
          </w:tcPr>
          <w:p w14:paraId="12F49328" w14:textId="52921539" w:rsidR="006E7CF8" w:rsidRPr="008C287F" w:rsidRDefault="006E7CF8" w:rsidP="006B43A2">
            <w:pPr>
              <w:tabs>
                <w:tab w:val="decimal" w:pos="1314"/>
                <w:tab w:val="right" w:pos="9180"/>
              </w:tabs>
              <w:ind w:right="-18"/>
            </w:pPr>
            <w:r w:rsidRPr="008C287F">
              <w:t>$</w:t>
            </w:r>
            <w:r w:rsidRPr="008C287F">
              <w:tab/>
              <w:t>(</w:t>
            </w:r>
            <w:r w:rsidR="0051714D">
              <w:t>4,037,916</w:t>
            </w:r>
            <w:r w:rsidRPr="008C287F">
              <w:t>)</w:t>
            </w:r>
          </w:p>
        </w:tc>
      </w:tr>
      <w:tr w:rsidR="006E7CF8" w:rsidRPr="008C287F" w14:paraId="5CBCEBB1" w14:textId="77777777" w:rsidTr="006B43A2">
        <w:trPr>
          <w:trHeight w:val="230"/>
        </w:trPr>
        <w:tc>
          <w:tcPr>
            <w:tcW w:w="375" w:type="dxa"/>
          </w:tcPr>
          <w:p w14:paraId="581704C9" w14:textId="77777777" w:rsidR="006E7CF8" w:rsidRPr="008C287F" w:rsidRDefault="006E7CF8" w:rsidP="006B43A2">
            <w:pPr>
              <w:ind w:right="-360"/>
            </w:pPr>
          </w:p>
        </w:tc>
        <w:tc>
          <w:tcPr>
            <w:tcW w:w="448" w:type="dxa"/>
          </w:tcPr>
          <w:p w14:paraId="061F6718" w14:textId="77777777" w:rsidR="006E7CF8" w:rsidRPr="008C287F" w:rsidRDefault="006E7CF8" w:rsidP="006B43A2">
            <w:pPr>
              <w:ind w:right="-360"/>
            </w:pPr>
          </w:p>
        </w:tc>
        <w:tc>
          <w:tcPr>
            <w:tcW w:w="448" w:type="dxa"/>
          </w:tcPr>
          <w:p w14:paraId="7DC2AF8C" w14:textId="77777777" w:rsidR="006E7CF8" w:rsidRPr="008C287F" w:rsidRDefault="006E7CF8" w:rsidP="006B43A2">
            <w:pPr>
              <w:ind w:right="-360"/>
            </w:pPr>
          </w:p>
        </w:tc>
        <w:tc>
          <w:tcPr>
            <w:tcW w:w="1960" w:type="dxa"/>
          </w:tcPr>
          <w:p w14:paraId="30D59807" w14:textId="77777777" w:rsidR="006E7CF8" w:rsidRPr="008C287F" w:rsidRDefault="006E7CF8" w:rsidP="006B43A2">
            <w:pPr>
              <w:tabs>
                <w:tab w:val="right" w:pos="9180"/>
              </w:tabs>
              <w:ind w:right="-360"/>
            </w:pPr>
          </w:p>
        </w:tc>
        <w:tc>
          <w:tcPr>
            <w:tcW w:w="537" w:type="dxa"/>
          </w:tcPr>
          <w:p w14:paraId="0D361C4A" w14:textId="77777777" w:rsidR="006E7CF8" w:rsidRPr="008C287F" w:rsidRDefault="006E7CF8" w:rsidP="006B43A2">
            <w:pPr>
              <w:tabs>
                <w:tab w:val="right" w:pos="9180"/>
              </w:tabs>
              <w:ind w:right="-18"/>
            </w:pPr>
          </w:p>
        </w:tc>
        <w:tc>
          <w:tcPr>
            <w:tcW w:w="537" w:type="dxa"/>
          </w:tcPr>
          <w:p w14:paraId="6FE7EAE4" w14:textId="77777777" w:rsidR="006E7CF8" w:rsidRPr="008C287F" w:rsidRDefault="006E7CF8" w:rsidP="006B43A2">
            <w:pPr>
              <w:tabs>
                <w:tab w:val="right" w:pos="9180"/>
              </w:tabs>
              <w:ind w:right="-360"/>
            </w:pPr>
          </w:p>
        </w:tc>
        <w:tc>
          <w:tcPr>
            <w:tcW w:w="1960" w:type="dxa"/>
          </w:tcPr>
          <w:p w14:paraId="2F2B2CE2" w14:textId="77777777" w:rsidR="006E7CF8" w:rsidRPr="008C287F" w:rsidRDefault="006E7CF8" w:rsidP="006B43A2">
            <w:pPr>
              <w:tabs>
                <w:tab w:val="right" w:pos="9180"/>
              </w:tabs>
              <w:ind w:right="-360"/>
            </w:pPr>
          </w:p>
        </w:tc>
        <w:tc>
          <w:tcPr>
            <w:tcW w:w="1782" w:type="dxa"/>
          </w:tcPr>
          <w:p w14:paraId="26659DEA" w14:textId="77777777" w:rsidR="006E7CF8" w:rsidRPr="008C287F" w:rsidRDefault="006E7CF8" w:rsidP="006B43A2">
            <w:pPr>
              <w:tabs>
                <w:tab w:val="right" w:pos="9180"/>
              </w:tabs>
              <w:ind w:right="-18"/>
            </w:pPr>
          </w:p>
        </w:tc>
        <w:tc>
          <w:tcPr>
            <w:tcW w:w="359" w:type="dxa"/>
          </w:tcPr>
          <w:p w14:paraId="2367DC3F" w14:textId="77777777" w:rsidR="006E7CF8" w:rsidRPr="008C287F" w:rsidRDefault="006E7CF8" w:rsidP="006B43A2">
            <w:pPr>
              <w:tabs>
                <w:tab w:val="right" w:pos="9180"/>
              </w:tabs>
              <w:ind w:right="-360"/>
            </w:pPr>
          </w:p>
        </w:tc>
        <w:tc>
          <w:tcPr>
            <w:tcW w:w="1782" w:type="dxa"/>
          </w:tcPr>
          <w:p w14:paraId="6279263D" w14:textId="77777777" w:rsidR="006E7CF8" w:rsidRPr="008C287F" w:rsidRDefault="006E7CF8" w:rsidP="006B43A2">
            <w:pPr>
              <w:tabs>
                <w:tab w:val="right" w:pos="9180"/>
              </w:tabs>
              <w:ind w:right="-18"/>
            </w:pPr>
          </w:p>
        </w:tc>
      </w:tr>
      <w:tr w:rsidR="006E7CF8" w:rsidRPr="008C287F" w14:paraId="41079C46" w14:textId="77777777" w:rsidTr="006B43A2">
        <w:trPr>
          <w:trHeight w:val="230"/>
        </w:trPr>
        <w:tc>
          <w:tcPr>
            <w:tcW w:w="3231" w:type="dxa"/>
            <w:gridSpan w:val="4"/>
          </w:tcPr>
          <w:p w14:paraId="56AAD6F7" w14:textId="77777777" w:rsidR="006E7CF8" w:rsidRPr="008C287F" w:rsidRDefault="006E7CF8" w:rsidP="006B43A2">
            <w:pPr>
              <w:tabs>
                <w:tab w:val="right" w:pos="9180"/>
              </w:tabs>
              <w:ind w:right="-360"/>
            </w:pPr>
            <w:r w:rsidRPr="008C287F">
              <w:t>Basic and diluted:</w:t>
            </w:r>
          </w:p>
        </w:tc>
        <w:tc>
          <w:tcPr>
            <w:tcW w:w="537" w:type="dxa"/>
          </w:tcPr>
          <w:p w14:paraId="7305B09F" w14:textId="77777777" w:rsidR="006E7CF8" w:rsidRPr="008C287F" w:rsidRDefault="006E7CF8" w:rsidP="006B43A2">
            <w:pPr>
              <w:tabs>
                <w:tab w:val="right" w:pos="9180"/>
              </w:tabs>
              <w:ind w:right="-18"/>
            </w:pPr>
          </w:p>
        </w:tc>
        <w:tc>
          <w:tcPr>
            <w:tcW w:w="537" w:type="dxa"/>
          </w:tcPr>
          <w:p w14:paraId="3C55BD5F" w14:textId="77777777" w:rsidR="006E7CF8" w:rsidRPr="008C287F" w:rsidRDefault="006E7CF8" w:rsidP="006B43A2">
            <w:pPr>
              <w:tabs>
                <w:tab w:val="right" w:pos="9180"/>
              </w:tabs>
              <w:ind w:right="-360"/>
            </w:pPr>
          </w:p>
        </w:tc>
        <w:tc>
          <w:tcPr>
            <w:tcW w:w="1960" w:type="dxa"/>
          </w:tcPr>
          <w:p w14:paraId="404EB7DC" w14:textId="77777777" w:rsidR="006E7CF8" w:rsidRPr="008C287F" w:rsidRDefault="006E7CF8" w:rsidP="006B43A2">
            <w:pPr>
              <w:tabs>
                <w:tab w:val="right" w:pos="9180"/>
              </w:tabs>
              <w:ind w:right="-360"/>
            </w:pPr>
          </w:p>
        </w:tc>
        <w:tc>
          <w:tcPr>
            <w:tcW w:w="1782" w:type="dxa"/>
          </w:tcPr>
          <w:p w14:paraId="26F03E4D" w14:textId="77777777" w:rsidR="006E7CF8" w:rsidRPr="008C287F" w:rsidRDefault="006E7CF8" w:rsidP="006B43A2">
            <w:pPr>
              <w:tabs>
                <w:tab w:val="right" w:pos="9180"/>
              </w:tabs>
              <w:ind w:right="-18"/>
            </w:pPr>
          </w:p>
        </w:tc>
        <w:tc>
          <w:tcPr>
            <w:tcW w:w="359" w:type="dxa"/>
          </w:tcPr>
          <w:p w14:paraId="6992DF78" w14:textId="77777777" w:rsidR="006E7CF8" w:rsidRPr="008C287F" w:rsidRDefault="006E7CF8" w:rsidP="006B43A2">
            <w:pPr>
              <w:tabs>
                <w:tab w:val="right" w:pos="9180"/>
              </w:tabs>
              <w:ind w:right="-360"/>
            </w:pPr>
          </w:p>
        </w:tc>
        <w:tc>
          <w:tcPr>
            <w:tcW w:w="1782" w:type="dxa"/>
          </w:tcPr>
          <w:p w14:paraId="4293F415" w14:textId="77777777" w:rsidR="006E7CF8" w:rsidRPr="00912408" w:rsidRDefault="006E7CF8" w:rsidP="006B43A2">
            <w:pPr>
              <w:tabs>
                <w:tab w:val="right" w:pos="9180"/>
              </w:tabs>
              <w:ind w:right="-18"/>
            </w:pPr>
          </w:p>
        </w:tc>
      </w:tr>
      <w:tr w:rsidR="00130959" w:rsidRPr="00A43281" w14:paraId="5DA3B8A1" w14:textId="77777777" w:rsidTr="00BB71A7">
        <w:trPr>
          <w:trHeight w:val="230"/>
        </w:trPr>
        <w:tc>
          <w:tcPr>
            <w:tcW w:w="375" w:type="dxa"/>
          </w:tcPr>
          <w:p w14:paraId="5C0310AE" w14:textId="77777777" w:rsidR="00130959" w:rsidRPr="008C287F" w:rsidRDefault="00130959" w:rsidP="006B43A2">
            <w:pPr>
              <w:ind w:right="-360"/>
            </w:pPr>
          </w:p>
        </w:tc>
        <w:tc>
          <w:tcPr>
            <w:tcW w:w="5890" w:type="dxa"/>
            <w:gridSpan w:val="6"/>
          </w:tcPr>
          <w:p w14:paraId="1AB15415" w14:textId="4231F15D" w:rsidR="00130959" w:rsidRPr="00A43281" w:rsidRDefault="00130959" w:rsidP="006B43A2">
            <w:pPr>
              <w:tabs>
                <w:tab w:val="right" w:pos="9180"/>
              </w:tabs>
              <w:ind w:right="-360"/>
            </w:pPr>
            <w:r w:rsidRPr="00A43281">
              <w:t>Net loss per common share</w:t>
            </w:r>
          </w:p>
        </w:tc>
        <w:tc>
          <w:tcPr>
            <w:tcW w:w="1782" w:type="dxa"/>
            <w:tcBorders>
              <w:bottom w:val="double" w:sz="4" w:space="0" w:color="auto"/>
            </w:tcBorders>
          </w:tcPr>
          <w:p w14:paraId="1FF37024" w14:textId="1FB4DD50" w:rsidR="00130959" w:rsidRPr="00A43281" w:rsidRDefault="00130959" w:rsidP="006B43A2">
            <w:pPr>
              <w:tabs>
                <w:tab w:val="decimal" w:pos="1025"/>
                <w:tab w:val="right" w:pos="9180"/>
              </w:tabs>
              <w:ind w:right="-18"/>
            </w:pPr>
            <w:r w:rsidRPr="00A43281">
              <w:t>$</w:t>
            </w:r>
            <w:r w:rsidRPr="00A43281">
              <w:tab/>
            </w:r>
            <w:r w:rsidR="00D03835">
              <w:t>(2.47)</w:t>
            </w:r>
          </w:p>
        </w:tc>
        <w:tc>
          <w:tcPr>
            <w:tcW w:w="359" w:type="dxa"/>
          </w:tcPr>
          <w:p w14:paraId="5921C5A1" w14:textId="77777777" w:rsidR="00130959" w:rsidRPr="00A43281" w:rsidRDefault="00130959" w:rsidP="006B43A2">
            <w:pPr>
              <w:tabs>
                <w:tab w:val="right" w:pos="9180"/>
              </w:tabs>
              <w:ind w:right="-360"/>
            </w:pPr>
          </w:p>
        </w:tc>
        <w:tc>
          <w:tcPr>
            <w:tcW w:w="1782" w:type="dxa"/>
            <w:tcBorders>
              <w:bottom w:val="double" w:sz="4" w:space="0" w:color="auto"/>
            </w:tcBorders>
          </w:tcPr>
          <w:p w14:paraId="7FA7A64C" w14:textId="148E108B" w:rsidR="00130959" w:rsidRPr="00912408" w:rsidRDefault="00130959" w:rsidP="006B43A2">
            <w:pPr>
              <w:tabs>
                <w:tab w:val="decimal" w:pos="1044"/>
                <w:tab w:val="right" w:pos="9180"/>
              </w:tabs>
              <w:ind w:right="-18"/>
            </w:pPr>
            <w:r w:rsidRPr="00912408">
              <w:t>$</w:t>
            </w:r>
            <w:r w:rsidRPr="00912408">
              <w:tab/>
              <w:t>(</w:t>
            </w:r>
            <w:r w:rsidR="00912408" w:rsidRPr="00912408">
              <w:t>2.30</w:t>
            </w:r>
            <w:r w:rsidRPr="00912408">
              <w:t>)</w:t>
            </w:r>
          </w:p>
        </w:tc>
      </w:tr>
      <w:tr w:rsidR="006E7CF8" w:rsidRPr="00212F30" w14:paraId="2F8D1164" w14:textId="77777777" w:rsidTr="006B43A2">
        <w:trPr>
          <w:trHeight w:val="230"/>
        </w:trPr>
        <w:tc>
          <w:tcPr>
            <w:tcW w:w="375" w:type="dxa"/>
          </w:tcPr>
          <w:p w14:paraId="6CEEDE9D" w14:textId="77777777" w:rsidR="006E7CF8" w:rsidRPr="00A43281" w:rsidRDefault="006E7CF8" w:rsidP="006B43A2">
            <w:pPr>
              <w:ind w:right="-360"/>
            </w:pPr>
          </w:p>
        </w:tc>
        <w:tc>
          <w:tcPr>
            <w:tcW w:w="3393" w:type="dxa"/>
            <w:gridSpan w:val="4"/>
          </w:tcPr>
          <w:p w14:paraId="22DF1CFB" w14:textId="77777777" w:rsidR="006E7CF8" w:rsidRPr="00A43281" w:rsidRDefault="006E7CF8" w:rsidP="006B43A2">
            <w:pPr>
              <w:tabs>
                <w:tab w:val="right" w:pos="9180"/>
              </w:tabs>
              <w:ind w:right="-18"/>
            </w:pPr>
            <w:r w:rsidRPr="00A43281">
              <w:t>Weighted average shares outstanding</w:t>
            </w:r>
          </w:p>
        </w:tc>
        <w:tc>
          <w:tcPr>
            <w:tcW w:w="537" w:type="dxa"/>
          </w:tcPr>
          <w:p w14:paraId="64678B0B" w14:textId="77777777" w:rsidR="006E7CF8" w:rsidRPr="00A43281" w:rsidRDefault="006E7CF8" w:rsidP="006B43A2">
            <w:pPr>
              <w:tabs>
                <w:tab w:val="right" w:pos="9180"/>
              </w:tabs>
              <w:ind w:right="-360"/>
            </w:pPr>
          </w:p>
        </w:tc>
        <w:tc>
          <w:tcPr>
            <w:tcW w:w="1960" w:type="dxa"/>
          </w:tcPr>
          <w:p w14:paraId="734E183C" w14:textId="77777777" w:rsidR="006E7CF8" w:rsidRPr="00A43281" w:rsidRDefault="006E7CF8" w:rsidP="006B43A2">
            <w:pPr>
              <w:tabs>
                <w:tab w:val="right" w:pos="9180"/>
              </w:tabs>
              <w:ind w:right="-360"/>
            </w:pPr>
          </w:p>
        </w:tc>
        <w:tc>
          <w:tcPr>
            <w:tcW w:w="1782" w:type="dxa"/>
            <w:tcBorders>
              <w:top w:val="double" w:sz="4" w:space="0" w:color="auto"/>
              <w:bottom w:val="double" w:sz="4" w:space="0" w:color="auto"/>
            </w:tcBorders>
          </w:tcPr>
          <w:p w14:paraId="16049D93" w14:textId="0602DBC2" w:rsidR="006E7CF8" w:rsidRPr="00A43281" w:rsidRDefault="006E7CF8" w:rsidP="006B43A2">
            <w:pPr>
              <w:tabs>
                <w:tab w:val="decimal" w:pos="1295"/>
                <w:tab w:val="right" w:pos="9180"/>
              </w:tabs>
              <w:ind w:right="-18"/>
            </w:pPr>
            <w:r w:rsidRPr="00A43281">
              <w:tab/>
            </w:r>
            <w:r w:rsidR="00D03835">
              <w:t>2,367,050</w:t>
            </w:r>
          </w:p>
        </w:tc>
        <w:tc>
          <w:tcPr>
            <w:tcW w:w="359" w:type="dxa"/>
          </w:tcPr>
          <w:p w14:paraId="4A1DD9E8" w14:textId="77777777" w:rsidR="006E7CF8" w:rsidRPr="00A43281" w:rsidRDefault="006E7CF8" w:rsidP="006B43A2">
            <w:pPr>
              <w:tabs>
                <w:tab w:val="right" w:pos="9180"/>
              </w:tabs>
              <w:ind w:right="-360"/>
            </w:pPr>
          </w:p>
        </w:tc>
        <w:tc>
          <w:tcPr>
            <w:tcW w:w="1782" w:type="dxa"/>
            <w:tcBorders>
              <w:top w:val="double" w:sz="4" w:space="0" w:color="auto"/>
              <w:bottom w:val="double" w:sz="4" w:space="0" w:color="auto"/>
            </w:tcBorders>
          </w:tcPr>
          <w:p w14:paraId="763D7A63" w14:textId="78263917" w:rsidR="00A43281" w:rsidRPr="00912408" w:rsidRDefault="006E7CF8" w:rsidP="006B43A2">
            <w:pPr>
              <w:tabs>
                <w:tab w:val="decimal" w:pos="1314"/>
                <w:tab w:val="right" w:pos="9180"/>
              </w:tabs>
              <w:ind w:right="-18"/>
            </w:pPr>
            <w:r w:rsidRPr="00912408">
              <w:tab/>
            </w:r>
            <w:r w:rsidR="00912408" w:rsidRPr="00912408">
              <w:t>1,755,905</w:t>
            </w:r>
          </w:p>
        </w:tc>
      </w:tr>
      <w:tr w:rsidR="006E7CF8" w:rsidRPr="00212F30" w14:paraId="786719D9" w14:textId="77777777" w:rsidTr="006B43A2">
        <w:trPr>
          <w:trHeight w:val="230"/>
        </w:trPr>
        <w:tc>
          <w:tcPr>
            <w:tcW w:w="3231" w:type="dxa"/>
            <w:gridSpan w:val="4"/>
          </w:tcPr>
          <w:p w14:paraId="51E0F2AF" w14:textId="77777777" w:rsidR="006E7CF8" w:rsidRPr="00212F30" w:rsidRDefault="006E7CF8" w:rsidP="006B43A2">
            <w:pPr>
              <w:tabs>
                <w:tab w:val="right" w:pos="9180"/>
              </w:tabs>
              <w:ind w:right="-360"/>
            </w:pPr>
          </w:p>
        </w:tc>
        <w:tc>
          <w:tcPr>
            <w:tcW w:w="537" w:type="dxa"/>
          </w:tcPr>
          <w:p w14:paraId="3DCAF6BF" w14:textId="77777777" w:rsidR="006E7CF8" w:rsidRPr="00212F30" w:rsidRDefault="006E7CF8" w:rsidP="006B43A2">
            <w:pPr>
              <w:tabs>
                <w:tab w:val="decimal" w:pos="882"/>
                <w:tab w:val="right" w:pos="9180"/>
              </w:tabs>
              <w:ind w:right="-18"/>
            </w:pPr>
          </w:p>
        </w:tc>
        <w:tc>
          <w:tcPr>
            <w:tcW w:w="537" w:type="dxa"/>
          </w:tcPr>
          <w:p w14:paraId="2E68C8B1" w14:textId="77777777" w:rsidR="006E7CF8" w:rsidRPr="00212F30" w:rsidRDefault="006E7CF8" w:rsidP="006B43A2">
            <w:pPr>
              <w:tabs>
                <w:tab w:val="right" w:pos="9180"/>
              </w:tabs>
              <w:ind w:right="-360"/>
            </w:pPr>
          </w:p>
        </w:tc>
        <w:tc>
          <w:tcPr>
            <w:tcW w:w="1960" w:type="dxa"/>
          </w:tcPr>
          <w:p w14:paraId="04E7F6D6" w14:textId="77777777" w:rsidR="006E7CF8" w:rsidRPr="00212F30" w:rsidRDefault="006E7CF8" w:rsidP="006B43A2">
            <w:pPr>
              <w:tabs>
                <w:tab w:val="right" w:pos="9180"/>
              </w:tabs>
              <w:ind w:right="-360"/>
            </w:pPr>
          </w:p>
        </w:tc>
        <w:tc>
          <w:tcPr>
            <w:tcW w:w="1782" w:type="dxa"/>
          </w:tcPr>
          <w:p w14:paraId="51F51CA0" w14:textId="77777777" w:rsidR="006E7CF8" w:rsidRPr="00212F30" w:rsidRDefault="006E7CF8" w:rsidP="006B43A2">
            <w:pPr>
              <w:tabs>
                <w:tab w:val="decimal" w:pos="792"/>
                <w:tab w:val="right" w:pos="9180"/>
              </w:tabs>
              <w:ind w:right="-18"/>
            </w:pPr>
          </w:p>
        </w:tc>
        <w:tc>
          <w:tcPr>
            <w:tcW w:w="359" w:type="dxa"/>
          </w:tcPr>
          <w:p w14:paraId="4357F865" w14:textId="77777777" w:rsidR="006E7CF8" w:rsidRPr="00212F30" w:rsidRDefault="006E7CF8" w:rsidP="006B43A2">
            <w:pPr>
              <w:tabs>
                <w:tab w:val="right" w:pos="9180"/>
              </w:tabs>
              <w:ind w:right="-360"/>
            </w:pPr>
          </w:p>
        </w:tc>
        <w:tc>
          <w:tcPr>
            <w:tcW w:w="1782" w:type="dxa"/>
          </w:tcPr>
          <w:p w14:paraId="20E12577" w14:textId="77777777" w:rsidR="006E7CF8" w:rsidRPr="00912408" w:rsidRDefault="006E7CF8" w:rsidP="006B43A2">
            <w:pPr>
              <w:tabs>
                <w:tab w:val="decimal" w:pos="702"/>
                <w:tab w:val="right" w:pos="9180"/>
              </w:tabs>
              <w:ind w:right="-18"/>
            </w:pPr>
          </w:p>
        </w:tc>
      </w:tr>
      <w:tr w:rsidR="006E7CF8" w:rsidRPr="00212F30" w14:paraId="04C2F8A6" w14:textId="77777777" w:rsidTr="006B43A2">
        <w:trPr>
          <w:trHeight w:val="230"/>
        </w:trPr>
        <w:tc>
          <w:tcPr>
            <w:tcW w:w="3231" w:type="dxa"/>
            <w:gridSpan w:val="4"/>
          </w:tcPr>
          <w:p w14:paraId="26578EF2" w14:textId="77777777" w:rsidR="006E7CF8" w:rsidRPr="00212F30" w:rsidRDefault="006E7CF8" w:rsidP="006B43A2">
            <w:pPr>
              <w:tabs>
                <w:tab w:val="right" w:pos="9180"/>
              </w:tabs>
              <w:ind w:right="-360"/>
            </w:pPr>
          </w:p>
        </w:tc>
        <w:tc>
          <w:tcPr>
            <w:tcW w:w="537" w:type="dxa"/>
          </w:tcPr>
          <w:p w14:paraId="0813B029" w14:textId="77777777" w:rsidR="006E7CF8" w:rsidRPr="00212F30" w:rsidRDefault="006E7CF8" w:rsidP="006B43A2">
            <w:pPr>
              <w:tabs>
                <w:tab w:val="decimal" w:pos="882"/>
                <w:tab w:val="right" w:pos="9180"/>
              </w:tabs>
              <w:ind w:right="-18"/>
            </w:pPr>
          </w:p>
        </w:tc>
        <w:tc>
          <w:tcPr>
            <w:tcW w:w="537" w:type="dxa"/>
          </w:tcPr>
          <w:p w14:paraId="7659CAFD" w14:textId="77777777" w:rsidR="006E7CF8" w:rsidRPr="00212F30" w:rsidRDefault="006E7CF8" w:rsidP="006B43A2">
            <w:pPr>
              <w:tabs>
                <w:tab w:val="right" w:pos="9180"/>
              </w:tabs>
              <w:ind w:right="-360"/>
            </w:pPr>
          </w:p>
        </w:tc>
        <w:tc>
          <w:tcPr>
            <w:tcW w:w="1960" w:type="dxa"/>
          </w:tcPr>
          <w:p w14:paraId="6DCD51A8" w14:textId="77777777" w:rsidR="006E7CF8" w:rsidRPr="00212F30" w:rsidRDefault="006E7CF8" w:rsidP="006B43A2">
            <w:pPr>
              <w:tabs>
                <w:tab w:val="right" w:pos="9180"/>
              </w:tabs>
              <w:ind w:right="-360"/>
            </w:pPr>
          </w:p>
        </w:tc>
        <w:tc>
          <w:tcPr>
            <w:tcW w:w="1782" w:type="dxa"/>
          </w:tcPr>
          <w:p w14:paraId="78C27CB5" w14:textId="77777777" w:rsidR="006E7CF8" w:rsidRPr="00212F30" w:rsidRDefault="006E7CF8" w:rsidP="006B43A2">
            <w:pPr>
              <w:tabs>
                <w:tab w:val="decimal" w:pos="792"/>
                <w:tab w:val="right" w:pos="9180"/>
              </w:tabs>
              <w:ind w:right="-18"/>
            </w:pPr>
          </w:p>
        </w:tc>
        <w:tc>
          <w:tcPr>
            <w:tcW w:w="359" w:type="dxa"/>
          </w:tcPr>
          <w:p w14:paraId="5837347F" w14:textId="77777777" w:rsidR="006E7CF8" w:rsidRPr="00212F30" w:rsidRDefault="006E7CF8" w:rsidP="006B43A2">
            <w:pPr>
              <w:tabs>
                <w:tab w:val="right" w:pos="9180"/>
              </w:tabs>
              <w:ind w:right="-360"/>
            </w:pPr>
          </w:p>
        </w:tc>
        <w:tc>
          <w:tcPr>
            <w:tcW w:w="1782" w:type="dxa"/>
          </w:tcPr>
          <w:p w14:paraId="58E5D902" w14:textId="77777777" w:rsidR="006E7CF8" w:rsidRPr="00212F30" w:rsidRDefault="006E7CF8" w:rsidP="006B43A2">
            <w:pPr>
              <w:tabs>
                <w:tab w:val="decimal" w:pos="702"/>
                <w:tab w:val="right" w:pos="9180"/>
              </w:tabs>
              <w:ind w:right="-18"/>
            </w:pPr>
          </w:p>
        </w:tc>
      </w:tr>
      <w:tr w:rsidR="006E7CF8" w:rsidRPr="00212F30" w14:paraId="3F2F5080" w14:textId="77777777" w:rsidTr="006B43A2">
        <w:trPr>
          <w:trHeight w:val="230"/>
        </w:trPr>
        <w:tc>
          <w:tcPr>
            <w:tcW w:w="3231" w:type="dxa"/>
            <w:gridSpan w:val="4"/>
          </w:tcPr>
          <w:p w14:paraId="46C9A064" w14:textId="77777777" w:rsidR="006E7CF8" w:rsidRPr="00212F30" w:rsidRDefault="006E7CF8" w:rsidP="006B43A2">
            <w:pPr>
              <w:tabs>
                <w:tab w:val="right" w:pos="9180"/>
              </w:tabs>
              <w:ind w:right="-360"/>
            </w:pPr>
          </w:p>
        </w:tc>
        <w:tc>
          <w:tcPr>
            <w:tcW w:w="537" w:type="dxa"/>
          </w:tcPr>
          <w:p w14:paraId="401AFCFC" w14:textId="77777777" w:rsidR="006E7CF8" w:rsidRPr="00212F30" w:rsidRDefault="006E7CF8" w:rsidP="006B43A2">
            <w:pPr>
              <w:tabs>
                <w:tab w:val="decimal" w:pos="882"/>
                <w:tab w:val="right" w:pos="9180"/>
              </w:tabs>
              <w:ind w:right="-18"/>
            </w:pPr>
          </w:p>
        </w:tc>
        <w:tc>
          <w:tcPr>
            <w:tcW w:w="537" w:type="dxa"/>
          </w:tcPr>
          <w:p w14:paraId="66683586" w14:textId="77777777" w:rsidR="006E7CF8" w:rsidRPr="00212F30" w:rsidRDefault="006E7CF8" w:rsidP="006B43A2">
            <w:pPr>
              <w:tabs>
                <w:tab w:val="right" w:pos="9180"/>
              </w:tabs>
              <w:ind w:right="-360"/>
            </w:pPr>
          </w:p>
        </w:tc>
        <w:tc>
          <w:tcPr>
            <w:tcW w:w="1960" w:type="dxa"/>
          </w:tcPr>
          <w:p w14:paraId="46DA37B0" w14:textId="77777777" w:rsidR="006E7CF8" w:rsidRPr="00212F30" w:rsidRDefault="006E7CF8" w:rsidP="006B43A2">
            <w:pPr>
              <w:tabs>
                <w:tab w:val="right" w:pos="9180"/>
              </w:tabs>
              <w:ind w:right="-360"/>
            </w:pPr>
          </w:p>
        </w:tc>
        <w:tc>
          <w:tcPr>
            <w:tcW w:w="1782" w:type="dxa"/>
          </w:tcPr>
          <w:p w14:paraId="3C9724E4" w14:textId="77777777" w:rsidR="006E7CF8" w:rsidRPr="00212F30" w:rsidRDefault="006E7CF8" w:rsidP="006B43A2">
            <w:pPr>
              <w:tabs>
                <w:tab w:val="decimal" w:pos="792"/>
                <w:tab w:val="right" w:pos="9180"/>
              </w:tabs>
              <w:ind w:right="-18"/>
            </w:pPr>
          </w:p>
        </w:tc>
        <w:tc>
          <w:tcPr>
            <w:tcW w:w="359" w:type="dxa"/>
          </w:tcPr>
          <w:p w14:paraId="0D6F2363" w14:textId="77777777" w:rsidR="006E7CF8" w:rsidRPr="00212F30" w:rsidRDefault="006E7CF8" w:rsidP="006B43A2">
            <w:pPr>
              <w:tabs>
                <w:tab w:val="right" w:pos="9180"/>
              </w:tabs>
              <w:ind w:right="-360"/>
            </w:pPr>
          </w:p>
        </w:tc>
        <w:tc>
          <w:tcPr>
            <w:tcW w:w="1782" w:type="dxa"/>
          </w:tcPr>
          <w:p w14:paraId="7BAD374C" w14:textId="77777777" w:rsidR="006E7CF8" w:rsidRPr="00212F30" w:rsidRDefault="006E7CF8" w:rsidP="006B43A2">
            <w:pPr>
              <w:tabs>
                <w:tab w:val="decimal" w:pos="702"/>
                <w:tab w:val="right" w:pos="9180"/>
              </w:tabs>
              <w:ind w:right="-18"/>
            </w:pPr>
          </w:p>
        </w:tc>
      </w:tr>
    </w:tbl>
    <w:p w14:paraId="043E7F80" w14:textId="3D1384C7" w:rsidR="006E7CF8" w:rsidRDefault="006E7CF8" w:rsidP="00643C84">
      <w:pPr>
        <w:tabs>
          <w:tab w:val="left" w:pos="1080"/>
          <w:tab w:val="left" w:pos="1260"/>
          <w:tab w:val="left" w:pos="2340"/>
          <w:tab w:val="right" w:pos="9180"/>
        </w:tabs>
        <w:ind w:right="-360"/>
      </w:pPr>
    </w:p>
    <w:p w14:paraId="30D9981E" w14:textId="4598894B" w:rsidR="006E7CF8" w:rsidRDefault="006E7CF8" w:rsidP="00643C84">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4B1D042D" w:rsidR="00487CAB" w:rsidRPr="00487CAB" w:rsidRDefault="00487CAB" w:rsidP="00487CAB">
      <w:pPr>
        <w:jc w:val="center"/>
        <w:rPr>
          <w:b/>
        </w:rPr>
      </w:pPr>
      <w:r w:rsidRPr="00487CAB">
        <w:rPr>
          <w:b/>
        </w:rPr>
        <w:t>CONDENSED CONSOLIDATED STATEMENTS OF CHANGES IN STOCKHOLDERS’ EQUITY</w:t>
      </w:r>
    </w:p>
    <w:p w14:paraId="5DBBABFB" w14:textId="77777777" w:rsidR="00487CAB" w:rsidRPr="00487CAB" w:rsidRDefault="00487CAB" w:rsidP="00487CAB">
      <w:pPr>
        <w:jc w:val="center"/>
        <w:rPr>
          <w:b/>
        </w:rPr>
      </w:pPr>
      <w:r w:rsidRPr="00487CAB">
        <w:rPr>
          <w:b/>
        </w:rPr>
        <w:t>(Unaudited)</w:t>
      </w:r>
    </w:p>
    <w:p w14:paraId="525E1FD5" w14:textId="6AEDE750" w:rsidR="00487CAB" w:rsidRDefault="00487CAB" w:rsidP="00487CAB">
      <w:pPr>
        <w:tabs>
          <w:tab w:val="decimal" w:pos="1152"/>
          <w:tab w:val="left" w:pos="2340"/>
          <w:tab w:val="right" w:pos="9180"/>
        </w:tabs>
        <w:rPr>
          <w:snapToGrid w:val="0"/>
          <w:color w:val="000000"/>
        </w:rPr>
      </w:pPr>
    </w:p>
    <w:p w14:paraId="59607F37" w14:textId="77777777" w:rsidR="00BB5D3A" w:rsidRDefault="00BB5D3A" w:rsidP="00487CAB">
      <w:pPr>
        <w:tabs>
          <w:tab w:val="decimal" w:pos="1152"/>
          <w:tab w:val="left" w:pos="2340"/>
          <w:tab w:val="right" w:pos="9180"/>
        </w:tabs>
        <w:rPr>
          <w:snapToGrid w:val="0"/>
          <w:color w:val="000000"/>
        </w:rPr>
      </w:pPr>
    </w:p>
    <w:p w14:paraId="6DA02B43" w14:textId="77777777" w:rsidR="0051714D" w:rsidRDefault="0051714D" w:rsidP="00487CAB">
      <w:pPr>
        <w:tabs>
          <w:tab w:val="decimal" w:pos="1152"/>
          <w:tab w:val="left" w:pos="2340"/>
          <w:tab w:val="right" w:pos="9180"/>
        </w:tabs>
        <w:rPr>
          <w:snapToGrid w:val="0"/>
          <w:color w:val="000000"/>
        </w:rPr>
      </w:pPr>
    </w:p>
    <w:p w14:paraId="4338655E" w14:textId="77777777" w:rsidR="0051714D" w:rsidRDefault="0051714D" w:rsidP="00487CAB">
      <w:pPr>
        <w:tabs>
          <w:tab w:val="decimal" w:pos="1152"/>
          <w:tab w:val="left" w:pos="2340"/>
          <w:tab w:val="right" w:pos="9180"/>
        </w:tabs>
        <w:rPr>
          <w:snapToGrid w:val="0"/>
          <w:color w:val="000000"/>
        </w:rPr>
      </w:pPr>
    </w:p>
    <w:tbl>
      <w:tblPr>
        <w:tblStyle w:val="TableGrid2"/>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440"/>
        <w:gridCol w:w="1710"/>
        <w:gridCol w:w="90"/>
      </w:tblGrid>
      <w:tr w:rsidR="0051714D" w:rsidRPr="00487CAB" w14:paraId="47D2F16F" w14:textId="77777777" w:rsidTr="00936552">
        <w:trPr>
          <w:gridAfter w:val="1"/>
          <w:wAfter w:w="90" w:type="dxa"/>
        </w:trPr>
        <w:tc>
          <w:tcPr>
            <w:tcW w:w="4410" w:type="dxa"/>
          </w:tcPr>
          <w:p w14:paraId="6F859A83" w14:textId="77777777" w:rsidR="0051714D" w:rsidRPr="00487CAB" w:rsidRDefault="0051714D" w:rsidP="00321A15">
            <w:pPr>
              <w:tabs>
                <w:tab w:val="left" w:pos="144"/>
                <w:tab w:val="left" w:pos="324"/>
                <w:tab w:val="right" w:pos="9180"/>
              </w:tabs>
              <w:rPr>
                <w:snapToGrid w:val="0"/>
                <w:color w:val="000000"/>
                <w:sz w:val="19"/>
                <w:szCs w:val="19"/>
              </w:rPr>
            </w:pPr>
          </w:p>
        </w:tc>
        <w:tc>
          <w:tcPr>
            <w:tcW w:w="720" w:type="dxa"/>
          </w:tcPr>
          <w:p w14:paraId="7385901E" w14:textId="77777777" w:rsidR="0051714D" w:rsidRPr="00487CAB" w:rsidRDefault="0051714D" w:rsidP="00321A15">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65F6CAE7" w14:textId="51573969" w:rsidR="0051714D" w:rsidRPr="00487CAB" w:rsidRDefault="0051714D" w:rsidP="00321A15">
            <w:pPr>
              <w:tabs>
                <w:tab w:val="left" w:pos="2340"/>
                <w:tab w:val="right" w:pos="9180"/>
              </w:tabs>
              <w:jc w:val="center"/>
              <w:rPr>
                <w:snapToGrid w:val="0"/>
                <w:color w:val="000000"/>
                <w:sz w:val="19"/>
                <w:szCs w:val="19"/>
              </w:rPr>
            </w:pPr>
            <w:r>
              <w:rPr>
                <w:snapToGrid w:val="0"/>
                <w:color w:val="000000"/>
                <w:sz w:val="19"/>
                <w:szCs w:val="19"/>
              </w:rPr>
              <w:t>Three Months Ended March 31, 2024</w:t>
            </w:r>
          </w:p>
        </w:tc>
      </w:tr>
      <w:tr w:rsidR="0051714D" w:rsidRPr="00487CAB" w14:paraId="396155D4" w14:textId="77777777" w:rsidTr="00936552">
        <w:tc>
          <w:tcPr>
            <w:tcW w:w="4410" w:type="dxa"/>
          </w:tcPr>
          <w:p w14:paraId="02851049" w14:textId="77777777" w:rsidR="0051714D" w:rsidRPr="00487CAB" w:rsidRDefault="0051714D" w:rsidP="00321A15">
            <w:pPr>
              <w:tabs>
                <w:tab w:val="left" w:pos="144"/>
                <w:tab w:val="left" w:pos="324"/>
                <w:tab w:val="right" w:pos="9180"/>
              </w:tabs>
              <w:rPr>
                <w:snapToGrid w:val="0"/>
                <w:color w:val="000000"/>
                <w:sz w:val="19"/>
                <w:szCs w:val="19"/>
              </w:rPr>
            </w:pPr>
          </w:p>
        </w:tc>
        <w:tc>
          <w:tcPr>
            <w:tcW w:w="720" w:type="dxa"/>
          </w:tcPr>
          <w:p w14:paraId="45CE75A5" w14:textId="77777777" w:rsidR="0051714D" w:rsidRPr="00487CAB" w:rsidRDefault="0051714D" w:rsidP="00321A15">
            <w:pPr>
              <w:tabs>
                <w:tab w:val="decimal" w:pos="1148"/>
                <w:tab w:val="right" w:pos="9180"/>
              </w:tabs>
              <w:jc w:val="center"/>
              <w:rPr>
                <w:snapToGrid w:val="0"/>
                <w:color w:val="000000"/>
                <w:sz w:val="19"/>
                <w:szCs w:val="19"/>
              </w:rPr>
            </w:pPr>
          </w:p>
        </w:tc>
        <w:tc>
          <w:tcPr>
            <w:tcW w:w="1440" w:type="dxa"/>
            <w:tcBorders>
              <w:top w:val="single" w:sz="4" w:space="0" w:color="auto"/>
            </w:tcBorders>
          </w:tcPr>
          <w:p w14:paraId="1C840C78" w14:textId="77777777" w:rsidR="0051714D" w:rsidRPr="00487CAB" w:rsidRDefault="0051714D" w:rsidP="00321A15">
            <w:pPr>
              <w:tabs>
                <w:tab w:val="decimal" w:pos="1148"/>
                <w:tab w:val="right" w:pos="9180"/>
              </w:tabs>
              <w:jc w:val="center"/>
              <w:rPr>
                <w:snapToGrid w:val="0"/>
                <w:color w:val="000000"/>
                <w:sz w:val="19"/>
                <w:szCs w:val="19"/>
              </w:rPr>
            </w:pPr>
          </w:p>
        </w:tc>
        <w:tc>
          <w:tcPr>
            <w:tcW w:w="1170" w:type="dxa"/>
            <w:tcBorders>
              <w:top w:val="single" w:sz="4" w:space="0" w:color="auto"/>
            </w:tcBorders>
          </w:tcPr>
          <w:p w14:paraId="10DF13B0" w14:textId="77777777" w:rsidR="0051714D" w:rsidRPr="00487CAB" w:rsidRDefault="0051714D" w:rsidP="00321A15">
            <w:pPr>
              <w:tabs>
                <w:tab w:val="decimal" w:pos="1148"/>
                <w:tab w:val="right" w:pos="9180"/>
              </w:tabs>
              <w:jc w:val="center"/>
              <w:rPr>
                <w:snapToGrid w:val="0"/>
                <w:color w:val="000000"/>
                <w:sz w:val="19"/>
                <w:szCs w:val="19"/>
              </w:rPr>
            </w:pPr>
          </w:p>
        </w:tc>
        <w:tc>
          <w:tcPr>
            <w:tcW w:w="1440" w:type="dxa"/>
            <w:tcBorders>
              <w:top w:val="single" w:sz="4" w:space="0" w:color="auto"/>
            </w:tcBorders>
          </w:tcPr>
          <w:p w14:paraId="59031456" w14:textId="77777777" w:rsidR="0051714D" w:rsidRPr="00487CAB" w:rsidRDefault="0051714D" w:rsidP="00321A15">
            <w:pPr>
              <w:tabs>
                <w:tab w:val="decimal" w:pos="1148"/>
                <w:tab w:val="right" w:pos="9180"/>
              </w:tabs>
              <w:jc w:val="center"/>
              <w:rPr>
                <w:snapToGrid w:val="0"/>
                <w:color w:val="000000"/>
                <w:sz w:val="19"/>
                <w:szCs w:val="19"/>
              </w:rPr>
            </w:pPr>
          </w:p>
        </w:tc>
        <w:tc>
          <w:tcPr>
            <w:tcW w:w="1440" w:type="dxa"/>
            <w:tcBorders>
              <w:top w:val="single" w:sz="4" w:space="0" w:color="auto"/>
            </w:tcBorders>
          </w:tcPr>
          <w:p w14:paraId="6630196E" w14:textId="77777777" w:rsidR="0051714D" w:rsidRPr="00487CAB" w:rsidRDefault="0051714D" w:rsidP="00321A15">
            <w:pPr>
              <w:tabs>
                <w:tab w:val="right" w:pos="9180"/>
              </w:tabs>
              <w:jc w:val="center"/>
              <w:rPr>
                <w:snapToGrid w:val="0"/>
                <w:color w:val="000000"/>
                <w:sz w:val="19"/>
                <w:szCs w:val="19"/>
              </w:rPr>
            </w:pPr>
          </w:p>
        </w:tc>
        <w:tc>
          <w:tcPr>
            <w:tcW w:w="1800" w:type="dxa"/>
            <w:gridSpan w:val="2"/>
            <w:tcBorders>
              <w:top w:val="single" w:sz="4" w:space="0" w:color="auto"/>
            </w:tcBorders>
          </w:tcPr>
          <w:p w14:paraId="5E4C8A45" w14:textId="77777777" w:rsidR="0051714D" w:rsidRPr="00487CAB" w:rsidRDefault="0051714D" w:rsidP="00321A15">
            <w:pPr>
              <w:tabs>
                <w:tab w:val="left" w:pos="2340"/>
                <w:tab w:val="right" w:pos="9180"/>
              </w:tabs>
              <w:jc w:val="center"/>
              <w:rPr>
                <w:snapToGrid w:val="0"/>
                <w:color w:val="000000"/>
                <w:sz w:val="19"/>
                <w:szCs w:val="19"/>
              </w:rPr>
            </w:pPr>
            <w:r>
              <w:rPr>
                <w:snapToGrid w:val="0"/>
                <w:color w:val="000000"/>
                <w:sz w:val="19"/>
                <w:szCs w:val="19"/>
              </w:rPr>
              <w:t>Total</w:t>
            </w:r>
          </w:p>
        </w:tc>
      </w:tr>
      <w:tr w:rsidR="0051714D" w:rsidRPr="00487CAB" w14:paraId="26313AA5" w14:textId="77777777" w:rsidTr="00936552">
        <w:tc>
          <w:tcPr>
            <w:tcW w:w="4410" w:type="dxa"/>
          </w:tcPr>
          <w:p w14:paraId="66267AE8" w14:textId="77777777" w:rsidR="0051714D" w:rsidRPr="00487CAB" w:rsidRDefault="0051714D" w:rsidP="00321A15">
            <w:pPr>
              <w:tabs>
                <w:tab w:val="left" w:pos="144"/>
                <w:tab w:val="left" w:pos="324"/>
                <w:tab w:val="right" w:pos="9180"/>
              </w:tabs>
              <w:rPr>
                <w:snapToGrid w:val="0"/>
                <w:color w:val="000000"/>
                <w:sz w:val="19"/>
                <w:szCs w:val="19"/>
              </w:rPr>
            </w:pPr>
          </w:p>
        </w:tc>
        <w:tc>
          <w:tcPr>
            <w:tcW w:w="720" w:type="dxa"/>
          </w:tcPr>
          <w:p w14:paraId="6D460EC3" w14:textId="77777777" w:rsidR="0051714D" w:rsidRPr="00487CAB" w:rsidRDefault="0051714D" w:rsidP="00321A15">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33B1520A" w14:textId="77777777" w:rsidR="0051714D" w:rsidRPr="00487CAB" w:rsidRDefault="0051714D" w:rsidP="00321A15">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34A52592" w14:textId="77777777" w:rsidR="0051714D" w:rsidRPr="00487CAB" w:rsidRDefault="0051714D" w:rsidP="00321A15">
            <w:pPr>
              <w:tabs>
                <w:tab w:val="decimal" w:pos="1148"/>
                <w:tab w:val="right" w:pos="9180"/>
              </w:tabs>
              <w:jc w:val="center"/>
              <w:rPr>
                <w:snapToGrid w:val="0"/>
                <w:color w:val="000000"/>
                <w:sz w:val="19"/>
                <w:szCs w:val="19"/>
              </w:rPr>
            </w:pPr>
            <w:r>
              <w:rPr>
                <w:snapToGrid w:val="0"/>
                <w:color w:val="000000"/>
                <w:sz w:val="19"/>
                <w:szCs w:val="19"/>
              </w:rPr>
              <w:t>Additional</w:t>
            </w:r>
          </w:p>
        </w:tc>
        <w:tc>
          <w:tcPr>
            <w:tcW w:w="1440" w:type="dxa"/>
          </w:tcPr>
          <w:p w14:paraId="3E9F2702" w14:textId="77777777" w:rsidR="0051714D" w:rsidRPr="00487CAB" w:rsidRDefault="0051714D" w:rsidP="00321A15">
            <w:pPr>
              <w:tabs>
                <w:tab w:val="right" w:pos="9180"/>
              </w:tabs>
              <w:jc w:val="center"/>
              <w:rPr>
                <w:snapToGrid w:val="0"/>
                <w:color w:val="000000"/>
                <w:sz w:val="19"/>
                <w:szCs w:val="19"/>
              </w:rPr>
            </w:pPr>
            <w:r>
              <w:rPr>
                <w:snapToGrid w:val="0"/>
                <w:color w:val="000000"/>
                <w:sz w:val="19"/>
                <w:szCs w:val="19"/>
              </w:rPr>
              <w:t>Accumulated</w:t>
            </w:r>
          </w:p>
        </w:tc>
        <w:tc>
          <w:tcPr>
            <w:tcW w:w="1800" w:type="dxa"/>
            <w:gridSpan w:val="2"/>
          </w:tcPr>
          <w:p w14:paraId="7AA850D0" w14:textId="77777777" w:rsidR="0051714D" w:rsidRPr="00487CAB" w:rsidRDefault="0051714D" w:rsidP="00321A15">
            <w:pPr>
              <w:tabs>
                <w:tab w:val="left" w:pos="2340"/>
                <w:tab w:val="right" w:pos="9180"/>
              </w:tabs>
              <w:jc w:val="center"/>
              <w:rPr>
                <w:snapToGrid w:val="0"/>
                <w:color w:val="000000"/>
                <w:sz w:val="19"/>
                <w:szCs w:val="19"/>
              </w:rPr>
            </w:pPr>
            <w:r>
              <w:rPr>
                <w:snapToGrid w:val="0"/>
                <w:color w:val="000000"/>
                <w:sz w:val="19"/>
                <w:szCs w:val="19"/>
              </w:rPr>
              <w:t>Stockholders’</w:t>
            </w:r>
          </w:p>
        </w:tc>
      </w:tr>
      <w:tr w:rsidR="0051714D" w:rsidRPr="00487CAB" w14:paraId="0167ADC4" w14:textId="77777777" w:rsidTr="00936552">
        <w:tc>
          <w:tcPr>
            <w:tcW w:w="4410" w:type="dxa"/>
          </w:tcPr>
          <w:p w14:paraId="49A381D1" w14:textId="77777777" w:rsidR="0051714D" w:rsidRPr="00487CAB" w:rsidRDefault="0051714D" w:rsidP="00321A15">
            <w:pPr>
              <w:tabs>
                <w:tab w:val="left" w:pos="144"/>
                <w:tab w:val="left" w:pos="324"/>
                <w:tab w:val="right" w:pos="9180"/>
              </w:tabs>
              <w:rPr>
                <w:snapToGrid w:val="0"/>
                <w:color w:val="000000"/>
                <w:sz w:val="19"/>
                <w:szCs w:val="19"/>
              </w:rPr>
            </w:pPr>
          </w:p>
        </w:tc>
        <w:tc>
          <w:tcPr>
            <w:tcW w:w="720" w:type="dxa"/>
          </w:tcPr>
          <w:p w14:paraId="20B7F968" w14:textId="77777777" w:rsidR="0051714D" w:rsidRPr="00487CAB" w:rsidRDefault="0051714D" w:rsidP="00321A15">
            <w:pPr>
              <w:tabs>
                <w:tab w:val="decimal" w:pos="1148"/>
                <w:tab w:val="right" w:pos="9180"/>
              </w:tabs>
              <w:jc w:val="center"/>
              <w:rPr>
                <w:snapToGrid w:val="0"/>
                <w:color w:val="000000"/>
                <w:sz w:val="19"/>
                <w:szCs w:val="19"/>
              </w:rPr>
            </w:pPr>
          </w:p>
        </w:tc>
        <w:tc>
          <w:tcPr>
            <w:tcW w:w="1440" w:type="dxa"/>
            <w:tcBorders>
              <w:bottom w:val="single" w:sz="4" w:space="0" w:color="auto"/>
            </w:tcBorders>
          </w:tcPr>
          <w:p w14:paraId="4CE7D363" w14:textId="77777777" w:rsidR="0051714D" w:rsidRPr="00487CAB" w:rsidRDefault="0051714D" w:rsidP="00321A15">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4A5572D" w14:textId="77777777" w:rsidR="0051714D" w:rsidRPr="00487CAB" w:rsidRDefault="0051714D" w:rsidP="00321A15">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060E4DDD" w14:textId="77777777" w:rsidR="0051714D" w:rsidRPr="00487CAB" w:rsidRDefault="0051714D" w:rsidP="00321A15">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440" w:type="dxa"/>
            <w:tcBorders>
              <w:bottom w:val="single" w:sz="4" w:space="0" w:color="auto"/>
            </w:tcBorders>
          </w:tcPr>
          <w:p w14:paraId="6DCDDC24" w14:textId="77777777" w:rsidR="0051714D" w:rsidRPr="00487CAB" w:rsidRDefault="0051714D" w:rsidP="00321A15">
            <w:pPr>
              <w:tabs>
                <w:tab w:val="right" w:pos="9180"/>
              </w:tabs>
              <w:jc w:val="center"/>
              <w:rPr>
                <w:snapToGrid w:val="0"/>
                <w:color w:val="000000"/>
                <w:sz w:val="19"/>
                <w:szCs w:val="19"/>
              </w:rPr>
            </w:pPr>
            <w:r w:rsidRPr="00487CAB">
              <w:rPr>
                <w:snapToGrid w:val="0"/>
                <w:color w:val="000000"/>
                <w:sz w:val="19"/>
                <w:szCs w:val="19"/>
              </w:rPr>
              <w:t>Deficit</w:t>
            </w:r>
          </w:p>
        </w:tc>
        <w:tc>
          <w:tcPr>
            <w:tcW w:w="1800" w:type="dxa"/>
            <w:gridSpan w:val="2"/>
            <w:tcBorders>
              <w:bottom w:val="single" w:sz="4" w:space="0" w:color="auto"/>
            </w:tcBorders>
          </w:tcPr>
          <w:p w14:paraId="0D834E83" w14:textId="77777777" w:rsidR="0051714D" w:rsidRPr="00487CAB" w:rsidRDefault="0051714D" w:rsidP="00321A15">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51714D" w:rsidRPr="00487CAB" w14:paraId="3DED1DC0" w14:textId="77777777" w:rsidTr="00936552">
        <w:tc>
          <w:tcPr>
            <w:tcW w:w="4410" w:type="dxa"/>
          </w:tcPr>
          <w:p w14:paraId="0181F832" w14:textId="352C75CE" w:rsidR="0051714D" w:rsidRPr="00487CAB" w:rsidRDefault="0051714D" w:rsidP="00321A1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23</w:t>
            </w:r>
          </w:p>
        </w:tc>
        <w:tc>
          <w:tcPr>
            <w:tcW w:w="720" w:type="dxa"/>
          </w:tcPr>
          <w:p w14:paraId="721B4E49" w14:textId="77777777" w:rsidR="0051714D" w:rsidRPr="00487CAB" w:rsidRDefault="0051714D" w:rsidP="00321A15">
            <w:pPr>
              <w:tabs>
                <w:tab w:val="decimal" w:pos="1148"/>
                <w:tab w:val="decimal" w:pos="1422"/>
                <w:tab w:val="left" w:pos="2340"/>
                <w:tab w:val="right" w:pos="9180"/>
              </w:tabs>
              <w:rPr>
                <w:snapToGrid w:val="0"/>
                <w:color w:val="000000"/>
                <w:sz w:val="19"/>
                <w:szCs w:val="19"/>
              </w:rPr>
            </w:pPr>
          </w:p>
        </w:tc>
        <w:tc>
          <w:tcPr>
            <w:tcW w:w="1440" w:type="dxa"/>
          </w:tcPr>
          <w:p w14:paraId="1C972DBC" w14:textId="177C5EB5"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1,977,152</w:t>
            </w:r>
          </w:p>
        </w:tc>
        <w:tc>
          <w:tcPr>
            <w:tcW w:w="1170" w:type="dxa"/>
          </w:tcPr>
          <w:p w14:paraId="6EC23D1E" w14:textId="4E498899"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1,977</w:t>
            </w:r>
          </w:p>
        </w:tc>
        <w:tc>
          <w:tcPr>
            <w:tcW w:w="1440" w:type="dxa"/>
          </w:tcPr>
          <w:p w14:paraId="2CAF8E1A" w14:textId="334A700C"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110,125,146</w:t>
            </w:r>
          </w:p>
        </w:tc>
        <w:tc>
          <w:tcPr>
            <w:tcW w:w="1440" w:type="dxa"/>
          </w:tcPr>
          <w:p w14:paraId="65EB4BFE" w14:textId="5EEA3531" w:rsidR="0051714D" w:rsidRPr="00487CAB" w:rsidRDefault="0051714D" w:rsidP="00321A15">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104,363,785</w:t>
            </w:r>
            <w:r w:rsidRPr="00487CAB">
              <w:rPr>
                <w:snapToGrid w:val="0"/>
                <w:color w:val="000000"/>
                <w:sz w:val="19"/>
                <w:szCs w:val="19"/>
              </w:rPr>
              <w:t>)</w:t>
            </w:r>
          </w:p>
        </w:tc>
        <w:tc>
          <w:tcPr>
            <w:tcW w:w="1800" w:type="dxa"/>
            <w:gridSpan w:val="2"/>
          </w:tcPr>
          <w:p w14:paraId="0ECF333B" w14:textId="5833AB37" w:rsidR="0051714D" w:rsidRPr="00487CAB" w:rsidRDefault="0051714D" w:rsidP="00321A15">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936552">
              <w:rPr>
                <w:snapToGrid w:val="0"/>
                <w:color w:val="000000"/>
                <w:sz w:val="19"/>
                <w:szCs w:val="19"/>
              </w:rPr>
              <w:t>5,763,338</w:t>
            </w:r>
          </w:p>
        </w:tc>
      </w:tr>
      <w:tr w:rsidR="0051714D" w:rsidRPr="00487CAB" w14:paraId="722472F4" w14:textId="77777777" w:rsidTr="00936552">
        <w:tc>
          <w:tcPr>
            <w:tcW w:w="4410" w:type="dxa"/>
          </w:tcPr>
          <w:p w14:paraId="4C9B14E2" w14:textId="47864488" w:rsidR="0051714D" w:rsidRPr="00487CAB" w:rsidRDefault="0051714D" w:rsidP="00321A15">
            <w:pPr>
              <w:tabs>
                <w:tab w:val="left" w:pos="144"/>
                <w:tab w:val="left" w:pos="324"/>
                <w:tab w:val="right" w:pos="9180"/>
              </w:tabs>
              <w:rPr>
                <w:snapToGrid w:val="0"/>
                <w:color w:val="000000"/>
                <w:sz w:val="19"/>
                <w:szCs w:val="19"/>
              </w:rPr>
            </w:pPr>
            <w:r w:rsidRPr="00487CAB">
              <w:rPr>
                <w:snapToGrid w:val="0"/>
                <w:color w:val="000000"/>
                <w:sz w:val="19"/>
                <w:szCs w:val="19"/>
              </w:rPr>
              <w:tab/>
            </w:r>
            <w:r w:rsidR="00936552">
              <w:rPr>
                <w:snapToGrid w:val="0"/>
                <w:color w:val="000000"/>
                <w:sz w:val="19"/>
                <w:szCs w:val="19"/>
              </w:rPr>
              <w:t>Issuance of common stock for services</w:t>
            </w:r>
          </w:p>
        </w:tc>
        <w:tc>
          <w:tcPr>
            <w:tcW w:w="720" w:type="dxa"/>
          </w:tcPr>
          <w:p w14:paraId="747CFC8A" w14:textId="77777777" w:rsidR="0051714D" w:rsidRPr="00487CAB" w:rsidRDefault="0051714D" w:rsidP="00321A15">
            <w:pPr>
              <w:tabs>
                <w:tab w:val="decimal" w:pos="1148"/>
                <w:tab w:val="decimal" w:pos="1422"/>
                <w:tab w:val="left" w:pos="2340"/>
                <w:tab w:val="right" w:pos="9180"/>
              </w:tabs>
              <w:rPr>
                <w:snapToGrid w:val="0"/>
                <w:color w:val="000000"/>
                <w:sz w:val="19"/>
                <w:szCs w:val="19"/>
              </w:rPr>
            </w:pPr>
          </w:p>
        </w:tc>
        <w:tc>
          <w:tcPr>
            <w:tcW w:w="1440" w:type="dxa"/>
          </w:tcPr>
          <w:p w14:paraId="79F11D2F" w14:textId="4910C4C8"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35915">
              <w:rPr>
                <w:snapToGrid w:val="0"/>
                <w:color w:val="000000"/>
                <w:sz w:val="19"/>
                <w:szCs w:val="19"/>
              </w:rPr>
              <w:t>6,703</w:t>
            </w:r>
          </w:p>
        </w:tc>
        <w:tc>
          <w:tcPr>
            <w:tcW w:w="1170" w:type="dxa"/>
          </w:tcPr>
          <w:p w14:paraId="31F9995F" w14:textId="1E3CE727"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35915">
              <w:rPr>
                <w:snapToGrid w:val="0"/>
                <w:color w:val="000000"/>
                <w:sz w:val="19"/>
                <w:szCs w:val="19"/>
              </w:rPr>
              <w:t>7</w:t>
            </w:r>
          </w:p>
        </w:tc>
        <w:tc>
          <w:tcPr>
            <w:tcW w:w="1440" w:type="dxa"/>
          </w:tcPr>
          <w:p w14:paraId="4F7DB0BF" w14:textId="1FDF20BA"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35915">
              <w:rPr>
                <w:snapToGrid w:val="0"/>
                <w:color w:val="000000"/>
                <w:sz w:val="19"/>
                <w:szCs w:val="19"/>
              </w:rPr>
              <w:t>37,493</w:t>
            </w:r>
          </w:p>
        </w:tc>
        <w:tc>
          <w:tcPr>
            <w:tcW w:w="1440" w:type="dxa"/>
          </w:tcPr>
          <w:p w14:paraId="23F2640F" w14:textId="77777777" w:rsidR="0051714D" w:rsidRPr="00487CAB" w:rsidRDefault="0051714D" w:rsidP="00321A1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gridSpan w:val="2"/>
          </w:tcPr>
          <w:p w14:paraId="24F550AB" w14:textId="6ECBC6D2" w:rsidR="0051714D" w:rsidRPr="00487CAB" w:rsidRDefault="0051714D" w:rsidP="00321A15">
            <w:pPr>
              <w:tabs>
                <w:tab w:val="decimal" w:pos="1418"/>
                <w:tab w:val="right" w:pos="9180"/>
              </w:tabs>
              <w:rPr>
                <w:snapToGrid w:val="0"/>
                <w:color w:val="000000"/>
                <w:sz w:val="19"/>
                <w:szCs w:val="19"/>
              </w:rPr>
            </w:pPr>
            <w:r w:rsidRPr="00487CAB">
              <w:rPr>
                <w:snapToGrid w:val="0"/>
                <w:color w:val="000000"/>
                <w:sz w:val="19"/>
                <w:szCs w:val="19"/>
              </w:rPr>
              <w:tab/>
            </w:r>
            <w:r w:rsidR="00B35915">
              <w:rPr>
                <w:snapToGrid w:val="0"/>
                <w:color w:val="000000"/>
                <w:sz w:val="19"/>
                <w:szCs w:val="19"/>
              </w:rPr>
              <w:t>37,500</w:t>
            </w:r>
          </w:p>
        </w:tc>
      </w:tr>
      <w:tr w:rsidR="0051714D" w:rsidRPr="00487CAB" w14:paraId="5EA75EA1" w14:textId="77777777" w:rsidTr="00936552">
        <w:tc>
          <w:tcPr>
            <w:tcW w:w="4410" w:type="dxa"/>
          </w:tcPr>
          <w:p w14:paraId="7B5AFBBD" w14:textId="77777777" w:rsidR="0051714D" w:rsidRPr="00487CAB" w:rsidRDefault="0051714D" w:rsidP="00321A15">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720" w:type="dxa"/>
          </w:tcPr>
          <w:p w14:paraId="6C7880A9" w14:textId="77777777" w:rsidR="0051714D" w:rsidRDefault="0051714D" w:rsidP="00321A15">
            <w:pPr>
              <w:tabs>
                <w:tab w:val="decimal" w:pos="1148"/>
                <w:tab w:val="decimal" w:pos="1422"/>
                <w:tab w:val="left" w:pos="2340"/>
                <w:tab w:val="right" w:pos="9180"/>
              </w:tabs>
              <w:rPr>
                <w:snapToGrid w:val="0"/>
                <w:color w:val="000000"/>
                <w:sz w:val="19"/>
                <w:szCs w:val="19"/>
              </w:rPr>
            </w:pPr>
          </w:p>
        </w:tc>
        <w:tc>
          <w:tcPr>
            <w:tcW w:w="1440" w:type="dxa"/>
          </w:tcPr>
          <w:p w14:paraId="65ECCF19" w14:textId="1AFC89F2" w:rsidR="0051714D" w:rsidRPr="00487CAB" w:rsidRDefault="0051714D"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35915">
              <w:rPr>
                <w:snapToGrid w:val="0"/>
                <w:color w:val="000000"/>
                <w:sz w:val="19"/>
                <w:szCs w:val="19"/>
              </w:rPr>
              <w:t>269,032</w:t>
            </w:r>
          </w:p>
        </w:tc>
        <w:tc>
          <w:tcPr>
            <w:tcW w:w="1170" w:type="dxa"/>
          </w:tcPr>
          <w:p w14:paraId="48D1EE17" w14:textId="18DA72CE" w:rsidR="0051714D" w:rsidRPr="00487CAB" w:rsidRDefault="0051714D"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35915">
              <w:rPr>
                <w:snapToGrid w:val="0"/>
                <w:color w:val="000000"/>
                <w:sz w:val="19"/>
                <w:szCs w:val="19"/>
              </w:rPr>
              <w:t>269</w:t>
            </w:r>
          </w:p>
        </w:tc>
        <w:tc>
          <w:tcPr>
            <w:tcW w:w="1440" w:type="dxa"/>
          </w:tcPr>
          <w:p w14:paraId="38A7B36F" w14:textId="3AF82DA3" w:rsidR="0051714D" w:rsidRPr="00487CAB" w:rsidRDefault="0051714D"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35915">
              <w:rPr>
                <w:snapToGrid w:val="0"/>
                <w:color w:val="000000"/>
                <w:sz w:val="19"/>
                <w:szCs w:val="19"/>
              </w:rPr>
              <w:t>(269)</w:t>
            </w:r>
          </w:p>
        </w:tc>
        <w:tc>
          <w:tcPr>
            <w:tcW w:w="1440" w:type="dxa"/>
          </w:tcPr>
          <w:p w14:paraId="149B8351" w14:textId="77777777" w:rsidR="0051714D" w:rsidRPr="00487CAB" w:rsidRDefault="0051714D" w:rsidP="00321A1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2D0973AC" w14:textId="6F8B69B3" w:rsidR="0051714D" w:rsidRPr="00487CAB" w:rsidRDefault="0051714D" w:rsidP="00321A15">
            <w:pPr>
              <w:tabs>
                <w:tab w:val="decimal" w:pos="1418"/>
                <w:tab w:val="right" w:pos="9180"/>
              </w:tabs>
              <w:rPr>
                <w:snapToGrid w:val="0"/>
                <w:color w:val="000000"/>
                <w:sz w:val="19"/>
                <w:szCs w:val="19"/>
              </w:rPr>
            </w:pPr>
            <w:r>
              <w:rPr>
                <w:snapToGrid w:val="0"/>
                <w:color w:val="000000"/>
                <w:sz w:val="19"/>
                <w:szCs w:val="19"/>
              </w:rPr>
              <w:tab/>
            </w:r>
            <w:r w:rsidR="00B35915">
              <w:rPr>
                <w:snapToGrid w:val="0"/>
                <w:color w:val="000000"/>
                <w:sz w:val="19"/>
                <w:szCs w:val="19"/>
              </w:rPr>
              <w:t>-</w:t>
            </w:r>
          </w:p>
        </w:tc>
      </w:tr>
      <w:tr w:rsidR="00B35915" w:rsidRPr="00487CAB" w14:paraId="1B22015B" w14:textId="77777777" w:rsidTr="00936552">
        <w:tc>
          <w:tcPr>
            <w:tcW w:w="4410" w:type="dxa"/>
          </w:tcPr>
          <w:p w14:paraId="6B717348" w14:textId="4DD2689E" w:rsidR="00B35915" w:rsidRDefault="00B35915" w:rsidP="00321A15">
            <w:pPr>
              <w:tabs>
                <w:tab w:val="left" w:pos="144"/>
                <w:tab w:val="left" w:pos="324"/>
                <w:tab w:val="right" w:pos="9180"/>
              </w:tabs>
              <w:rPr>
                <w:snapToGrid w:val="0"/>
                <w:color w:val="000000"/>
                <w:sz w:val="19"/>
                <w:szCs w:val="19"/>
              </w:rPr>
            </w:pPr>
            <w:r>
              <w:rPr>
                <w:snapToGrid w:val="0"/>
                <w:color w:val="000000"/>
                <w:sz w:val="19"/>
                <w:szCs w:val="19"/>
              </w:rPr>
              <w:tab/>
            </w:r>
            <w:r w:rsidR="0069349B">
              <w:rPr>
                <w:snapToGrid w:val="0"/>
                <w:color w:val="000000"/>
                <w:sz w:val="19"/>
                <w:szCs w:val="19"/>
              </w:rPr>
              <w:t>Fractional share roundup following reverse split</w:t>
            </w:r>
          </w:p>
        </w:tc>
        <w:tc>
          <w:tcPr>
            <w:tcW w:w="720" w:type="dxa"/>
          </w:tcPr>
          <w:p w14:paraId="7A608810" w14:textId="77777777" w:rsidR="00B35915" w:rsidRDefault="00B35915" w:rsidP="00321A15">
            <w:pPr>
              <w:tabs>
                <w:tab w:val="decimal" w:pos="1148"/>
                <w:tab w:val="decimal" w:pos="1422"/>
                <w:tab w:val="left" w:pos="2340"/>
                <w:tab w:val="right" w:pos="9180"/>
              </w:tabs>
              <w:rPr>
                <w:snapToGrid w:val="0"/>
                <w:color w:val="000000"/>
                <w:sz w:val="19"/>
                <w:szCs w:val="19"/>
              </w:rPr>
            </w:pPr>
          </w:p>
        </w:tc>
        <w:tc>
          <w:tcPr>
            <w:tcW w:w="1440" w:type="dxa"/>
          </w:tcPr>
          <w:p w14:paraId="6450D834" w14:textId="06835C3E" w:rsidR="00B35915" w:rsidRDefault="00B35915"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ab/>
              <w:t>55,422</w:t>
            </w:r>
          </w:p>
        </w:tc>
        <w:tc>
          <w:tcPr>
            <w:tcW w:w="1170" w:type="dxa"/>
          </w:tcPr>
          <w:p w14:paraId="0C832F9D" w14:textId="17733D84" w:rsidR="00B35915" w:rsidRDefault="00B35915"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1FC66305" w14:textId="0B6AF99B" w:rsidR="00B35915" w:rsidRDefault="00B35915"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18D16726" w14:textId="7B5758CF" w:rsidR="00B35915" w:rsidRDefault="00B35915" w:rsidP="00321A1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346ED65A" w14:textId="38897063" w:rsidR="00B35915" w:rsidRDefault="00B35915" w:rsidP="00321A15">
            <w:pPr>
              <w:tabs>
                <w:tab w:val="decimal" w:pos="1418"/>
                <w:tab w:val="right" w:pos="9180"/>
              </w:tabs>
              <w:rPr>
                <w:snapToGrid w:val="0"/>
                <w:color w:val="000000"/>
                <w:sz w:val="19"/>
                <w:szCs w:val="19"/>
              </w:rPr>
            </w:pPr>
            <w:r>
              <w:rPr>
                <w:snapToGrid w:val="0"/>
                <w:color w:val="000000"/>
                <w:sz w:val="19"/>
                <w:szCs w:val="19"/>
              </w:rPr>
              <w:tab/>
              <w:t>-</w:t>
            </w:r>
          </w:p>
        </w:tc>
      </w:tr>
      <w:tr w:rsidR="0051714D" w:rsidRPr="00487CAB" w14:paraId="23468706" w14:textId="77777777" w:rsidTr="00936552">
        <w:tc>
          <w:tcPr>
            <w:tcW w:w="4410" w:type="dxa"/>
          </w:tcPr>
          <w:p w14:paraId="55E63BD3" w14:textId="77777777" w:rsidR="0051714D" w:rsidRDefault="0051714D" w:rsidP="00321A1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7C91F8B9" w14:textId="77777777" w:rsidR="0051714D" w:rsidRDefault="0051714D" w:rsidP="00321A15">
            <w:pPr>
              <w:tabs>
                <w:tab w:val="decimal" w:pos="1148"/>
                <w:tab w:val="decimal" w:pos="1422"/>
                <w:tab w:val="left" w:pos="2340"/>
                <w:tab w:val="right" w:pos="9180"/>
              </w:tabs>
              <w:rPr>
                <w:snapToGrid w:val="0"/>
                <w:color w:val="000000"/>
                <w:sz w:val="19"/>
                <w:szCs w:val="19"/>
              </w:rPr>
            </w:pPr>
          </w:p>
        </w:tc>
        <w:tc>
          <w:tcPr>
            <w:tcW w:w="1440" w:type="dxa"/>
          </w:tcPr>
          <w:p w14:paraId="06FFC0B4" w14:textId="77777777" w:rsidR="0051714D" w:rsidRDefault="0051714D"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1C9077A9" w14:textId="77777777" w:rsidR="0051714D" w:rsidRDefault="0051714D"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6D4B3FB2" w14:textId="4AC15211" w:rsidR="0051714D" w:rsidRDefault="0051714D"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D03835">
              <w:rPr>
                <w:snapToGrid w:val="0"/>
                <w:color w:val="000000"/>
                <w:sz w:val="19"/>
                <w:szCs w:val="19"/>
              </w:rPr>
              <w:t>103,569</w:t>
            </w:r>
          </w:p>
        </w:tc>
        <w:tc>
          <w:tcPr>
            <w:tcW w:w="1440" w:type="dxa"/>
          </w:tcPr>
          <w:p w14:paraId="7AD77D6E" w14:textId="77777777" w:rsidR="0051714D" w:rsidRPr="00636549" w:rsidRDefault="0051714D" w:rsidP="00321A15">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37F3E936" w14:textId="1B5A15C1" w:rsidR="0051714D" w:rsidRDefault="0051714D" w:rsidP="00321A15">
            <w:pPr>
              <w:tabs>
                <w:tab w:val="decimal" w:pos="1418"/>
                <w:tab w:val="right" w:pos="9180"/>
              </w:tabs>
              <w:rPr>
                <w:snapToGrid w:val="0"/>
                <w:color w:val="000000"/>
                <w:sz w:val="19"/>
                <w:szCs w:val="19"/>
              </w:rPr>
            </w:pPr>
            <w:r>
              <w:rPr>
                <w:snapToGrid w:val="0"/>
                <w:color w:val="000000"/>
                <w:sz w:val="19"/>
                <w:szCs w:val="19"/>
              </w:rPr>
              <w:tab/>
            </w:r>
            <w:r w:rsidR="00D03835">
              <w:rPr>
                <w:snapToGrid w:val="0"/>
                <w:color w:val="000000"/>
                <w:sz w:val="19"/>
                <w:szCs w:val="19"/>
              </w:rPr>
              <w:t>103,569</w:t>
            </w:r>
          </w:p>
        </w:tc>
      </w:tr>
      <w:tr w:rsidR="0051714D" w:rsidRPr="00487CAB" w14:paraId="454746B7" w14:textId="77777777" w:rsidTr="00936552">
        <w:tc>
          <w:tcPr>
            <w:tcW w:w="4410" w:type="dxa"/>
          </w:tcPr>
          <w:p w14:paraId="63B6B2D1" w14:textId="6B02B014" w:rsidR="0051714D" w:rsidRPr="00487CAB" w:rsidRDefault="0051714D" w:rsidP="00321A15">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w:t>
            </w:r>
            <w:r w:rsidR="00936552">
              <w:rPr>
                <w:snapToGrid w:val="0"/>
                <w:color w:val="000000"/>
                <w:sz w:val="19"/>
                <w:szCs w:val="19"/>
              </w:rPr>
              <w:t>4</w:t>
            </w:r>
          </w:p>
        </w:tc>
        <w:tc>
          <w:tcPr>
            <w:tcW w:w="720" w:type="dxa"/>
          </w:tcPr>
          <w:p w14:paraId="72F6DA42" w14:textId="77777777" w:rsidR="0051714D" w:rsidRPr="00487CAB" w:rsidRDefault="0051714D" w:rsidP="00321A15">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03200A1F" w14:textId="77777777"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7F30E95A" w14:textId="77777777"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12751457" w14:textId="77777777"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09A14B7" w14:textId="2677946A" w:rsidR="0051714D" w:rsidRPr="00487CAB" w:rsidRDefault="0051714D" w:rsidP="00321A15">
            <w:pPr>
              <w:tabs>
                <w:tab w:val="decimal" w:pos="1150"/>
                <w:tab w:val="left" w:pos="2340"/>
                <w:tab w:val="right" w:pos="9180"/>
              </w:tabs>
              <w:rPr>
                <w:snapToGrid w:val="0"/>
                <w:color w:val="000000"/>
                <w:sz w:val="19"/>
                <w:szCs w:val="19"/>
              </w:rPr>
            </w:pPr>
            <w:r w:rsidRPr="00487CAB">
              <w:rPr>
                <w:snapToGrid w:val="0"/>
                <w:color w:val="000000"/>
                <w:sz w:val="19"/>
                <w:szCs w:val="19"/>
              </w:rPr>
              <w:tab/>
            </w:r>
            <w:r w:rsidR="00D03835">
              <w:rPr>
                <w:snapToGrid w:val="0"/>
                <w:color w:val="000000"/>
                <w:sz w:val="19"/>
                <w:szCs w:val="19"/>
              </w:rPr>
              <w:t>(5,850,132)</w:t>
            </w:r>
          </w:p>
        </w:tc>
        <w:tc>
          <w:tcPr>
            <w:tcW w:w="1800" w:type="dxa"/>
            <w:gridSpan w:val="2"/>
            <w:tcBorders>
              <w:bottom w:val="single" w:sz="4" w:space="0" w:color="auto"/>
            </w:tcBorders>
          </w:tcPr>
          <w:p w14:paraId="2219726B" w14:textId="3833BBEF" w:rsidR="0051714D" w:rsidRPr="00487CAB" w:rsidRDefault="0051714D" w:rsidP="00321A15">
            <w:pPr>
              <w:tabs>
                <w:tab w:val="decimal" w:pos="1418"/>
                <w:tab w:val="right" w:pos="9180"/>
              </w:tabs>
              <w:rPr>
                <w:snapToGrid w:val="0"/>
                <w:color w:val="000000"/>
                <w:sz w:val="19"/>
                <w:szCs w:val="19"/>
              </w:rPr>
            </w:pPr>
            <w:r w:rsidRPr="00487CAB">
              <w:rPr>
                <w:snapToGrid w:val="0"/>
                <w:color w:val="000000"/>
                <w:sz w:val="19"/>
                <w:szCs w:val="19"/>
              </w:rPr>
              <w:tab/>
            </w:r>
            <w:r w:rsidR="00D03835">
              <w:rPr>
                <w:snapToGrid w:val="0"/>
                <w:color w:val="000000"/>
                <w:sz w:val="19"/>
                <w:szCs w:val="19"/>
              </w:rPr>
              <w:t>(5,850,132)</w:t>
            </w:r>
          </w:p>
        </w:tc>
      </w:tr>
      <w:tr w:rsidR="0051714D" w:rsidRPr="00487CAB" w14:paraId="40D9C30F" w14:textId="77777777" w:rsidTr="00936552">
        <w:tc>
          <w:tcPr>
            <w:tcW w:w="4410" w:type="dxa"/>
          </w:tcPr>
          <w:p w14:paraId="5A70BE22" w14:textId="1F2573BE" w:rsidR="0051714D" w:rsidRPr="00487CAB" w:rsidRDefault="0051714D" w:rsidP="00321A1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w:t>
            </w:r>
            <w:r w:rsidR="00936552">
              <w:rPr>
                <w:snapToGrid w:val="0"/>
                <w:color w:val="000000"/>
                <w:sz w:val="19"/>
                <w:szCs w:val="19"/>
              </w:rPr>
              <w:t>4</w:t>
            </w:r>
          </w:p>
        </w:tc>
        <w:tc>
          <w:tcPr>
            <w:tcW w:w="720" w:type="dxa"/>
          </w:tcPr>
          <w:p w14:paraId="323B0E85" w14:textId="77777777" w:rsidR="0051714D" w:rsidRPr="00487CAB" w:rsidRDefault="0051714D" w:rsidP="00321A15">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1EA8DAF0" w14:textId="79892AD3" w:rsidR="0051714D" w:rsidRPr="00487CAB" w:rsidRDefault="0051714D" w:rsidP="00321A1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35915">
              <w:rPr>
                <w:snapToGrid w:val="0"/>
                <w:color w:val="000000"/>
                <w:sz w:val="19"/>
                <w:szCs w:val="19"/>
              </w:rPr>
              <w:t>2,308,309</w:t>
            </w:r>
          </w:p>
        </w:tc>
        <w:tc>
          <w:tcPr>
            <w:tcW w:w="1170" w:type="dxa"/>
            <w:tcBorders>
              <w:top w:val="single" w:sz="4" w:space="0" w:color="auto"/>
              <w:bottom w:val="double" w:sz="4" w:space="0" w:color="auto"/>
            </w:tcBorders>
          </w:tcPr>
          <w:p w14:paraId="4EE3DBC3" w14:textId="4F16EBA9" w:rsidR="0051714D" w:rsidRPr="00487CAB" w:rsidRDefault="0051714D"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B35915">
              <w:rPr>
                <w:snapToGrid w:val="0"/>
                <w:color w:val="000000"/>
                <w:sz w:val="19"/>
                <w:szCs w:val="19"/>
              </w:rPr>
              <w:t>2,308</w:t>
            </w:r>
          </w:p>
        </w:tc>
        <w:tc>
          <w:tcPr>
            <w:tcW w:w="1440" w:type="dxa"/>
            <w:tcBorders>
              <w:top w:val="single" w:sz="4" w:space="0" w:color="auto"/>
              <w:bottom w:val="double" w:sz="4" w:space="0" w:color="auto"/>
            </w:tcBorders>
          </w:tcPr>
          <w:p w14:paraId="1672B8FC" w14:textId="2E127329" w:rsidR="0051714D" w:rsidRPr="00487CAB" w:rsidRDefault="0051714D" w:rsidP="00321A1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B35915">
              <w:rPr>
                <w:snapToGrid w:val="0"/>
                <w:color w:val="000000"/>
                <w:sz w:val="19"/>
                <w:szCs w:val="19"/>
              </w:rPr>
              <w:t>110,</w:t>
            </w:r>
            <w:r w:rsidR="00D03835">
              <w:rPr>
                <w:snapToGrid w:val="0"/>
                <w:color w:val="000000"/>
                <w:sz w:val="19"/>
                <w:szCs w:val="19"/>
              </w:rPr>
              <w:t>265,884</w:t>
            </w:r>
          </w:p>
        </w:tc>
        <w:tc>
          <w:tcPr>
            <w:tcW w:w="1440" w:type="dxa"/>
            <w:tcBorders>
              <w:top w:val="single" w:sz="4" w:space="0" w:color="auto"/>
              <w:bottom w:val="double" w:sz="4" w:space="0" w:color="auto"/>
            </w:tcBorders>
          </w:tcPr>
          <w:p w14:paraId="4A2F59AA" w14:textId="483EE5F4" w:rsidR="0051714D" w:rsidRPr="00487CAB" w:rsidRDefault="0051714D" w:rsidP="00321A15">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D03835">
              <w:rPr>
                <w:snapToGrid w:val="0"/>
                <w:color w:val="000000"/>
                <w:sz w:val="19"/>
                <w:szCs w:val="19"/>
              </w:rPr>
              <w:t>(110,213,917)</w:t>
            </w:r>
          </w:p>
        </w:tc>
        <w:tc>
          <w:tcPr>
            <w:tcW w:w="1800" w:type="dxa"/>
            <w:gridSpan w:val="2"/>
            <w:tcBorders>
              <w:top w:val="single" w:sz="4" w:space="0" w:color="auto"/>
              <w:bottom w:val="double" w:sz="4" w:space="0" w:color="auto"/>
            </w:tcBorders>
          </w:tcPr>
          <w:p w14:paraId="158F987D" w14:textId="482A173B" w:rsidR="0051714D" w:rsidRPr="00487CAB" w:rsidRDefault="0051714D" w:rsidP="00321A15">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D03835">
              <w:rPr>
                <w:snapToGrid w:val="0"/>
                <w:color w:val="000000"/>
                <w:sz w:val="19"/>
                <w:szCs w:val="19"/>
              </w:rPr>
              <w:t>54,275</w:t>
            </w:r>
          </w:p>
        </w:tc>
      </w:tr>
    </w:tbl>
    <w:p w14:paraId="30428CC0" w14:textId="77777777" w:rsidR="0051714D" w:rsidRDefault="0051714D" w:rsidP="00487CAB">
      <w:pPr>
        <w:tabs>
          <w:tab w:val="decimal" w:pos="1152"/>
          <w:tab w:val="left" w:pos="2340"/>
          <w:tab w:val="right" w:pos="9180"/>
        </w:tabs>
        <w:rPr>
          <w:snapToGrid w:val="0"/>
          <w:color w:val="000000"/>
        </w:rPr>
      </w:pPr>
    </w:p>
    <w:p w14:paraId="10D8C7E4" w14:textId="77777777" w:rsidR="00936552" w:rsidRDefault="00936552" w:rsidP="00487CAB">
      <w:pPr>
        <w:tabs>
          <w:tab w:val="decimal" w:pos="1152"/>
          <w:tab w:val="left" w:pos="2340"/>
          <w:tab w:val="right" w:pos="9180"/>
        </w:tabs>
        <w:rPr>
          <w:snapToGrid w:val="0"/>
          <w:color w:val="000000"/>
        </w:rPr>
      </w:pPr>
    </w:p>
    <w:p w14:paraId="4EA536C9" w14:textId="77777777" w:rsidR="0051714D" w:rsidRDefault="0051714D" w:rsidP="00487CAB">
      <w:pPr>
        <w:tabs>
          <w:tab w:val="decimal" w:pos="1152"/>
          <w:tab w:val="left" w:pos="2340"/>
          <w:tab w:val="right" w:pos="9180"/>
        </w:tabs>
        <w:rPr>
          <w:snapToGrid w:val="0"/>
          <w:color w:val="000000"/>
        </w:rPr>
      </w:pPr>
    </w:p>
    <w:p w14:paraId="3FEB6D7C" w14:textId="2E4ACDFA" w:rsidR="004F479E" w:rsidRDefault="004F479E" w:rsidP="004F479E">
      <w:pPr>
        <w:tabs>
          <w:tab w:val="decimal" w:pos="1152"/>
          <w:tab w:val="left" w:pos="2340"/>
          <w:tab w:val="right" w:pos="9180"/>
        </w:tabs>
        <w:rPr>
          <w:snapToGrid w:val="0"/>
          <w:color w:val="000000"/>
          <w:sz w:val="19"/>
          <w:szCs w:val="19"/>
        </w:rPr>
      </w:pPr>
      <w:bookmarkStart w:id="8" w:name="_Hlk36562604"/>
    </w:p>
    <w:tbl>
      <w:tblPr>
        <w:tblStyle w:val="TableGrid2"/>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440"/>
        <w:gridCol w:w="1711"/>
        <w:gridCol w:w="89"/>
      </w:tblGrid>
      <w:tr w:rsidR="00E774DA" w:rsidRPr="00487CAB" w14:paraId="5131F774" w14:textId="77777777" w:rsidTr="00936552">
        <w:trPr>
          <w:gridAfter w:val="1"/>
          <w:wAfter w:w="89" w:type="dxa"/>
        </w:trPr>
        <w:tc>
          <w:tcPr>
            <w:tcW w:w="4410" w:type="dxa"/>
          </w:tcPr>
          <w:p w14:paraId="427F520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297B60D7" w14:textId="77777777" w:rsidR="00E774DA" w:rsidRPr="00487CAB" w:rsidRDefault="00E774DA" w:rsidP="00E07358">
            <w:pPr>
              <w:tabs>
                <w:tab w:val="decimal" w:pos="1148"/>
                <w:tab w:val="right" w:pos="9180"/>
              </w:tabs>
              <w:jc w:val="center"/>
              <w:rPr>
                <w:snapToGrid w:val="0"/>
                <w:color w:val="000000"/>
                <w:sz w:val="19"/>
                <w:szCs w:val="19"/>
              </w:rPr>
            </w:pPr>
          </w:p>
        </w:tc>
        <w:tc>
          <w:tcPr>
            <w:tcW w:w="7201" w:type="dxa"/>
            <w:gridSpan w:val="5"/>
            <w:tcBorders>
              <w:bottom w:val="single" w:sz="4" w:space="0" w:color="auto"/>
            </w:tcBorders>
          </w:tcPr>
          <w:p w14:paraId="26D19446" w14:textId="7B621B67"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Three Months Ended March 31, 2023</w:t>
            </w:r>
          </w:p>
        </w:tc>
      </w:tr>
      <w:tr w:rsidR="00BB5D3A" w:rsidRPr="00487CAB" w14:paraId="7C63F521" w14:textId="77777777" w:rsidTr="00936552">
        <w:tc>
          <w:tcPr>
            <w:tcW w:w="4410" w:type="dxa"/>
          </w:tcPr>
          <w:p w14:paraId="3174955D"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092DC9C"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D2645FA" w14:textId="77777777" w:rsidR="00BB5D3A" w:rsidRPr="00487CAB" w:rsidRDefault="00BB5D3A" w:rsidP="00E07358">
            <w:pPr>
              <w:tabs>
                <w:tab w:val="decimal" w:pos="1148"/>
                <w:tab w:val="right" w:pos="9180"/>
              </w:tabs>
              <w:jc w:val="center"/>
              <w:rPr>
                <w:snapToGrid w:val="0"/>
                <w:color w:val="000000"/>
                <w:sz w:val="19"/>
                <w:szCs w:val="19"/>
              </w:rPr>
            </w:pPr>
          </w:p>
        </w:tc>
        <w:tc>
          <w:tcPr>
            <w:tcW w:w="1170" w:type="dxa"/>
            <w:tcBorders>
              <w:top w:val="single" w:sz="4" w:space="0" w:color="auto"/>
            </w:tcBorders>
          </w:tcPr>
          <w:p w14:paraId="40578AF2"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97A3AF4"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6134A90F" w14:textId="77777777" w:rsidR="00BB5D3A" w:rsidRPr="00487CAB" w:rsidRDefault="00BB5D3A" w:rsidP="00E07358">
            <w:pPr>
              <w:tabs>
                <w:tab w:val="right" w:pos="9180"/>
              </w:tabs>
              <w:jc w:val="center"/>
              <w:rPr>
                <w:snapToGrid w:val="0"/>
                <w:color w:val="000000"/>
                <w:sz w:val="19"/>
                <w:szCs w:val="19"/>
              </w:rPr>
            </w:pPr>
          </w:p>
        </w:tc>
        <w:tc>
          <w:tcPr>
            <w:tcW w:w="1800" w:type="dxa"/>
            <w:gridSpan w:val="2"/>
            <w:tcBorders>
              <w:top w:val="single" w:sz="4" w:space="0" w:color="auto"/>
            </w:tcBorders>
          </w:tcPr>
          <w:p w14:paraId="3C469F8F" w14:textId="26334288" w:rsidR="00BB5D3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Total</w:t>
            </w:r>
          </w:p>
        </w:tc>
      </w:tr>
      <w:tr w:rsidR="00E774DA" w:rsidRPr="00487CAB" w14:paraId="217D85D1" w14:textId="77777777" w:rsidTr="00936552">
        <w:tc>
          <w:tcPr>
            <w:tcW w:w="4410" w:type="dxa"/>
          </w:tcPr>
          <w:p w14:paraId="056C225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31297CC" w14:textId="77777777" w:rsidR="00E774DA" w:rsidRPr="00487CAB" w:rsidRDefault="00E774DA" w:rsidP="00E07358">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0CD76F21" w14:textId="1ED542CF"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3FCEF578" w14:textId="554C758C"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Additional</w:t>
            </w:r>
          </w:p>
        </w:tc>
        <w:tc>
          <w:tcPr>
            <w:tcW w:w="1440" w:type="dxa"/>
          </w:tcPr>
          <w:p w14:paraId="01ABC414" w14:textId="1C39809B" w:rsidR="00E774DA" w:rsidRPr="00487CAB" w:rsidRDefault="00E774DA" w:rsidP="00E07358">
            <w:pPr>
              <w:tabs>
                <w:tab w:val="right" w:pos="9180"/>
              </w:tabs>
              <w:jc w:val="center"/>
              <w:rPr>
                <w:snapToGrid w:val="0"/>
                <w:color w:val="000000"/>
                <w:sz w:val="19"/>
                <w:szCs w:val="19"/>
              </w:rPr>
            </w:pPr>
            <w:r>
              <w:rPr>
                <w:snapToGrid w:val="0"/>
                <w:color w:val="000000"/>
                <w:sz w:val="19"/>
                <w:szCs w:val="19"/>
              </w:rPr>
              <w:t>Accumulated</w:t>
            </w:r>
          </w:p>
        </w:tc>
        <w:tc>
          <w:tcPr>
            <w:tcW w:w="1800" w:type="dxa"/>
            <w:gridSpan w:val="2"/>
          </w:tcPr>
          <w:p w14:paraId="358DF1AF" w14:textId="6259CC73"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Stockholders’</w:t>
            </w:r>
          </w:p>
        </w:tc>
      </w:tr>
      <w:tr w:rsidR="00BB5D3A" w:rsidRPr="00487CAB" w14:paraId="54B46AAB" w14:textId="77777777" w:rsidTr="00936552">
        <w:tc>
          <w:tcPr>
            <w:tcW w:w="4410" w:type="dxa"/>
          </w:tcPr>
          <w:p w14:paraId="53DD0691"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6B637EA"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bottom w:val="single" w:sz="4" w:space="0" w:color="auto"/>
            </w:tcBorders>
          </w:tcPr>
          <w:p w14:paraId="03447BAD" w14:textId="6B563EDB"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5494D72"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82D1810"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440" w:type="dxa"/>
            <w:tcBorders>
              <w:bottom w:val="single" w:sz="4" w:space="0" w:color="auto"/>
            </w:tcBorders>
          </w:tcPr>
          <w:p w14:paraId="1500DBC8" w14:textId="77777777" w:rsidR="00BB5D3A" w:rsidRPr="00487CAB" w:rsidRDefault="00BB5D3A" w:rsidP="00E07358">
            <w:pPr>
              <w:tabs>
                <w:tab w:val="right" w:pos="9180"/>
              </w:tabs>
              <w:jc w:val="center"/>
              <w:rPr>
                <w:snapToGrid w:val="0"/>
                <w:color w:val="000000"/>
                <w:sz w:val="19"/>
                <w:szCs w:val="19"/>
              </w:rPr>
            </w:pPr>
            <w:r w:rsidRPr="00487CAB">
              <w:rPr>
                <w:snapToGrid w:val="0"/>
                <w:color w:val="000000"/>
                <w:sz w:val="19"/>
                <w:szCs w:val="19"/>
              </w:rPr>
              <w:t>Deficit</w:t>
            </w:r>
          </w:p>
        </w:tc>
        <w:tc>
          <w:tcPr>
            <w:tcW w:w="1800" w:type="dxa"/>
            <w:gridSpan w:val="2"/>
            <w:tcBorders>
              <w:bottom w:val="single" w:sz="4" w:space="0" w:color="auto"/>
            </w:tcBorders>
          </w:tcPr>
          <w:p w14:paraId="5CFC4373" w14:textId="77777777" w:rsidR="00BB5D3A" w:rsidRPr="00487CAB" w:rsidRDefault="00BB5D3A" w:rsidP="00E07358">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B5D3A" w:rsidRPr="00487CAB" w14:paraId="6678EF59" w14:textId="77777777" w:rsidTr="00936552">
        <w:tc>
          <w:tcPr>
            <w:tcW w:w="4410" w:type="dxa"/>
          </w:tcPr>
          <w:p w14:paraId="286CFE6F"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22</w:t>
            </w:r>
          </w:p>
        </w:tc>
        <w:tc>
          <w:tcPr>
            <w:tcW w:w="720" w:type="dxa"/>
          </w:tcPr>
          <w:p w14:paraId="5067603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65BEAE3E" w14:textId="7F78DDB6"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35915">
              <w:rPr>
                <w:snapToGrid w:val="0"/>
                <w:color w:val="000000"/>
                <w:sz w:val="19"/>
                <w:szCs w:val="19"/>
              </w:rPr>
              <w:t>1,755,664</w:t>
            </w:r>
          </w:p>
        </w:tc>
        <w:tc>
          <w:tcPr>
            <w:tcW w:w="1170" w:type="dxa"/>
          </w:tcPr>
          <w:p w14:paraId="5F2F7F73" w14:textId="0EC34E15"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B35915">
              <w:rPr>
                <w:snapToGrid w:val="0"/>
                <w:color w:val="000000"/>
                <w:sz w:val="19"/>
                <w:szCs w:val="19"/>
              </w:rPr>
              <w:t>1,756</w:t>
            </w:r>
          </w:p>
        </w:tc>
        <w:tc>
          <w:tcPr>
            <w:tcW w:w="1440" w:type="dxa"/>
          </w:tcPr>
          <w:p w14:paraId="3C395371" w14:textId="01BBC924"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104,</w:t>
            </w:r>
            <w:r w:rsidR="00B35915">
              <w:rPr>
                <w:snapToGrid w:val="0"/>
                <w:color w:val="000000"/>
                <w:sz w:val="19"/>
                <w:szCs w:val="19"/>
              </w:rPr>
              <w:t>995,301</w:t>
            </w:r>
          </w:p>
        </w:tc>
        <w:tc>
          <w:tcPr>
            <w:tcW w:w="1440" w:type="dxa"/>
          </w:tcPr>
          <w:p w14:paraId="7E42E8C5"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78,397,023</w:t>
            </w:r>
            <w:r w:rsidRPr="00487CAB">
              <w:rPr>
                <w:snapToGrid w:val="0"/>
                <w:color w:val="000000"/>
                <w:sz w:val="19"/>
                <w:szCs w:val="19"/>
              </w:rPr>
              <w:t>)</w:t>
            </w:r>
          </w:p>
        </w:tc>
        <w:tc>
          <w:tcPr>
            <w:tcW w:w="1800" w:type="dxa"/>
            <w:gridSpan w:val="2"/>
          </w:tcPr>
          <w:p w14:paraId="67E8BBC9"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26,600,034</w:t>
            </w:r>
          </w:p>
        </w:tc>
      </w:tr>
      <w:tr w:rsidR="00BB5D3A" w:rsidRPr="00487CAB" w14:paraId="60C2E202" w14:textId="77777777" w:rsidTr="00936552">
        <w:tc>
          <w:tcPr>
            <w:tcW w:w="4410" w:type="dxa"/>
          </w:tcPr>
          <w:p w14:paraId="488327A9" w14:textId="77777777" w:rsidR="00BB5D3A" w:rsidRPr="00487CAB" w:rsidRDefault="00BB5D3A" w:rsidP="00E07358">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720" w:type="dxa"/>
          </w:tcPr>
          <w:p w14:paraId="7FFA3E38"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EA73E36" w14:textId="3C9B9DE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35915">
              <w:rPr>
                <w:snapToGrid w:val="0"/>
                <w:color w:val="000000"/>
                <w:sz w:val="19"/>
                <w:szCs w:val="19"/>
              </w:rPr>
              <w:t>7,246</w:t>
            </w:r>
          </w:p>
        </w:tc>
        <w:tc>
          <w:tcPr>
            <w:tcW w:w="1170" w:type="dxa"/>
          </w:tcPr>
          <w:p w14:paraId="410A4E65" w14:textId="39C3BCFD"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35915">
              <w:rPr>
                <w:snapToGrid w:val="0"/>
                <w:color w:val="000000"/>
                <w:sz w:val="19"/>
                <w:szCs w:val="19"/>
              </w:rPr>
              <w:t>7</w:t>
            </w:r>
          </w:p>
        </w:tc>
        <w:tc>
          <w:tcPr>
            <w:tcW w:w="1440" w:type="dxa"/>
          </w:tcPr>
          <w:p w14:paraId="436E5C0C" w14:textId="71494F92"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35915">
              <w:rPr>
                <w:snapToGrid w:val="0"/>
                <w:color w:val="000000"/>
                <w:sz w:val="19"/>
                <w:szCs w:val="19"/>
              </w:rPr>
              <w:t>74,993</w:t>
            </w:r>
          </w:p>
        </w:tc>
        <w:tc>
          <w:tcPr>
            <w:tcW w:w="1440" w:type="dxa"/>
          </w:tcPr>
          <w:p w14:paraId="7BCE0CA6"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2AC849C5"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ab/>
              <w:t>75,000</w:t>
            </w:r>
          </w:p>
        </w:tc>
      </w:tr>
      <w:tr w:rsidR="00BB5D3A" w:rsidRPr="00487CAB" w14:paraId="6FE40C3E" w14:textId="77777777" w:rsidTr="00936552">
        <w:tc>
          <w:tcPr>
            <w:tcW w:w="4410" w:type="dxa"/>
          </w:tcPr>
          <w:p w14:paraId="2F653F98" w14:textId="77777777" w:rsidR="00BB5D3A" w:rsidRDefault="00BB5D3A" w:rsidP="00E07358">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19312EF1"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63BB3CC" w14:textId="3E31D7D0"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B6D6C48"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FDFD176"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228,039</w:t>
            </w:r>
          </w:p>
        </w:tc>
        <w:tc>
          <w:tcPr>
            <w:tcW w:w="1440" w:type="dxa"/>
          </w:tcPr>
          <w:p w14:paraId="68736465" w14:textId="77777777" w:rsidR="00BB5D3A" w:rsidRPr="00636549" w:rsidRDefault="00BB5D3A" w:rsidP="00E07358">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2DDF704D" w14:textId="77777777" w:rsidR="00BB5D3A" w:rsidRDefault="00BB5D3A" w:rsidP="00E07358">
            <w:pPr>
              <w:tabs>
                <w:tab w:val="decimal" w:pos="1418"/>
                <w:tab w:val="right" w:pos="9180"/>
              </w:tabs>
              <w:rPr>
                <w:snapToGrid w:val="0"/>
                <w:color w:val="000000"/>
                <w:sz w:val="19"/>
                <w:szCs w:val="19"/>
              </w:rPr>
            </w:pPr>
            <w:r>
              <w:rPr>
                <w:snapToGrid w:val="0"/>
                <w:color w:val="000000"/>
                <w:sz w:val="19"/>
                <w:szCs w:val="19"/>
              </w:rPr>
              <w:tab/>
              <w:t>228,039</w:t>
            </w:r>
          </w:p>
        </w:tc>
      </w:tr>
      <w:tr w:rsidR="00BB5D3A" w:rsidRPr="00487CAB" w14:paraId="717A6975" w14:textId="77777777" w:rsidTr="00936552">
        <w:tc>
          <w:tcPr>
            <w:tcW w:w="4410" w:type="dxa"/>
          </w:tcPr>
          <w:p w14:paraId="1AB6914D"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23</w:t>
            </w:r>
          </w:p>
        </w:tc>
        <w:tc>
          <w:tcPr>
            <w:tcW w:w="720" w:type="dxa"/>
          </w:tcPr>
          <w:p w14:paraId="2388478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70529D21" w14:textId="0EE28801"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C62F74C"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BB5DF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B4350E7"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c>
          <w:tcPr>
            <w:tcW w:w="1800" w:type="dxa"/>
            <w:gridSpan w:val="2"/>
            <w:tcBorders>
              <w:bottom w:val="single" w:sz="4" w:space="0" w:color="auto"/>
            </w:tcBorders>
          </w:tcPr>
          <w:p w14:paraId="20838B0E"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r>
      <w:tr w:rsidR="00BB5D3A" w:rsidRPr="00487CAB" w14:paraId="30D0E71E" w14:textId="77777777" w:rsidTr="00936552">
        <w:tc>
          <w:tcPr>
            <w:tcW w:w="4410" w:type="dxa"/>
          </w:tcPr>
          <w:p w14:paraId="002C9163"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23</w:t>
            </w:r>
          </w:p>
        </w:tc>
        <w:tc>
          <w:tcPr>
            <w:tcW w:w="720" w:type="dxa"/>
          </w:tcPr>
          <w:p w14:paraId="63BC695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768913C3" w14:textId="4CA121A0"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35915">
              <w:rPr>
                <w:snapToGrid w:val="0"/>
                <w:color w:val="000000"/>
                <w:sz w:val="19"/>
                <w:szCs w:val="19"/>
              </w:rPr>
              <w:t>1,762,910</w:t>
            </w:r>
          </w:p>
        </w:tc>
        <w:tc>
          <w:tcPr>
            <w:tcW w:w="1170" w:type="dxa"/>
            <w:tcBorders>
              <w:top w:val="single" w:sz="4" w:space="0" w:color="auto"/>
              <w:bottom w:val="double" w:sz="4" w:space="0" w:color="auto"/>
            </w:tcBorders>
          </w:tcPr>
          <w:p w14:paraId="03C8285D" w14:textId="0C6DF323"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B35915">
              <w:rPr>
                <w:snapToGrid w:val="0"/>
                <w:color w:val="000000"/>
                <w:sz w:val="19"/>
                <w:szCs w:val="19"/>
              </w:rPr>
              <w:t>1,763</w:t>
            </w:r>
          </w:p>
        </w:tc>
        <w:tc>
          <w:tcPr>
            <w:tcW w:w="1440" w:type="dxa"/>
            <w:tcBorders>
              <w:top w:val="single" w:sz="4" w:space="0" w:color="auto"/>
              <w:bottom w:val="double" w:sz="4" w:space="0" w:color="auto"/>
            </w:tcBorders>
          </w:tcPr>
          <w:p w14:paraId="30C12977" w14:textId="2D628701"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105,2</w:t>
            </w:r>
            <w:r w:rsidR="00B35915">
              <w:rPr>
                <w:snapToGrid w:val="0"/>
                <w:color w:val="000000"/>
                <w:sz w:val="19"/>
                <w:szCs w:val="19"/>
              </w:rPr>
              <w:t>98,333</w:t>
            </w:r>
          </w:p>
        </w:tc>
        <w:tc>
          <w:tcPr>
            <w:tcW w:w="1440" w:type="dxa"/>
            <w:tcBorders>
              <w:top w:val="single" w:sz="4" w:space="0" w:color="auto"/>
              <w:bottom w:val="double" w:sz="4" w:space="0" w:color="auto"/>
            </w:tcBorders>
          </w:tcPr>
          <w:p w14:paraId="7D607E1D"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(82,434,939)</w:t>
            </w:r>
          </w:p>
        </w:tc>
        <w:tc>
          <w:tcPr>
            <w:tcW w:w="1800" w:type="dxa"/>
            <w:gridSpan w:val="2"/>
            <w:tcBorders>
              <w:top w:val="single" w:sz="4" w:space="0" w:color="auto"/>
              <w:bottom w:val="double" w:sz="4" w:space="0" w:color="auto"/>
            </w:tcBorders>
          </w:tcPr>
          <w:p w14:paraId="79D30E1A"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22,865,157</w:t>
            </w:r>
          </w:p>
        </w:tc>
      </w:tr>
      <w:tr w:rsidR="00BB5D3A" w:rsidRPr="00487CAB" w14:paraId="1BB8132D" w14:textId="77777777" w:rsidTr="00936552">
        <w:tc>
          <w:tcPr>
            <w:tcW w:w="4410" w:type="dxa"/>
          </w:tcPr>
          <w:p w14:paraId="593F447C"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3B2F80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53175865" w14:textId="4E234C36"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170" w:type="dxa"/>
          </w:tcPr>
          <w:p w14:paraId="41A6F08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C677DE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69570773" w14:textId="77777777" w:rsidR="00BB5D3A" w:rsidRPr="00487CAB" w:rsidRDefault="00BB5D3A" w:rsidP="00E07358">
            <w:pPr>
              <w:tabs>
                <w:tab w:val="decimal" w:pos="1150"/>
                <w:tab w:val="left" w:pos="2340"/>
                <w:tab w:val="right" w:pos="9180"/>
              </w:tabs>
              <w:rPr>
                <w:snapToGrid w:val="0"/>
                <w:color w:val="000000"/>
                <w:sz w:val="19"/>
                <w:szCs w:val="19"/>
              </w:rPr>
            </w:pPr>
          </w:p>
        </w:tc>
        <w:tc>
          <w:tcPr>
            <w:tcW w:w="1800" w:type="dxa"/>
            <w:gridSpan w:val="2"/>
          </w:tcPr>
          <w:p w14:paraId="4AC5A782" w14:textId="77777777" w:rsidR="00BB5D3A" w:rsidRPr="00487CAB" w:rsidRDefault="00BB5D3A" w:rsidP="00E07358">
            <w:pPr>
              <w:tabs>
                <w:tab w:val="decimal" w:pos="1418"/>
                <w:tab w:val="right" w:pos="9180"/>
              </w:tabs>
              <w:rPr>
                <w:snapToGrid w:val="0"/>
                <w:color w:val="000000"/>
                <w:sz w:val="19"/>
                <w:szCs w:val="19"/>
              </w:rPr>
            </w:pPr>
          </w:p>
        </w:tc>
      </w:tr>
    </w:tbl>
    <w:p w14:paraId="1046BB46" w14:textId="77777777" w:rsidR="00BB5D3A" w:rsidRDefault="00BB5D3A" w:rsidP="004F479E">
      <w:pPr>
        <w:tabs>
          <w:tab w:val="decimal" w:pos="1152"/>
          <w:tab w:val="left" w:pos="2340"/>
          <w:tab w:val="right" w:pos="9180"/>
        </w:tabs>
        <w:rPr>
          <w:snapToGrid w:val="0"/>
          <w:color w:val="000000"/>
          <w:sz w:val="19"/>
          <w:szCs w:val="19"/>
        </w:rPr>
      </w:pPr>
    </w:p>
    <w:p w14:paraId="66964CFF" w14:textId="77777777" w:rsidR="00BB5D3A" w:rsidRDefault="00BB5D3A" w:rsidP="004F479E">
      <w:pPr>
        <w:tabs>
          <w:tab w:val="decimal" w:pos="1152"/>
          <w:tab w:val="left" w:pos="2340"/>
          <w:tab w:val="right" w:pos="9180"/>
        </w:tabs>
        <w:rPr>
          <w:snapToGrid w:val="0"/>
          <w:color w:val="000000"/>
          <w:sz w:val="19"/>
          <w:szCs w:val="19"/>
        </w:rPr>
      </w:pPr>
    </w:p>
    <w:p w14:paraId="6753B019" w14:textId="77777777" w:rsidR="00BB5D3A" w:rsidRDefault="00BB5D3A" w:rsidP="004F479E">
      <w:pPr>
        <w:tabs>
          <w:tab w:val="decimal" w:pos="1152"/>
          <w:tab w:val="left" w:pos="2340"/>
          <w:tab w:val="right" w:pos="9180"/>
        </w:tabs>
        <w:rPr>
          <w:snapToGrid w:val="0"/>
          <w:color w:val="000000"/>
          <w:sz w:val="19"/>
          <w:szCs w:val="19"/>
        </w:rPr>
      </w:pPr>
    </w:p>
    <w:p w14:paraId="3C821460" w14:textId="77777777" w:rsidR="00BB5D3A" w:rsidRDefault="00BB5D3A" w:rsidP="004F479E">
      <w:pPr>
        <w:tabs>
          <w:tab w:val="decimal" w:pos="1152"/>
          <w:tab w:val="left" w:pos="2340"/>
          <w:tab w:val="right" w:pos="9180"/>
        </w:tabs>
        <w:rPr>
          <w:snapToGrid w:val="0"/>
          <w:color w:val="000000"/>
          <w:sz w:val="19"/>
          <w:szCs w:val="19"/>
        </w:rPr>
      </w:pPr>
    </w:p>
    <w:p w14:paraId="7692B5DF" w14:textId="77777777" w:rsidR="00BB5D3A" w:rsidRDefault="00BB5D3A" w:rsidP="004F479E">
      <w:pPr>
        <w:tabs>
          <w:tab w:val="decimal" w:pos="1152"/>
          <w:tab w:val="left" w:pos="2340"/>
          <w:tab w:val="right" w:pos="9180"/>
        </w:tabs>
        <w:rPr>
          <w:snapToGrid w:val="0"/>
          <w:color w:val="000000"/>
          <w:sz w:val="19"/>
          <w:szCs w:val="19"/>
        </w:rPr>
      </w:pPr>
    </w:p>
    <w:bookmarkEnd w:id="8"/>
    <w:p w14:paraId="06FCDFDD" w14:textId="2E24C973" w:rsidR="004F479E" w:rsidRDefault="004F479E" w:rsidP="00487CAB">
      <w:pPr>
        <w:tabs>
          <w:tab w:val="decimal" w:pos="1152"/>
          <w:tab w:val="left" w:pos="2340"/>
          <w:tab w:val="right" w:pos="9180"/>
        </w:tabs>
        <w:rPr>
          <w:snapToGrid w:val="0"/>
          <w:color w:val="000000"/>
        </w:rPr>
      </w:pPr>
    </w:p>
    <w:p w14:paraId="5451020A" w14:textId="42C81B7D" w:rsidR="004F479E" w:rsidRDefault="004F479E" w:rsidP="00487CAB">
      <w:pPr>
        <w:tabs>
          <w:tab w:val="decimal" w:pos="1152"/>
          <w:tab w:val="left" w:pos="2340"/>
          <w:tab w:val="right" w:pos="9180"/>
        </w:tabs>
        <w:rPr>
          <w:snapToGrid w:val="0"/>
          <w:color w:val="000000"/>
        </w:rPr>
      </w:pPr>
    </w:p>
    <w:p w14:paraId="11D36CCB" w14:textId="77016E2D" w:rsidR="004F479E" w:rsidRDefault="004F479E" w:rsidP="00487CAB">
      <w:pPr>
        <w:tabs>
          <w:tab w:val="decimal" w:pos="1152"/>
          <w:tab w:val="left" w:pos="2340"/>
          <w:tab w:val="right" w:pos="9180"/>
        </w:tabs>
        <w:rPr>
          <w:snapToGrid w:val="0"/>
          <w:color w:val="000000"/>
        </w:rPr>
      </w:pPr>
    </w:p>
    <w:p w14:paraId="0CECAAAA" w14:textId="6E5BE80A" w:rsidR="004F479E" w:rsidRDefault="004F479E" w:rsidP="00487CAB">
      <w:pPr>
        <w:tabs>
          <w:tab w:val="decimal" w:pos="1152"/>
          <w:tab w:val="left" w:pos="2340"/>
          <w:tab w:val="right" w:pos="9180"/>
        </w:tabs>
        <w:rPr>
          <w:snapToGrid w:val="0"/>
          <w:color w:val="000000"/>
        </w:rPr>
      </w:pPr>
    </w:p>
    <w:p w14:paraId="56E1AEE2" w14:textId="2AFEF9A2" w:rsidR="004F479E" w:rsidRDefault="004F479E" w:rsidP="00487CAB">
      <w:pPr>
        <w:tabs>
          <w:tab w:val="decimal" w:pos="1152"/>
          <w:tab w:val="left" w:pos="2340"/>
          <w:tab w:val="right" w:pos="9180"/>
        </w:tabs>
        <w:rPr>
          <w:snapToGrid w:val="0"/>
          <w:color w:val="000000"/>
        </w:rPr>
      </w:pPr>
    </w:p>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5B939259" w:rsidR="006E7CF8" w:rsidRDefault="00487CAB" w:rsidP="006C1B86">
      <w:pPr>
        <w:tabs>
          <w:tab w:val="left" w:pos="1080"/>
          <w:tab w:val="left" w:pos="1260"/>
          <w:tab w:val="left" w:pos="2340"/>
          <w:tab w:val="right" w:pos="9180"/>
        </w:tabs>
        <w:ind w:right="-360"/>
        <w:jc w:val="center"/>
      </w:pPr>
      <w:r w:rsidRPr="00487CAB">
        <w:rPr>
          <w:snapToGrid w:val="0"/>
          <w:color w:val="000000"/>
        </w:rPr>
        <w:t xml:space="preserve">See accompanying notes to </w:t>
      </w:r>
      <w:r w:rsidR="00E774DA">
        <w:rPr>
          <w:snapToGrid w:val="0"/>
          <w:color w:val="000000"/>
        </w:rPr>
        <w:t xml:space="preserve">condensed </w:t>
      </w:r>
      <w:r w:rsidRPr="00487CAB">
        <w:rPr>
          <w:snapToGrid w:val="0"/>
          <w:color w:val="000000"/>
        </w:rPr>
        <w:t>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4117942A" w:rsidR="002D627A" w:rsidRPr="000D3DC5" w:rsidRDefault="006E7CF8" w:rsidP="00FD4723">
            <w:pPr>
              <w:tabs>
                <w:tab w:val="decimal" w:pos="1044"/>
                <w:tab w:val="right" w:pos="9180"/>
              </w:tabs>
              <w:ind w:right="-18"/>
              <w:jc w:val="center"/>
            </w:pPr>
            <w:r>
              <w:t>Three</w:t>
            </w:r>
            <w:r w:rsidR="002D627A">
              <w:t xml:space="preserve"> Months Ended </w:t>
            </w:r>
            <w:r>
              <w:t>March 31</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5703C6FB" w:rsidR="002D627A" w:rsidRPr="000D3DC5" w:rsidRDefault="002D627A" w:rsidP="002D627A">
            <w:pPr>
              <w:tabs>
                <w:tab w:val="decimal" w:pos="1044"/>
                <w:tab w:val="decimal" w:pos="1332"/>
                <w:tab w:val="right" w:pos="9180"/>
              </w:tabs>
              <w:jc w:val="center"/>
            </w:pPr>
            <w:r>
              <w:t>20</w:t>
            </w:r>
            <w:r w:rsidR="00587925">
              <w:t>2</w:t>
            </w:r>
            <w:r w:rsidR="00936552">
              <w:t>4</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746C723E" w:rsidR="002D627A" w:rsidRPr="000D3DC5" w:rsidRDefault="002D627A" w:rsidP="002D627A">
            <w:pPr>
              <w:tabs>
                <w:tab w:val="decimal" w:pos="1044"/>
                <w:tab w:val="right" w:pos="9180"/>
              </w:tabs>
              <w:ind w:right="-18"/>
              <w:jc w:val="center"/>
            </w:pPr>
            <w:r>
              <w:t>20</w:t>
            </w:r>
            <w:r w:rsidR="00ED1AE4">
              <w:t>2</w:t>
            </w:r>
            <w:r w:rsidR="00936552">
              <w:t>3</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7801E5D0" w:rsidR="002D627A" w:rsidRPr="000D3DC5" w:rsidRDefault="002D627A" w:rsidP="00FD4723">
            <w:pPr>
              <w:tabs>
                <w:tab w:val="decimal" w:pos="1332"/>
                <w:tab w:val="right" w:pos="9180"/>
              </w:tabs>
            </w:pPr>
            <w:r w:rsidRPr="000D3DC5">
              <w:t>$</w:t>
            </w:r>
            <w:r w:rsidRPr="000D3DC5">
              <w:tab/>
            </w:r>
            <w:r w:rsidR="00D03835">
              <w:t>(5,850,132)</w:t>
            </w:r>
          </w:p>
        </w:tc>
        <w:tc>
          <w:tcPr>
            <w:tcW w:w="360" w:type="dxa"/>
          </w:tcPr>
          <w:p w14:paraId="57942AE3" w14:textId="77777777" w:rsidR="002D627A" w:rsidRPr="000D3DC5" w:rsidRDefault="002D627A" w:rsidP="002D627A">
            <w:pPr>
              <w:tabs>
                <w:tab w:val="right" w:pos="9180"/>
              </w:tabs>
            </w:pPr>
          </w:p>
        </w:tc>
        <w:tc>
          <w:tcPr>
            <w:tcW w:w="1620" w:type="dxa"/>
          </w:tcPr>
          <w:p w14:paraId="6A3E34C2" w14:textId="50AA2FFD" w:rsidR="002D627A" w:rsidRPr="000D3DC5" w:rsidRDefault="006E7CF8" w:rsidP="002D627A">
            <w:pPr>
              <w:tabs>
                <w:tab w:val="decimal" w:pos="1152"/>
                <w:tab w:val="right" w:pos="9180"/>
              </w:tabs>
            </w:pPr>
            <w:r>
              <w:t>$</w:t>
            </w:r>
            <w:r>
              <w:tab/>
              <w:t>(</w:t>
            </w:r>
            <w:r w:rsidR="00936552">
              <w:t>4,037,916</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1FEF981B" w:rsidR="002D627A" w:rsidRPr="000D3DC5" w:rsidRDefault="002D627A" w:rsidP="002D627A">
            <w:r w:rsidRPr="000D3DC5">
              <w:t xml:space="preserve">Depreciation </w:t>
            </w:r>
            <w:r w:rsidR="00A6252C">
              <w:t>expense</w:t>
            </w:r>
          </w:p>
        </w:tc>
        <w:tc>
          <w:tcPr>
            <w:tcW w:w="1555" w:type="dxa"/>
          </w:tcPr>
          <w:p w14:paraId="19B164C5" w14:textId="77777777" w:rsidR="002D627A" w:rsidRPr="000D3DC5" w:rsidRDefault="002D627A" w:rsidP="002D627A">
            <w:pPr>
              <w:tabs>
                <w:tab w:val="right" w:pos="9180"/>
              </w:tabs>
            </w:pPr>
          </w:p>
        </w:tc>
        <w:tc>
          <w:tcPr>
            <w:tcW w:w="1800" w:type="dxa"/>
          </w:tcPr>
          <w:p w14:paraId="45738E17" w14:textId="18E79C2F" w:rsidR="002D627A" w:rsidRPr="000D3DC5" w:rsidRDefault="00767AC2" w:rsidP="002D627A">
            <w:pPr>
              <w:tabs>
                <w:tab w:val="decimal" w:pos="1332"/>
                <w:tab w:val="right" w:pos="9180"/>
              </w:tabs>
            </w:pPr>
            <w:r>
              <w:tab/>
            </w:r>
            <w:r w:rsidR="00D03835">
              <w:t>19,576</w:t>
            </w:r>
          </w:p>
        </w:tc>
        <w:tc>
          <w:tcPr>
            <w:tcW w:w="360" w:type="dxa"/>
          </w:tcPr>
          <w:p w14:paraId="7D1EEEDB" w14:textId="77777777" w:rsidR="002D627A" w:rsidRPr="000D3DC5" w:rsidRDefault="002D627A" w:rsidP="002D627A">
            <w:pPr>
              <w:tabs>
                <w:tab w:val="right" w:pos="9180"/>
              </w:tabs>
            </w:pPr>
          </w:p>
        </w:tc>
        <w:tc>
          <w:tcPr>
            <w:tcW w:w="1620" w:type="dxa"/>
          </w:tcPr>
          <w:p w14:paraId="26BE33FB" w14:textId="74A1BCD1" w:rsidR="002D627A" w:rsidRPr="000D3DC5" w:rsidRDefault="006E7CF8" w:rsidP="002D627A">
            <w:pPr>
              <w:tabs>
                <w:tab w:val="decimal" w:pos="1152"/>
                <w:tab w:val="right" w:pos="9180"/>
              </w:tabs>
            </w:pPr>
            <w:r>
              <w:tab/>
            </w:r>
            <w:r w:rsidR="00936552">
              <w:t>17,319</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5A48E3DE" w:rsidR="002D627A" w:rsidRPr="000D3DC5" w:rsidRDefault="00767AC2" w:rsidP="002D627A">
            <w:pPr>
              <w:tabs>
                <w:tab w:val="decimal" w:pos="1332"/>
                <w:tab w:val="right" w:pos="9180"/>
              </w:tabs>
            </w:pPr>
            <w:r>
              <w:tab/>
            </w:r>
            <w:r w:rsidR="00D03835">
              <w:t>1</w:t>
            </w:r>
            <w:r w:rsidR="004D1CA5">
              <w:t>57,736</w:t>
            </w:r>
          </w:p>
        </w:tc>
        <w:tc>
          <w:tcPr>
            <w:tcW w:w="360" w:type="dxa"/>
          </w:tcPr>
          <w:p w14:paraId="1605946C" w14:textId="77777777" w:rsidR="002D627A" w:rsidRPr="000D3DC5" w:rsidRDefault="002D627A" w:rsidP="002D627A">
            <w:pPr>
              <w:tabs>
                <w:tab w:val="right" w:pos="9180"/>
              </w:tabs>
            </w:pPr>
          </w:p>
        </w:tc>
        <w:tc>
          <w:tcPr>
            <w:tcW w:w="1620" w:type="dxa"/>
          </w:tcPr>
          <w:p w14:paraId="6F1BA9DB" w14:textId="44A45115" w:rsidR="002D627A" w:rsidRPr="000D3DC5" w:rsidRDefault="006E7CF8" w:rsidP="002D627A">
            <w:pPr>
              <w:tabs>
                <w:tab w:val="decimal" w:pos="1152"/>
                <w:tab w:val="right" w:pos="9180"/>
              </w:tabs>
            </w:pPr>
            <w:r>
              <w:tab/>
            </w:r>
            <w:r w:rsidR="00E440EE">
              <w:t>2</w:t>
            </w:r>
            <w:r w:rsidR="00936552">
              <w:t>46,039</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1061415E" w:rsidR="002D627A" w:rsidRPr="000D3DC5" w:rsidRDefault="00767AC2" w:rsidP="002D627A">
            <w:pPr>
              <w:tabs>
                <w:tab w:val="decimal" w:pos="1332"/>
                <w:tab w:val="right" w:pos="9180"/>
              </w:tabs>
            </w:pPr>
            <w:r>
              <w:tab/>
            </w:r>
            <w:r w:rsidR="00D03835">
              <w:t>(</w:t>
            </w:r>
            <w:r w:rsidR="00150FE9">
              <w:t>677</w:t>
            </w:r>
            <w:r w:rsidR="00D03835">
              <w:t>,033)</w:t>
            </w:r>
          </w:p>
        </w:tc>
        <w:tc>
          <w:tcPr>
            <w:tcW w:w="360" w:type="dxa"/>
          </w:tcPr>
          <w:p w14:paraId="6A52DAE9" w14:textId="77777777" w:rsidR="002D627A" w:rsidRPr="000D3DC5" w:rsidRDefault="002D627A" w:rsidP="002D627A">
            <w:pPr>
              <w:tabs>
                <w:tab w:val="right" w:pos="9180"/>
              </w:tabs>
            </w:pPr>
          </w:p>
        </w:tc>
        <w:tc>
          <w:tcPr>
            <w:tcW w:w="1620" w:type="dxa"/>
          </w:tcPr>
          <w:p w14:paraId="07A50865" w14:textId="2F331C30" w:rsidR="002D627A" w:rsidRPr="000D3DC5" w:rsidRDefault="006E7CF8" w:rsidP="002D627A">
            <w:pPr>
              <w:tabs>
                <w:tab w:val="decimal" w:pos="1152"/>
                <w:tab w:val="right" w:pos="9180"/>
              </w:tabs>
            </w:pPr>
            <w:r>
              <w:tab/>
            </w:r>
            <w:r w:rsidR="00E440EE">
              <w:t>(</w:t>
            </w:r>
            <w:r w:rsidR="00936552">
              <w:t>755,973</w:t>
            </w:r>
            <w:r w:rsidR="00E440EE">
              <w:t>)</w:t>
            </w:r>
          </w:p>
        </w:tc>
      </w:tr>
      <w:tr w:rsidR="00C360D2" w:rsidRPr="000D3DC5" w14:paraId="5E84CD98" w14:textId="77777777" w:rsidTr="002D627A">
        <w:tc>
          <w:tcPr>
            <w:tcW w:w="378" w:type="dxa"/>
          </w:tcPr>
          <w:p w14:paraId="7AE2A4DA" w14:textId="77777777" w:rsidR="00C360D2" w:rsidRPr="000D3DC5" w:rsidRDefault="00C360D2" w:rsidP="002D627A"/>
        </w:tc>
        <w:tc>
          <w:tcPr>
            <w:tcW w:w="425" w:type="dxa"/>
          </w:tcPr>
          <w:p w14:paraId="63DB385A" w14:textId="77777777" w:rsidR="00C360D2" w:rsidRPr="000D3DC5" w:rsidRDefault="00C360D2" w:rsidP="002D627A"/>
        </w:tc>
        <w:tc>
          <w:tcPr>
            <w:tcW w:w="385" w:type="dxa"/>
            <w:gridSpan w:val="2"/>
          </w:tcPr>
          <w:p w14:paraId="6C0DC9F5" w14:textId="77777777" w:rsidR="00C360D2" w:rsidRPr="000D3DC5" w:rsidRDefault="00C360D2" w:rsidP="002D627A"/>
        </w:tc>
        <w:tc>
          <w:tcPr>
            <w:tcW w:w="5220" w:type="dxa"/>
            <w:gridSpan w:val="4"/>
          </w:tcPr>
          <w:p w14:paraId="6809A01B" w14:textId="18DD0A3B" w:rsidR="00C360D2" w:rsidRPr="000D3DC5" w:rsidRDefault="00C360D2" w:rsidP="002D627A">
            <w:pPr>
              <w:tabs>
                <w:tab w:val="right" w:pos="9180"/>
              </w:tabs>
            </w:pPr>
            <w:r>
              <w:t>Other assets</w:t>
            </w:r>
          </w:p>
        </w:tc>
        <w:tc>
          <w:tcPr>
            <w:tcW w:w="1800" w:type="dxa"/>
          </w:tcPr>
          <w:p w14:paraId="54501F6C" w14:textId="6D77CAA5" w:rsidR="00C360D2" w:rsidRDefault="00C360D2" w:rsidP="002D627A">
            <w:pPr>
              <w:tabs>
                <w:tab w:val="decimal" w:pos="1332"/>
                <w:tab w:val="right" w:pos="9180"/>
              </w:tabs>
            </w:pPr>
            <w:r>
              <w:tab/>
            </w:r>
            <w:r w:rsidR="00150FE9">
              <w:t>882</w:t>
            </w:r>
            <w:r w:rsidR="00D03835">
              <w:t>,097</w:t>
            </w:r>
          </w:p>
        </w:tc>
        <w:tc>
          <w:tcPr>
            <w:tcW w:w="360" w:type="dxa"/>
          </w:tcPr>
          <w:p w14:paraId="20D2567E" w14:textId="77777777" w:rsidR="00C360D2" w:rsidRPr="000D3DC5" w:rsidRDefault="00C360D2" w:rsidP="002D627A">
            <w:pPr>
              <w:tabs>
                <w:tab w:val="right" w:pos="9180"/>
              </w:tabs>
            </w:pPr>
          </w:p>
        </w:tc>
        <w:tc>
          <w:tcPr>
            <w:tcW w:w="1620" w:type="dxa"/>
          </w:tcPr>
          <w:p w14:paraId="404CD499" w14:textId="045984EB" w:rsidR="00C360D2" w:rsidRDefault="00C360D2" w:rsidP="002D627A">
            <w:pPr>
              <w:tabs>
                <w:tab w:val="decimal" w:pos="1152"/>
                <w:tab w:val="right" w:pos="9180"/>
              </w:tabs>
            </w:pPr>
            <w:r>
              <w:tab/>
            </w:r>
            <w:r w:rsidR="00936552">
              <w:t>976,498</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20E4E32B" w:rsidR="002D627A" w:rsidRPr="000D3DC5" w:rsidRDefault="002D627A" w:rsidP="002D627A">
            <w:pPr>
              <w:tabs>
                <w:tab w:val="right" w:pos="9180"/>
              </w:tabs>
            </w:pPr>
            <w:r w:rsidRPr="000D3DC5">
              <w:t>Accounts payable</w:t>
            </w:r>
            <w:r w:rsidR="00454D03">
              <w:t xml:space="preserve">, </w:t>
            </w:r>
            <w:r w:rsidRPr="000D3DC5">
              <w:t>accrued expenses</w:t>
            </w:r>
            <w:r w:rsidR="00454D03">
              <w:t xml:space="preserve"> and other liabilities</w:t>
            </w:r>
          </w:p>
        </w:tc>
        <w:tc>
          <w:tcPr>
            <w:tcW w:w="1800" w:type="dxa"/>
          </w:tcPr>
          <w:p w14:paraId="39FF3F45" w14:textId="60107729" w:rsidR="002D627A" w:rsidRPr="000D3DC5" w:rsidRDefault="00767AC2" w:rsidP="002D627A">
            <w:pPr>
              <w:tabs>
                <w:tab w:val="decimal" w:pos="1332"/>
                <w:tab w:val="right" w:pos="9180"/>
              </w:tabs>
            </w:pPr>
            <w:r>
              <w:tab/>
            </w:r>
            <w:r w:rsidR="00D03835">
              <w:t>(215,974)</w:t>
            </w:r>
          </w:p>
        </w:tc>
        <w:tc>
          <w:tcPr>
            <w:tcW w:w="360" w:type="dxa"/>
          </w:tcPr>
          <w:p w14:paraId="102B1A34" w14:textId="77777777" w:rsidR="002D627A" w:rsidRPr="000D3DC5" w:rsidRDefault="002D627A" w:rsidP="002D627A">
            <w:pPr>
              <w:tabs>
                <w:tab w:val="right" w:pos="9180"/>
              </w:tabs>
            </w:pPr>
          </w:p>
        </w:tc>
        <w:tc>
          <w:tcPr>
            <w:tcW w:w="1620" w:type="dxa"/>
          </w:tcPr>
          <w:p w14:paraId="6098F217" w14:textId="74F92C5D" w:rsidR="002D627A" w:rsidRPr="000D3DC5" w:rsidRDefault="006E7CF8" w:rsidP="002D627A">
            <w:pPr>
              <w:tabs>
                <w:tab w:val="decimal" w:pos="1152"/>
                <w:tab w:val="right" w:pos="9180"/>
              </w:tabs>
            </w:pPr>
            <w:r>
              <w:tab/>
            </w:r>
            <w:r w:rsidR="00A902E0">
              <w:t>(</w:t>
            </w:r>
            <w:r w:rsidR="00936552">
              <w:t>208,839</w:t>
            </w:r>
            <w:r w:rsidR="00A902E0">
              <w:t>)</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423CA79D" w:rsidR="002D627A" w:rsidRPr="000D3DC5" w:rsidRDefault="00767AC2" w:rsidP="002D627A">
            <w:pPr>
              <w:tabs>
                <w:tab w:val="decimal" w:pos="1332"/>
                <w:tab w:val="right" w:pos="9180"/>
              </w:tabs>
            </w:pPr>
            <w:r>
              <w:tab/>
            </w:r>
            <w:r w:rsidR="00D03835">
              <w:t>166,402</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4CCDF33B" w:rsidR="002D627A" w:rsidRPr="000D3DC5" w:rsidRDefault="006E7CF8" w:rsidP="002D627A">
            <w:pPr>
              <w:tabs>
                <w:tab w:val="decimal" w:pos="1152"/>
                <w:tab w:val="right" w:pos="9180"/>
              </w:tabs>
            </w:pPr>
            <w:r>
              <w:tab/>
            </w:r>
            <w:r w:rsidR="00936552">
              <w:t>275,044</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0F3FB0B8" w:rsidR="00D27ADC" w:rsidRDefault="00D27ADC" w:rsidP="002D627A">
            <w:pPr>
              <w:tabs>
                <w:tab w:val="decimal" w:pos="1332"/>
                <w:tab w:val="right" w:pos="9180"/>
              </w:tabs>
            </w:pPr>
            <w:r>
              <w:tab/>
            </w:r>
            <w:r w:rsidR="00D03835">
              <w:t>(5,683,730</w:t>
            </w:r>
            <w:r w:rsidR="00D82903">
              <w:t>)</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2A157C74" w:rsidR="00D27ADC" w:rsidRDefault="00D27ADC" w:rsidP="002D627A">
            <w:pPr>
              <w:tabs>
                <w:tab w:val="decimal" w:pos="1152"/>
                <w:tab w:val="right" w:pos="9180"/>
              </w:tabs>
            </w:pPr>
            <w:r>
              <w:tab/>
              <w:t>(</w:t>
            </w:r>
            <w:r w:rsidR="00936552">
              <w:t>3,762,872</w:t>
            </w:r>
            <w:r>
              <w:t>)</w:t>
            </w:r>
          </w:p>
        </w:tc>
      </w:tr>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63B87D1F" w:rsidR="008C0026" w:rsidRPr="000D3DC5" w:rsidRDefault="008C0026" w:rsidP="002D627A">
            <w:r>
              <w:t>Cash flows from investing activities</w:t>
            </w:r>
            <w:r w:rsidR="00E321CC">
              <w:t>:</w:t>
            </w:r>
          </w:p>
        </w:tc>
        <w:tc>
          <w:tcPr>
            <w:tcW w:w="1555" w:type="dxa"/>
          </w:tcPr>
          <w:p w14:paraId="7EBDEEE5" w14:textId="77777777" w:rsidR="008C0026" w:rsidRPr="000D3DC5" w:rsidRDefault="008C0026" w:rsidP="002D627A">
            <w:pPr>
              <w:tabs>
                <w:tab w:val="right" w:pos="9180"/>
              </w:tabs>
            </w:pPr>
          </w:p>
        </w:tc>
        <w:tc>
          <w:tcPr>
            <w:tcW w:w="1800" w:type="dxa"/>
          </w:tcPr>
          <w:p w14:paraId="5782B4A9" w14:textId="14031390" w:rsidR="008C0026" w:rsidRPr="000D3DC5" w:rsidRDefault="008C0026" w:rsidP="002D627A">
            <w:pPr>
              <w:tabs>
                <w:tab w:val="decimal" w:pos="1332"/>
                <w:tab w:val="right" w:pos="9180"/>
              </w:tabs>
            </w:pPr>
          </w:p>
        </w:tc>
        <w:tc>
          <w:tcPr>
            <w:tcW w:w="360" w:type="dxa"/>
          </w:tcPr>
          <w:p w14:paraId="4C599FC5" w14:textId="77777777" w:rsidR="008C0026" w:rsidRPr="000D3DC5" w:rsidRDefault="008C0026" w:rsidP="002D627A">
            <w:pPr>
              <w:tabs>
                <w:tab w:val="right" w:pos="9180"/>
              </w:tabs>
            </w:pPr>
          </w:p>
        </w:tc>
        <w:tc>
          <w:tcPr>
            <w:tcW w:w="1620" w:type="dxa"/>
          </w:tcPr>
          <w:p w14:paraId="25532362" w14:textId="42B3D335" w:rsidR="008C0026" w:rsidRPr="000D3DC5" w:rsidRDefault="008C0026" w:rsidP="002D627A">
            <w:pPr>
              <w:tabs>
                <w:tab w:val="decimal" w:pos="1152"/>
                <w:tab w:val="right" w:pos="9180"/>
              </w:tabs>
            </w:pPr>
          </w:p>
        </w:tc>
      </w:tr>
      <w:tr w:rsidR="00363680" w:rsidRPr="000D3DC5" w14:paraId="71E198A6" w14:textId="77777777" w:rsidTr="00050A48">
        <w:tc>
          <w:tcPr>
            <w:tcW w:w="378" w:type="dxa"/>
          </w:tcPr>
          <w:p w14:paraId="3F77F2D4" w14:textId="77777777" w:rsidR="00363680" w:rsidRPr="000D3DC5" w:rsidRDefault="00363680" w:rsidP="00050A48"/>
        </w:tc>
        <w:tc>
          <w:tcPr>
            <w:tcW w:w="6030" w:type="dxa"/>
            <w:gridSpan w:val="7"/>
          </w:tcPr>
          <w:p w14:paraId="77AB9032" w14:textId="554521B5" w:rsidR="00363680" w:rsidRPr="000D3DC5" w:rsidRDefault="00C67341" w:rsidP="00050A48">
            <w:pPr>
              <w:tabs>
                <w:tab w:val="right" w:pos="9180"/>
              </w:tabs>
            </w:pPr>
            <w:r>
              <w:t>None</w:t>
            </w:r>
          </w:p>
        </w:tc>
        <w:tc>
          <w:tcPr>
            <w:tcW w:w="1800" w:type="dxa"/>
          </w:tcPr>
          <w:p w14:paraId="0BC7BE8F" w14:textId="7ECA0629" w:rsidR="00363680" w:rsidRDefault="00363680" w:rsidP="00050A48">
            <w:pPr>
              <w:tabs>
                <w:tab w:val="decimal" w:pos="1332"/>
                <w:tab w:val="right" w:pos="9180"/>
              </w:tabs>
            </w:pPr>
          </w:p>
        </w:tc>
        <w:tc>
          <w:tcPr>
            <w:tcW w:w="360" w:type="dxa"/>
          </w:tcPr>
          <w:p w14:paraId="08E6391D" w14:textId="77777777" w:rsidR="00363680" w:rsidRPr="000D3DC5" w:rsidRDefault="00363680" w:rsidP="00050A48">
            <w:pPr>
              <w:pStyle w:val="ListParagraph"/>
              <w:numPr>
                <w:ilvl w:val="0"/>
                <w:numId w:val="6"/>
              </w:numPr>
              <w:tabs>
                <w:tab w:val="right" w:pos="9180"/>
              </w:tabs>
            </w:pPr>
          </w:p>
        </w:tc>
        <w:tc>
          <w:tcPr>
            <w:tcW w:w="1620" w:type="dxa"/>
          </w:tcPr>
          <w:p w14:paraId="0329B3C1" w14:textId="28E92F51" w:rsidR="00363680" w:rsidRDefault="00363680" w:rsidP="00050A48">
            <w:pPr>
              <w:tabs>
                <w:tab w:val="decimal" w:pos="1152"/>
                <w:tab w:val="right" w:pos="9180"/>
              </w:tabs>
            </w:pPr>
          </w:p>
        </w:tc>
      </w:tr>
      <w:tr w:rsidR="00363680" w:rsidRPr="000D3DC5" w14:paraId="17945B1C" w14:textId="77777777" w:rsidTr="008C0026">
        <w:tc>
          <w:tcPr>
            <w:tcW w:w="378" w:type="dxa"/>
          </w:tcPr>
          <w:p w14:paraId="03B15628" w14:textId="77777777" w:rsidR="00363680" w:rsidRPr="000D3DC5" w:rsidRDefault="00363680" w:rsidP="002D627A"/>
        </w:tc>
        <w:tc>
          <w:tcPr>
            <w:tcW w:w="425" w:type="dxa"/>
          </w:tcPr>
          <w:p w14:paraId="4542E165" w14:textId="77777777" w:rsidR="00363680" w:rsidRPr="000D3DC5" w:rsidRDefault="00363680" w:rsidP="002D627A"/>
        </w:tc>
        <w:tc>
          <w:tcPr>
            <w:tcW w:w="789" w:type="dxa"/>
            <w:gridSpan w:val="3"/>
          </w:tcPr>
          <w:p w14:paraId="31CDC79E" w14:textId="77777777" w:rsidR="00363680" w:rsidRPr="000D3DC5" w:rsidRDefault="00363680" w:rsidP="002D627A"/>
        </w:tc>
        <w:tc>
          <w:tcPr>
            <w:tcW w:w="620" w:type="dxa"/>
          </w:tcPr>
          <w:p w14:paraId="3E6FCFC4" w14:textId="77777777" w:rsidR="00363680" w:rsidRPr="000D3DC5" w:rsidRDefault="00363680" w:rsidP="002D627A"/>
        </w:tc>
        <w:tc>
          <w:tcPr>
            <w:tcW w:w="2641" w:type="dxa"/>
          </w:tcPr>
          <w:p w14:paraId="62826419" w14:textId="77777777" w:rsidR="00363680" w:rsidRPr="000D3DC5" w:rsidRDefault="00363680" w:rsidP="002D627A"/>
        </w:tc>
        <w:tc>
          <w:tcPr>
            <w:tcW w:w="1555" w:type="dxa"/>
          </w:tcPr>
          <w:p w14:paraId="3F470160" w14:textId="77777777" w:rsidR="00363680" w:rsidRPr="000D3DC5" w:rsidRDefault="00363680" w:rsidP="002D627A">
            <w:pPr>
              <w:tabs>
                <w:tab w:val="right" w:pos="9180"/>
              </w:tabs>
            </w:pPr>
          </w:p>
        </w:tc>
        <w:tc>
          <w:tcPr>
            <w:tcW w:w="1800" w:type="dxa"/>
          </w:tcPr>
          <w:p w14:paraId="220CA81A" w14:textId="77777777" w:rsidR="00363680" w:rsidRPr="000D3DC5" w:rsidRDefault="00363680" w:rsidP="002D627A">
            <w:pPr>
              <w:tabs>
                <w:tab w:val="decimal" w:pos="1044"/>
                <w:tab w:val="decimal" w:pos="1332"/>
                <w:tab w:val="right" w:pos="9180"/>
              </w:tabs>
            </w:pPr>
          </w:p>
        </w:tc>
        <w:tc>
          <w:tcPr>
            <w:tcW w:w="360" w:type="dxa"/>
          </w:tcPr>
          <w:p w14:paraId="5A99BA52" w14:textId="77777777" w:rsidR="00363680" w:rsidRPr="000D3DC5" w:rsidRDefault="00363680" w:rsidP="002D627A">
            <w:pPr>
              <w:tabs>
                <w:tab w:val="right" w:pos="9180"/>
              </w:tabs>
            </w:pPr>
          </w:p>
        </w:tc>
        <w:tc>
          <w:tcPr>
            <w:tcW w:w="1620" w:type="dxa"/>
          </w:tcPr>
          <w:p w14:paraId="568DC390" w14:textId="77777777" w:rsidR="00363680" w:rsidRPr="000D3DC5" w:rsidRDefault="00363680"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A902E0" w:rsidRPr="000D3DC5" w14:paraId="74F5D617" w14:textId="77777777" w:rsidTr="004C20F6">
        <w:tc>
          <w:tcPr>
            <w:tcW w:w="378" w:type="dxa"/>
          </w:tcPr>
          <w:p w14:paraId="1839C206" w14:textId="77777777" w:rsidR="00A902E0" w:rsidRPr="000D3DC5" w:rsidRDefault="00A902E0" w:rsidP="002D627A">
            <w:bookmarkStart w:id="9" w:name="_Hlk100327127"/>
            <w:bookmarkStart w:id="10" w:name="_Hlk511051769"/>
          </w:p>
        </w:tc>
        <w:tc>
          <w:tcPr>
            <w:tcW w:w="6030" w:type="dxa"/>
            <w:gridSpan w:val="7"/>
          </w:tcPr>
          <w:p w14:paraId="5D095290" w14:textId="51C20E55" w:rsidR="00A902E0" w:rsidRPr="00CD56F2" w:rsidRDefault="00C67341" w:rsidP="002D627A">
            <w:pPr>
              <w:tabs>
                <w:tab w:val="right" w:pos="9180"/>
              </w:tabs>
            </w:pPr>
            <w:r>
              <w:t>None</w:t>
            </w:r>
          </w:p>
        </w:tc>
        <w:tc>
          <w:tcPr>
            <w:tcW w:w="1800" w:type="dxa"/>
          </w:tcPr>
          <w:p w14:paraId="49B13BBF" w14:textId="14F2EB48" w:rsidR="00A902E0" w:rsidRPr="00CD56F2" w:rsidRDefault="00A902E0" w:rsidP="002D627A">
            <w:pPr>
              <w:tabs>
                <w:tab w:val="decimal" w:pos="1332"/>
                <w:tab w:val="right" w:pos="9180"/>
              </w:tabs>
            </w:pPr>
          </w:p>
        </w:tc>
        <w:tc>
          <w:tcPr>
            <w:tcW w:w="360" w:type="dxa"/>
          </w:tcPr>
          <w:p w14:paraId="2F4DFBA2" w14:textId="77777777" w:rsidR="00A902E0" w:rsidRPr="00CD56F2" w:rsidRDefault="00A902E0" w:rsidP="00B1007E">
            <w:pPr>
              <w:pStyle w:val="ListParagraph"/>
              <w:numPr>
                <w:ilvl w:val="0"/>
                <w:numId w:val="6"/>
              </w:numPr>
              <w:tabs>
                <w:tab w:val="right" w:pos="9180"/>
              </w:tabs>
            </w:pPr>
          </w:p>
        </w:tc>
        <w:tc>
          <w:tcPr>
            <w:tcW w:w="1620" w:type="dxa"/>
          </w:tcPr>
          <w:p w14:paraId="5DBB493F" w14:textId="10498F72" w:rsidR="00A902E0" w:rsidRPr="00CD56F2" w:rsidRDefault="00A902E0" w:rsidP="002D627A">
            <w:pPr>
              <w:tabs>
                <w:tab w:val="decimal" w:pos="1152"/>
                <w:tab w:val="right" w:pos="9180"/>
              </w:tabs>
            </w:pPr>
          </w:p>
        </w:tc>
      </w:tr>
      <w:bookmarkEnd w:id="9"/>
      <w:bookmarkEnd w:id="10"/>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2D865678" w:rsidR="002D627A" w:rsidRPr="000D3DC5" w:rsidRDefault="002D627A" w:rsidP="002D627A">
            <w:pPr>
              <w:tabs>
                <w:tab w:val="right" w:pos="9180"/>
              </w:tabs>
            </w:pPr>
            <w:r w:rsidRPr="000D3DC5">
              <w:t xml:space="preserve">Net </w:t>
            </w:r>
            <w:r w:rsidR="00680BC1">
              <w:t xml:space="preserve">decrease </w:t>
            </w:r>
            <w:r w:rsidRPr="000D3DC5">
              <w:t>in cash and cash equivalents</w:t>
            </w:r>
          </w:p>
        </w:tc>
        <w:tc>
          <w:tcPr>
            <w:tcW w:w="1800" w:type="dxa"/>
          </w:tcPr>
          <w:p w14:paraId="07DCA151" w14:textId="348B0562" w:rsidR="002D627A" w:rsidRPr="000D3DC5" w:rsidRDefault="00767AC2" w:rsidP="002D627A">
            <w:pPr>
              <w:tabs>
                <w:tab w:val="decimal" w:pos="1332"/>
                <w:tab w:val="right" w:pos="9180"/>
              </w:tabs>
            </w:pPr>
            <w:r>
              <w:tab/>
            </w:r>
            <w:r w:rsidR="00D03835">
              <w:t>(5,683,730)</w:t>
            </w:r>
          </w:p>
        </w:tc>
        <w:tc>
          <w:tcPr>
            <w:tcW w:w="360" w:type="dxa"/>
          </w:tcPr>
          <w:p w14:paraId="36255853" w14:textId="77777777" w:rsidR="002D627A" w:rsidRPr="000D3DC5" w:rsidRDefault="002D627A" w:rsidP="002D627A">
            <w:pPr>
              <w:tabs>
                <w:tab w:val="right" w:pos="9180"/>
              </w:tabs>
            </w:pPr>
          </w:p>
        </w:tc>
        <w:tc>
          <w:tcPr>
            <w:tcW w:w="1620" w:type="dxa"/>
          </w:tcPr>
          <w:p w14:paraId="51BA2EF5" w14:textId="16ABEE5D" w:rsidR="002D627A" w:rsidRPr="000D3DC5" w:rsidRDefault="006E7CF8" w:rsidP="002D627A">
            <w:pPr>
              <w:tabs>
                <w:tab w:val="decimal" w:pos="1152"/>
                <w:tab w:val="right" w:pos="9180"/>
              </w:tabs>
            </w:pPr>
            <w:r>
              <w:tab/>
            </w:r>
            <w:r w:rsidR="00936552">
              <w:t>(3,762,872)</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72DC1540" w:rsidR="002D627A" w:rsidRPr="000D3DC5" w:rsidRDefault="00767AC2" w:rsidP="002D627A">
            <w:pPr>
              <w:tabs>
                <w:tab w:val="decimal" w:pos="1332"/>
                <w:tab w:val="right" w:pos="9180"/>
              </w:tabs>
            </w:pPr>
            <w:r>
              <w:tab/>
            </w:r>
            <w:r w:rsidR="00D03835">
              <w:t>6,452,589</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5629D2E7" w:rsidR="002D627A" w:rsidRPr="000D3DC5" w:rsidRDefault="006E7CF8" w:rsidP="002D627A">
            <w:pPr>
              <w:tabs>
                <w:tab w:val="decimal" w:pos="1152"/>
                <w:tab w:val="right" w:pos="9180"/>
              </w:tabs>
            </w:pPr>
            <w:r>
              <w:tab/>
            </w:r>
            <w:r w:rsidR="00936552">
              <w:t>27,612,732</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7A932862" w:rsidR="002D627A" w:rsidRPr="000D3DC5" w:rsidRDefault="00767AC2" w:rsidP="002D627A">
            <w:pPr>
              <w:tabs>
                <w:tab w:val="decimal" w:pos="1332"/>
                <w:tab w:val="right" w:pos="9180"/>
              </w:tabs>
            </w:pPr>
            <w:r>
              <w:t>$</w:t>
            </w:r>
            <w:r>
              <w:tab/>
            </w:r>
            <w:r w:rsidR="00D03835">
              <w:t>768,859</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43BC473C" w:rsidR="002D627A" w:rsidRPr="000D3DC5" w:rsidRDefault="006E7CF8" w:rsidP="002D627A">
            <w:pPr>
              <w:tabs>
                <w:tab w:val="decimal" w:pos="1152"/>
                <w:tab w:val="right" w:pos="9180"/>
              </w:tabs>
            </w:pPr>
            <w:r>
              <w:t>$</w:t>
            </w:r>
            <w:r>
              <w:tab/>
            </w:r>
            <w:r w:rsidR="00936552">
              <w:t>23,849,860</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092A383D" w14:textId="77777777" w:rsidR="006E7D01" w:rsidRDefault="006E7D01"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146B06EC" w:rsidR="00277F5A" w:rsidRDefault="00F415DC" w:rsidP="00277F5A">
      <w:pPr>
        <w:jc w:val="center"/>
        <w:rPr>
          <w:b/>
        </w:rPr>
      </w:pPr>
      <w:r>
        <w:rPr>
          <w:b/>
        </w:rPr>
        <w:t>March 31</w:t>
      </w:r>
      <w:r w:rsidR="00277F5A" w:rsidRPr="001C6303">
        <w:rPr>
          <w:b/>
        </w:rPr>
        <w:t>, 20</w:t>
      </w:r>
      <w:r w:rsidR="00CE1FF4">
        <w:rPr>
          <w:b/>
        </w:rPr>
        <w:t>2</w:t>
      </w:r>
      <w:r w:rsidR="00936552">
        <w:rPr>
          <w:b/>
        </w:rPr>
        <w:t>4</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7BBE58B" w:rsidR="00277F5A" w:rsidRPr="001C6303" w:rsidRDefault="00277F5A" w:rsidP="000A55AE">
      <w:pPr>
        <w:pStyle w:val="ListNumbering"/>
        <w:spacing w:after="0"/>
      </w:pPr>
      <w:r w:rsidRPr="001C6303">
        <w:t>1.</w:t>
      </w:r>
      <w:r w:rsidRPr="001C6303">
        <w:tab/>
      </w:r>
      <w:r w:rsidR="00C33214">
        <w:t>Nature</w:t>
      </w:r>
      <w:r w:rsidRPr="001C6303">
        <w:t xml:space="preserve"> of </w:t>
      </w:r>
      <w:r w:rsidR="0034148D">
        <w:t>Business</w:t>
      </w:r>
      <w:r w:rsidRPr="001C6303">
        <w:t xml:space="preserve"> </w:t>
      </w:r>
    </w:p>
    <w:p w14:paraId="24E71BAC" w14:textId="77777777" w:rsidR="000A55AE" w:rsidRDefault="000A55AE" w:rsidP="000A55AE"/>
    <w:p w14:paraId="358F5045" w14:textId="2B0D7CA1" w:rsidR="00936552" w:rsidRPr="00936552" w:rsidRDefault="00936552" w:rsidP="00936552">
      <w:r w:rsidRPr="00936552">
        <w:t xml:space="preserve">GeoVax Labs, Inc., headquartered in the Atlanta, Georgia metropolitan area, is a clinical-stage biotechnology company incorporated under the laws of the State of Delaware. GeoVax Labs, Inc. and its wholly owned subsidiary, GeoVax, Inc., a Georgia corporation, are collectively referred to herein as “GeoVax” or </w:t>
      </w:r>
      <w:r w:rsidR="00902A7C">
        <w:t>“</w:t>
      </w:r>
      <w:r w:rsidRPr="00936552">
        <w:t>the Company”.</w:t>
      </w:r>
    </w:p>
    <w:p w14:paraId="560732E5" w14:textId="77777777" w:rsidR="00936552" w:rsidRPr="00936552" w:rsidRDefault="00936552" w:rsidP="00936552"/>
    <w:p w14:paraId="6D384E22" w14:textId="7110CE3F" w:rsidR="00936552" w:rsidRPr="00936552" w:rsidRDefault="00936552" w:rsidP="00936552">
      <w:r w:rsidRPr="00936552">
        <w:t xml:space="preserve">The Company is focused on developing immunotherapies and vaccines against cancers and infectious diseases using novel vector vaccine platforms. </w:t>
      </w:r>
      <w:r w:rsidRPr="00936552">
        <w:rPr>
          <w:bCs/>
        </w:rPr>
        <w:t xml:space="preserve">GeoVax’s product pipeline includes ongoing human clinical trials for a next-generation Covid-19 vaccine and a gene-directed therapy for advanced </w:t>
      </w:r>
      <w:r w:rsidRPr="00936552">
        <w:t>head and neck cancer. Additional preclinical research and development programs include preventive vaccines against Mpox (monkeypox), hemorrhagic fever viruses (Ebola Zaire, Ebola Sudan, Marburg, and Lassa Fever)</w:t>
      </w:r>
      <w:r w:rsidR="00C67341">
        <w:t>,</w:t>
      </w:r>
      <w:r w:rsidRPr="00936552">
        <w:t xml:space="preserve"> Zika virus, and malaria, as well as immunotherapies for solid tumors. </w:t>
      </w:r>
    </w:p>
    <w:p w14:paraId="16B124B0" w14:textId="77777777" w:rsidR="003963E0" w:rsidRPr="000A55AE" w:rsidRDefault="003963E0" w:rsidP="000A55AE"/>
    <w:p w14:paraId="0A1FABE3" w14:textId="77777777" w:rsidR="00C33214" w:rsidRPr="00161492" w:rsidRDefault="00C33214" w:rsidP="00C33214">
      <w:pPr>
        <w:pStyle w:val="ListNumbering"/>
        <w:spacing w:after="0"/>
      </w:pPr>
      <w:r>
        <w:t>2</w:t>
      </w:r>
      <w:r w:rsidRPr="001C6303">
        <w:t>.</w:t>
      </w:r>
      <w:r w:rsidRPr="001C6303">
        <w:tab/>
      </w:r>
      <w:r>
        <w:t>Summary of Significant Accounting Policies</w:t>
      </w:r>
    </w:p>
    <w:p w14:paraId="7C11DE94" w14:textId="77777777" w:rsidR="00C33214" w:rsidRDefault="00C33214" w:rsidP="00C33214">
      <w:pPr>
        <w:pStyle w:val="BodyText"/>
        <w:spacing w:after="0"/>
      </w:pPr>
    </w:p>
    <w:p w14:paraId="5494E008" w14:textId="535F1274" w:rsidR="00C33214" w:rsidRDefault="00C33214" w:rsidP="00C33214">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w:t>
      </w:r>
      <w:r w:rsidR="00936552">
        <w:t>3</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ations and financial position. During the three months ended March 31, 202</w:t>
      </w:r>
      <w:r w:rsidR="00936552">
        <w:t>4</w:t>
      </w:r>
      <w:r>
        <w:t>, t</w:t>
      </w:r>
      <w:r w:rsidRPr="001C6303">
        <w:t xml:space="preserve">here have been no material changes to, or in the application of, the accounting policies previously identified </w:t>
      </w:r>
      <w:r>
        <w:t>and described in the Form 10-K.</w:t>
      </w:r>
    </w:p>
    <w:p w14:paraId="6E636DF1" w14:textId="77777777" w:rsidR="00C33214" w:rsidRDefault="00C33214" w:rsidP="00C33214">
      <w:pPr>
        <w:pStyle w:val="BodyText"/>
        <w:spacing w:after="0"/>
      </w:pPr>
    </w:p>
    <w:p w14:paraId="1B5250C3" w14:textId="77777777" w:rsidR="003963E0" w:rsidRDefault="00C33214" w:rsidP="00C33214">
      <w:pPr>
        <w:pStyle w:val="BodyText"/>
        <w:spacing w:after="0"/>
        <w:rPr>
          <w:i/>
          <w:iCs/>
        </w:rPr>
      </w:pPr>
      <w:r w:rsidRPr="00307685">
        <w:rPr>
          <w:i/>
          <w:iCs/>
        </w:rPr>
        <w:t>Basis of Presentation</w:t>
      </w:r>
    </w:p>
    <w:p w14:paraId="2BA535BA" w14:textId="77777777" w:rsidR="00770EA9" w:rsidRPr="000F6A1C" w:rsidRDefault="00770EA9" w:rsidP="00C33214">
      <w:pPr>
        <w:pStyle w:val="BodyText"/>
        <w:spacing w:after="0"/>
        <w:rPr>
          <w:i/>
          <w:iCs/>
        </w:rPr>
      </w:pPr>
    </w:p>
    <w:p w14:paraId="32DA5BCC" w14:textId="49893E98" w:rsidR="00770EA9" w:rsidRPr="000F6A1C" w:rsidRDefault="00770EA9" w:rsidP="00770EA9">
      <w:pPr>
        <w:pStyle w:val="BodyText"/>
        <w:spacing w:after="0"/>
        <w:rPr>
          <w:i/>
          <w:iCs/>
        </w:rPr>
      </w:pPr>
      <w:r w:rsidRPr="00A840E6">
        <w:t>The accompanying</w:t>
      </w:r>
      <w:r w:rsidRPr="001C6303">
        <w:t xml:space="preserve"> financial statements</w:t>
      </w:r>
      <w:r>
        <w:t xml:space="preserve"> include the accounts of GeoVax Labs, Inc. and GeoVax,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2023. 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7ACCDE04" w14:textId="77777777" w:rsidR="00F85B8A" w:rsidRDefault="00F85B8A" w:rsidP="00C33214">
      <w:pPr>
        <w:autoSpaceDE w:val="0"/>
        <w:autoSpaceDN w:val="0"/>
        <w:adjustRightInd w:val="0"/>
      </w:pPr>
    </w:p>
    <w:p w14:paraId="73EC154B" w14:textId="6114649D" w:rsidR="00770EA9" w:rsidRPr="00770EA9" w:rsidRDefault="00770EA9" w:rsidP="00770EA9">
      <w:pPr>
        <w:autoSpaceDE w:val="0"/>
        <w:autoSpaceDN w:val="0"/>
        <w:adjustRightInd w:val="0"/>
      </w:pPr>
      <w:r w:rsidRPr="00770EA9">
        <w:t xml:space="preserve">We </w:t>
      </w:r>
      <w:r w:rsidRPr="004640B2">
        <w:t xml:space="preserve">are devoting substantially all of our present efforts to research and development of our vaccine and immunotherapy candidates and will require additional funding to continue our research and development activities. </w:t>
      </w:r>
      <w:r w:rsidR="00033560" w:rsidRPr="004640B2">
        <w:t xml:space="preserve">Our existing cash resources are insufficient to continue our planned operations beyond the second quarter of 2024 without </w:t>
      </w:r>
      <w:r w:rsidR="000969EB" w:rsidRPr="004640B2">
        <w:t>additional</w:t>
      </w:r>
      <w:r w:rsidR="00033560" w:rsidRPr="004640B2">
        <w:t xml:space="preserve"> </w:t>
      </w:r>
      <w:r w:rsidR="000969EB" w:rsidRPr="004640B2">
        <w:t>funding</w:t>
      </w:r>
      <w:r w:rsidR="00033560" w:rsidRPr="004640B2">
        <w:t xml:space="preserve">, which we are actively pursuing. </w:t>
      </w:r>
      <w:r w:rsidRPr="004640B2">
        <w:t>We plan to pursue additional cash resources through public or private equity or debt financings, government grants/contracts, arrangements with strategic partners, or from other sources. There can be no assurance that</w:t>
      </w:r>
      <w:r w:rsidRPr="00770EA9">
        <w:t xml:space="preserve"> additional funding will be available on favorable terms or at all. These factors collectively raise substantial doubt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 </w:t>
      </w:r>
    </w:p>
    <w:p w14:paraId="169D1D96" w14:textId="77777777" w:rsidR="00317F50" w:rsidRDefault="00317F50" w:rsidP="00317F50">
      <w:pPr>
        <w:autoSpaceDE w:val="0"/>
        <w:autoSpaceDN w:val="0"/>
        <w:adjustRightInd w:val="0"/>
      </w:pPr>
    </w:p>
    <w:p w14:paraId="4F77EAA6" w14:textId="5E81722A" w:rsidR="00317F50" w:rsidRDefault="00317F50" w:rsidP="00F85B8A">
      <w:pPr>
        <w:autoSpaceDE w:val="0"/>
        <w:autoSpaceDN w:val="0"/>
        <w:adjustRightInd w:val="0"/>
      </w:pPr>
      <w:r>
        <w:t>The accompanying</w:t>
      </w:r>
      <w:r w:rsidR="00F85B8A" w:rsidRPr="00F85B8A">
        <w:t xml:space="preserve"> financial statements have been prepared assuming that </w:t>
      </w:r>
      <w:r>
        <w:t>the Company</w:t>
      </w:r>
      <w:r w:rsidR="00F85B8A" w:rsidRPr="00F85B8A">
        <w:t xml:space="preserve"> will continue as a going concern, which contemplates realization of assets and the satisfaction of liabilities in the normal course of business. </w:t>
      </w:r>
      <w:r w:rsidRPr="006F5235">
        <w:t>The financial statements do not include any adjustments relating to the recoverability and classification of recorded asset amounts or the amounts and classification of liabilities that might result from the outcome of the uncertainties described above</w:t>
      </w:r>
      <w:r>
        <w:t>.</w:t>
      </w:r>
    </w:p>
    <w:p w14:paraId="663E192F" w14:textId="77777777" w:rsidR="00C33214" w:rsidRDefault="00C33214" w:rsidP="00C33214">
      <w:pPr>
        <w:autoSpaceDE w:val="0"/>
        <w:autoSpaceDN w:val="0"/>
        <w:adjustRightInd w:val="0"/>
      </w:pPr>
    </w:p>
    <w:p w14:paraId="2DBAD6C9" w14:textId="5E48576F" w:rsidR="001B6113" w:rsidRPr="001B6113" w:rsidRDefault="001B6113" w:rsidP="001B6113">
      <w:pPr>
        <w:autoSpaceDE w:val="0"/>
        <w:autoSpaceDN w:val="0"/>
        <w:adjustRightInd w:val="0"/>
      </w:pPr>
      <w:r w:rsidRPr="001B6113">
        <w:t xml:space="preserve">The accompanying consolidated financial statements, and all share and per share information contained herein, have been retroactively restated to reflect the reverse stock split described in Note </w:t>
      </w:r>
      <w:r w:rsidR="00583F67">
        <w:t>5</w:t>
      </w:r>
      <w:r w:rsidRPr="001B6113">
        <w:t>.</w:t>
      </w:r>
    </w:p>
    <w:p w14:paraId="7896013F" w14:textId="77777777" w:rsidR="001B6113" w:rsidRDefault="001B6113" w:rsidP="00C33214">
      <w:pPr>
        <w:autoSpaceDE w:val="0"/>
        <w:autoSpaceDN w:val="0"/>
        <w:adjustRightInd w:val="0"/>
      </w:pPr>
    </w:p>
    <w:p w14:paraId="32D70077" w14:textId="77777777" w:rsidR="003963E0" w:rsidRDefault="00C33214" w:rsidP="00C33214">
      <w:pPr>
        <w:autoSpaceDE w:val="0"/>
        <w:autoSpaceDN w:val="0"/>
        <w:adjustRightInd w:val="0"/>
      </w:pPr>
      <w:r w:rsidRPr="009701F2">
        <w:rPr>
          <w:i/>
          <w:iCs/>
        </w:rPr>
        <w:t>Recent Accounting Pronouncements</w:t>
      </w:r>
    </w:p>
    <w:p w14:paraId="2A234A05" w14:textId="77777777" w:rsidR="003963E0" w:rsidRDefault="003963E0" w:rsidP="00C33214">
      <w:pPr>
        <w:autoSpaceDE w:val="0"/>
        <w:autoSpaceDN w:val="0"/>
        <w:adjustRightInd w:val="0"/>
      </w:pPr>
    </w:p>
    <w:p w14:paraId="77591EC6" w14:textId="5D946FC1" w:rsidR="00C33214" w:rsidRDefault="00C33214" w:rsidP="00C33214">
      <w:pPr>
        <w:autoSpaceDE w:val="0"/>
        <w:autoSpaceDN w:val="0"/>
        <w:adjustRightInd w:val="0"/>
      </w:pPr>
      <w:r>
        <w:t xml:space="preserve">During the </w:t>
      </w:r>
      <w:r w:rsidR="00F85B8A">
        <w:t>three</w:t>
      </w:r>
      <w:r>
        <w:t xml:space="preserve"> months ended </w:t>
      </w:r>
      <w:r w:rsidR="00F85B8A">
        <w:t>March</w:t>
      </w:r>
      <w:r>
        <w:t xml:space="preserve"> 3</w:t>
      </w:r>
      <w:r w:rsidR="00F85B8A">
        <w:t>1</w:t>
      </w:r>
      <w:r>
        <w:t>, 202</w:t>
      </w:r>
      <w:r w:rsidR="00936552">
        <w:t>4</w:t>
      </w:r>
      <w:r>
        <w:t xml:space="preserve">, there have been </w:t>
      </w:r>
      <w:r w:rsidRPr="005F0851">
        <w:t xml:space="preserve">no </w:t>
      </w:r>
      <w:r>
        <w:t xml:space="preserve">new </w:t>
      </w:r>
      <w:r w:rsidRPr="005F0851">
        <w:t xml:space="preserve">accounting pronouncements or changes in accounting pronouncements </w:t>
      </w:r>
      <w:r>
        <w:t>which</w:t>
      </w:r>
      <w:r w:rsidRPr="005F0851">
        <w:t xml:space="preserve"> </w:t>
      </w:r>
      <w:r>
        <w:t xml:space="preserve">we expect to have a material impact on our financial </w:t>
      </w:r>
      <w:r w:rsidRPr="006D35E3">
        <w:t>statements</w:t>
      </w:r>
      <w:r>
        <w:t>.</w:t>
      </w:r>
    </w:p>
    <w:p w14:paraId="6BE5DAEC" w14:textId="77777777" w:rsidR="000A55AE" w:rsidRDefault="000A55AE" w:rsidP="000A55AE">
      <w:pPr>
        <w:pStyle w:val="BodyText"/>
        <w:spacing w:after="0"/>
      </w:pPr>
    </w:p>
    <w:p w14:paraId="4AC53497" w14:textId="77777777" w:rsidR="00F85B8A" w:rsidRDefault="00F85B8A">
      <w:pPr>
        <w:rPr>
          <w:b/>
        </w:rPr>
      </w:pPr>
      <w:r>
        <w:br w:type="page"/>
      </w:r>
    </w:p>
    <w:p w14:paraId="2532CC43" w14:textId="20753028" w:rsidR="00C33214" w:rsidRDefault="00C33214" w:rsidP="00C33214">
      <w:pPr>
        <w:pStyle w:val="ListNumbering"/>
        <w:spacing w:after="0"/>
      </w:pPr>
      <w:r>
        <w:lastRenderedPageBreak/>
        <w:t>3</w:t>
      </w:r>
      <w:r w:rsidRPr="001C6303">
        <w:t>.</w:t>
      </w:r>
      <w:r w:rsidRPr="001C6303">
        <w:tab/>
      </w:r>
      <w:r>
        <w:t>Balance Sheet Component</w:t>
      </w:r>
      <w:r w:rsidR="0081257D">
        <w:t>s</w:t>
      </w:r>
    </w:p>
    <w:p w14:paraId="28D2F684" w14:textId="77777777" w:rsidR="00C33214" w:rsidRDefault="00C33214" w:rsidP="00C33214">
      <w:pPr>
        <w:pStyle w:val="BodyText"/>
        <w:spacing w:after="0"/>
      </w:pPr>
    </w:p>
    <w:p w14:paraId="4047E711" w14:textId="77777777" w:rsidR="00C33214" w:rsidRPr="000E74A1" w:rsidRDefault="00C33214" w:rsidP="00C33214">
      <w:pPr>
        <w:pStyle w:val="BodyText"/>
        <w:spacing w:after="0"/>
      </w:pPr>
      <w:r w:rsidRPr="003963E0">
        <w:rPr>
          <w:i/>
          <w:iCs/>
        </w:rPr>
        <w:t>Prepaid Expenses</w:t>
      </w:r>
      <w:r>
        <w:rPr>
          <w:b/>
          <w:bCs/>
        </w:rPr>
        <w:t xml:space="preserve">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C33214" w:rsidRPr="00EB7BF0" w14:paraId="726A200B" w14:textId="77777777" w:rsidTr="001F7586">
        <w:tc>
          <w:tcPr>
            <w:tcW w:w="6055" w:type="dxa"/>
          </w:tcPr>
          <w:p w14:paraId="21784B19" w14:textId="77777777" w:rsidR="00C33214" w:rsidRPr="00EB7BF0" w:rsidRDefault="00C33214" w:rsidP="001F7586"/>
        </w:tc>
        <w:tc>
          <w:tcPr>
            <w:tcW w:w="1842" w:type="dxa"/>
            <w:tcBorders>
              <w:bottom w:val="single" w:sz="4" w:space="0" w:color="auto"/>
            </w:tcBorders>
          </w:tcPr>
          <w:p w14:paraId="1EE5C258" w14:textId="3FB1B1DB" w:rsidR="00C33214" w:rsidRDefault="00B3108A" w:rsidP="001F7586">
            <w:pPr>
              <w:jc w:val="center"/>
            </w:pPr>
            <w:r>
              <w:t>March 31</w:t>
            </w:r>
            <w:r w:rsidR="00C33214">
              <w:t>,</w:t>
            </w:r>
          </w:p>
          <w:p w14:paraId="6F5D6FA6" w14:textId="1B6C2BAA" w:rsidR="00C33214" w:rsidRPr="00EB7BF0" w:rsidRDefault="00C33214" w:rsidP="001F7586">
            <w:pPr>
              <w:jc w:val="center"/>
            </w:pPr>
            <w:r>
              <w:t>202</w:t>
            </w:r>
            <w:r w:rsidR="00936552">
              <w:t>4</w:t>
            </w:r>
          </w:p>
        </w:tc>
        <w:tc>
          <w:tcPr>
            <w:tcW w:w="1841" w:type="dxa"/>
            <w:tcBorders>
              <w:bottom w:val="single" w:sz="4" w:space="0" w:color="auto"/>
            </w:tcBorders>
          </w:tcPr>
          <w:p w14:paraId="6E9130A8" w14:textId="77777777" w:rsidR="00C33214" w:rsidRDefault="00C33214" w:rsidP="001F7586">
            <w:pPr>
              <w:jc w:val="center"/>
            </w:pPr>
            <w:r>
              <w:t>December 31,</w:t>
            </w:r>
          </w:p>
          <w:p w14:paraId="530498E3" w14:textId="46A11E23" w:rsidR="00C33214" w:rsidRPr="00EB7BF0" w:rsidRDefault="00C33214" w:rsidP="001F7586">
            <w:pPr>
              <w:jc w:val="center"/>
            </w:pPr>
            <w:r>
              <w:t>202</w:t>
            </w:r>
            <w:r w:rsidR="00936552">
              <w:t>3</w:t>
            </w:r>
          </w:p>
        </w:tc>
      </w:tr>
      <w:tr w:rsidR="00C33214" w:rsidRPr="007863FD" w14:paraId="565A2437" w14:textId="77777777" w:rsidTr="001F7586">
        <w:tc>
          <w:tcPr>
            <w:tcW w:w="6055" w:type="dxa"/>
          </w:tcPr>
          <w:p w14:paraId="6C5C2F31" w14:textId="77777777" w:rsidR="00C33214" w:rsidRPr="007863FD" w:rsidRDefault="00C33214" w:rsidP="001F7586">
            <w:pPr>
              <w:ind w:left="162"/>
            </w:pPr>
            <w:r w:rsidRPr="007863FD">
              <w:t xml:space="preserve">Prepaid clinical trial </w:t>
            </w:r>
            <w:r>
              <w:t>costs (current portion)</w:t>
            </w:r>
          </w:p>
        </w:tc>
        <w:tc>
          <w:tcPr>
            <w:tcW w:w="1842" w:type="dxa"/>
          </w:tcPr>
          <w:p w14:paraId="278B6BE7" w14:textId="3760C483" w:rsidR="00C33214" w:rsidRPr="007863FD" w:rsidRDefault="00C33214" w:rsidP="001F7586">
            <w:pPr>
              <w:tabs>
                <w:tab w:val="decimal" w:pos="1199"/>
              </w:tabs>
            </w:pPr>
            <w:r w:rsidRPr="007863FD">
              <w:t xml:space="preserve">$ </w:t>
            </w:r>
            <w:r w:rsidR="00ED3E24">
              <w:t>1,996,677</w:t>
            </w:r>
          </w:p>
        </w:tc>
        <w:tc>
          <w:tcPr>
            <w:tcW w:w="1841" w:type="dxa"/>
          </w:tcPr>
          <w:p w14:paraId="2AB7558F" w14:textId="55F0D2BC" w:rsidR="00C33214" w:rsidRPr="007863FD" w:rsidRDefault="00C33214" w:rsidP="001F7586">
            <w:pPr>
              <w:tabs>
                <w:tab w:val="decimal" w:pos="1157"/>
              </w:tabs>
            </w:pPr>
            <w:r w:rsidRPr="007863FD">
              <w:t xml:space="preserve">$ </w:t>
            </w:r>
            <w:r w:rsidR="00936552">
              <w:t>1,282,746</w:t>
            </w:r>
          </w:p>
        </w:tc>
      </w:tr>
      <w:tr w:rsidR="00C33214" w:rsidRPr="007863FD" w14:paraId="4045901A" w14:textId="77777777" w:rsidTr="001F7586">
        <w:tc>
          <w:tcPr>
            <w:tcW w:w="6055" w:type="dxa"/>
          </w:tcPr>
          <w:p w14:paraId="5B2C46F1" w14:textId="77777777" w:rsidR="00C33214" w:rsidRPr="007863FD" w:rsidRDefault="00C33214" w:rsidP="001F7586">
            <w:pPr>
              <w:ind w:left="162"/>
            </w:pPr>
            <w:r w:rsidRPr="007863FD">
              <w:t>Prepaid insurance premiums</w:t>
            </w:r>
          </w:p>
        </w:tc>
        <w:tc>
          <w:tcPr>
            <w:tcW w:w="1842" w:type="dxa"/>
          </w:tcPr>
          <w:p w14:paraId="4CAA7A25" w14:textId="05BD22E8" w:rsidR="00C33214" w:rsidRPr="007863FD" w:rsidRDefault="00ED3E24" w:rsidP="001F7586">
            <w:pPr>
              <w:tabs>
                <w:tab w:val="decimal" w:pos="1199"/>
              </w:tabs>
            </w:pPr>
            <w:r>
              <w:t>73,797</w:t>
            </w:r>
          </w:p>
        </w:tc>
        <w:tc>
          <w:tcPr>
            <w:tcW w:w="1841" w:type="dxa"/>
          </w:tcPr>
          <w:p w14:paraId="431CBB2D" w14:textId="73BFC563" w:rsidR="00C33214" w:rsidRPr="007863FD" w:rsidRDefault="00936552" w:rsidP="001F7586">
            <w:pPr>
              <w:tabs>
                <w:tab w:val="decimal" w:pos="1157"/>
              </w:tabs>
            </w:pPr>
            <w:r>
              <w:t>110,695</w:t>
            </w:r>
          </w:p>
        </w:tc>
      </w:tr>
      <w:tr w:rsidR="00C33214" w:rsidRPr="007863FD" w14:paraId="254019CC" w14:textId="77777777" w:rsidTr="001F7586">
        <w:tc>
          <w:tcPr>
            <w:tcW w:w="6055" w:type="dxa"/>
          </w:tcPr>
          <w:p w14:paraId="47B61EB8" w14:textId="77777777" w:rsidR="00C33214" w:rsidRPr="007863FD" w:rsidRDefault="00C33214" w:rsidP="001F7586">
            <w:pPr>
              <w:ind w:left="162"/>
            </w:pPr>
            <w:r w:rsidRPr="007863FD">
              <w:t>Prepaid rent</w:t>
            </w:r>
          </w:p>
        </w:tc>
        <w:tc>
          <w:tcPr>
            <w:tcW w:w="1842" w:type="dxa"/>
          </w:tcPr>
          <w:p w14:paraId="30C55A8D" w14:textId="21AE499D" w:rsidR="00C33214" w:rsidRPr="007863FD" w:rsidRDefault="00ED3E24" w:rsidP="001F7586">
            <w:pPr>
              <w:tabs>
                <w:tab w:val="decimal" w:pos="1199"/>
              </w:tabs>
            </w:pPr>
            <w:r>
              <w:t>13,045</w:t>
            </w:r>
          </w:p>
        </w:tc>
        <w:tc>
          <w:tcPr>
            <w:tcW w:w="1841" w:type="dxa"/>
          </w:tcPr>
          <w:p w14:paraId="1E2FA7AB" w14:textId="7BCF7A38" w:rsidR="00C33214" w:rsidRPr="007863FD" w:rsidRDefault="00936552" w:rsidP="001F7586">
            <w:pPr>
              <w:tabs>
                <w:tab w:val="decimal" w:pos="1157"/>
              </w:tabs>
            </w:pPr>
            <w:r>
              <w:t>13,045</w:t>
            </w:r>
          </w:p>
        </w:tc>
      </w:tr>
      <w:tr w:rsidR="00C33214" w:rsidRPr="007863FD" w14:paraId="26B41B8E" w14:textId="77777777" w:rsidTr="001F7586">
        <w:tc>
          <w:tcPr>
            <w:tcW w:w="6055" w:type="dxa"/>
          </w:tcPr>
          <w:p w14:paraId="272A764F" w14:textId="77777777" w:rsidR="00C33214" w:rsidRPr="007863FD" w:rsidRDefault="00C33214" w:rsidP="001F7586">
            <w:pPr>
              <w:ind w:left="162"/>
            </w:pPr>
            <w:r w:rsidRPr="007863FD">
              <w:t>Other prepaid expenses</w:t>
            </w:r>
          </w:p>
        </w:tc>
        <w:tc>
          <w:tcPr>
            <w:tcW w:w="1842" w:type="dxa"/>
          </w:tcPr>
          <w:p w14:paraId="23098E51" w14:textId="5C54834A" w:rsidR="00C33214" w:rsidRPr="007863FD" w:rsidRDefault="00ED3E24" w:rsidP="001F7586">
            <w:pPr>
              <w:tabs>
                <w:tab w:val="decimal" w:pos="1199"/>
              </w:tabs>
            </w:pPr>
            <w:r>
              <w:t>10,000</w:t>
            </w:r>
          </w:p>
        </w:tc>
        <w:tc>
          <w:tcPr>
            <w:tcW w:w="1841" w:type="dxa"/>
          </w:tcPr>
          <w:p w14:paraId="40A57631" w14:textId="28805E5D" w:rsidR="00C33214" w:rsidRPr="007863FD" w:rsidRDefault="00936552" w:rsidP="001F7586">
            <w:pPr>
              <w:tabs>
                <w:tab w:val="decimal" w:pos="1157"/>
              </w:tabs>
            </w:pPr>
            <w:r>
              <w:t>26,667</w:t>
            </w:r>
          </w:p>
        </w:tc>
      </w:tr>
      <w:tr w:rsidR="00C33214" w:rsidRPr="00EB7BF0" w14:paraId="7005D342" w14:textId="77777777" w:rsidTr="001F7586">
        <w:tc>
          <w:tcPr>
            <w:tcW w:w="6055" w:type="dxa"/>
          </w:tcPr>
          <w:p w14:paraId="6691E3AF" w14:textId="77777777" w:rsidR="00C33214" w:rsidRPr="007863FD" w:rsidRDefault="00C33214" w:rsidP="001F7586">
            <w:pPr>
              <w:ind w:left="162"/>
            </w:pPr>
            <w:r w:rsidRPr="007863FD">
              <w:t>Total prepaid expenses</w:t>
            </w:r>
          </w:p>
        </w:tc>
        <w:tc>
          <w:tcPr>
            <w:tcW w:w="1842" w:type="dxa"/>
            <w:tcBorders>
              <w:top w:val="single" w:sz="4" w:space="0" w:color="auto"/>
              <w:bottom w:val="double" w:sz="4" w:space="0" w:color="auto"/>
            </w:tcBorders>
          </w:tcPr>
          <w:p w14:paraId="05D8AD42" w14:textId="105A33F2" w:rsidR="00C33214" w:rsidRPr="007863FD" w:rsidRDefault="00C33214" w:rsidP="001F7586">
            <w:pPr>
              <w:tabs>
                <w:tab w:val="decimal" w:pos="1199"/>
              </w:tabs>
            </w:pPr>
            <w:r w:rsidRPr="007863FD">
              <w:t xml:space="preserve">$ </w:t>
            </w:r>
            <w:r w:rsidR="00ED3E24">
              <w:t>2,093,519</w:t>
            </w:r>
          </w:p>
        </w:tc>
        <w:tc>
          <w:tcPr>
            <w:tcW w:w="1841" w:type="dxa"/>
            <w:tcBorders>
              <w:top w:val="single" w:sz="4" w:space="0" w:color="auto"/>
              <w:bottom w:val="double" w:sz="4" w:space="0" w:color="auto"/>
            </w:tcBorders>
          </w:tcPr>
          <w:p w14:paraId="647B7A0B" w14:textId="74BCB70A" w:rsidR="00C33214" w:rsidRPr="00EB7BF0" w:rsidRDefault="00C33214" w:rsidP="001F7586">
            <w:pPr>
              <w:tabs>
                <w:tab w:val="decimal" w:pos="1157"/>
              </w:tabs>
            </w:pPr>
            <w:r w:rsidRPr="007863FD">
              <w:t xml:space="preserve">$ </w:t>
            </w:r>
            <w:r w:rsidR="00936552">
              <w:t>1,433,153</w:t>
            </w:r>
          </w:p>
        </w:tc>
      </w:tr>
    </w:tbl>
    <w:p w14:paraId="2A866DF5" w14:textId="77777777" w:rsidR="00C33214" w:rsidRDefault="00C33214" w:rsidP="00C33214">
      <w:pPr>
        <w:pStyle w:val="BodyText"/>
        <w:spacing w:after="0"/>
      </w:pPr>
    </w:p>
    <w:p w14:paraId="4C485881" w14:textId="77777777" w:rsidR="00C33214" w:rsidRPr="001C6303" w:rsidRDefault="00C33214" w:rsidP="00C33214">
      <w:pPr>
        <w:pStyle w:val="BodyText"/>
        <w:spacing w:after="0"/>
      </w:pPr>
      <w:r w:rsidRPr="003963E0">
        <w:rPr>
          <w:i/>
          <w:iCs/>
        </w:rPr>
        <w:t>Property and Equipment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C33214" w:rsidRPr="00EB7BF0" w14:paraId="4780FA68" w14:textId="77777777" w:rsidTr="001F7586">
        <w:tc>
          <w:tcPr>
            <w:tcW w:w="6055" w:type="dxa"/>
          </w:tcPr>
          <w:p w14:paraId="0E781E51" w14:textId="77777777" w:rsidR="00C33214" w:rsidRPr="00EB7BF0" w:rsidRDefault="00C33214" w:rsidP="001F7586"/>
        </w:tc>
        <w:tc>
          <w:tcPr>
            <w:tcW w:w="1842" w:type="dxa"/>
            <w:tcBorders>
              <w:bottom w:val="single" w:sz="4" w:space="0" w:color="auto"/>
            </w:tcBorders>
          </w:tcPr>
          <w:p w14:paraId="312FBE8D" w14:textId="175946B5" w:rsidR="00C33214" w:rsidRDefault="0081257D" w:rsidP="001F7586">
            <w:pPr>
              <w:jc w:val="center"/>
            </w:pPr>
            <w:r>
              <w:t>March</w:t>
            </w:r>
            <w:r w:rsidR="00C33214">
              <w:t xml:space="preserve"> 3</w:t>
            </w:r>
            <w:r>
              <w:t>1</w:t>
            </w:r>
            <w:r w:rsidR="00C33214">
              <w:t>,</w:t>
            </w:r>
          </w:p>
          <w:p w14:paraId="0FADF8BF" w14:textId="10A1D77A" w:rsidR="00C33214" w:rsidRPr="00EB7BF0" w:rsidRDefault="00C33214" w:rsidP="001F7586">
            <w:pPr>
              <w:jc w:val="center"/>
            </w:pPr>
            <w:r>
              <w:t>202</w:t>
            </w:r>
            <w:r w:rsidR="00936552">
              <w:t>4</w:t>
            </w:r>
          </w:p>
        </w:tc>
        <w:tc>
          <w:tcPr>
            <w:tcW w:w="1841" w:type="dxa"/>
            <w:tcBorders>
              <w:bottom w:val="single" w:sz="4" w:space="0" w:color="auto"/>
            </w:tcBorders>
          </w:tcPr>
          <w:p w14:paraId="202C82D7" w14:textId="77777777" w:rsidR="00C33214" w:rsidRDefault="00C33214" w:rsidP="001F7586">
            <w:pPr>
              <w:jc w:val="center"/>
            </w:pPr>
            <w:r>
              <w:t>December 31,</w:t>
            </w:r>
          </w:p>
          <w:p w14:paraId="66A44892" w14:textId="5370B2B1" w:rsidR="00C33214" w:rsidRPr="00EB7BF0" w:rsidRDefault="00C33214" w:rsidP="001F7586">
            <w:pPr>
              <w:jc w:val="center"/>
            </w:pPr>
            <w:r>
              <w:t>202</w:t>
            </w:r>
            <w:r w:rsidR="00936552">
              <w:t>3</w:t>
            </w:r>
          </w:p>
        </w:tc>
      </w:tr>
      <w:tr w:rsidR="00C33214" w:rsidRPr="00EB7BF0" w14:paraId="61BE3941" w14:textId="77777777" w:rsidTr="001F7586">
        <w:tc>
          <w:tcPr>
            <w:tcW w:w="6055" w:type="dxa"/>
          </w:tcPr>
          <w:p w14:paraId="3A133ACD" w14:textId="77777777" w:rsidR="00C33214" w:rsidRPr="00EB7BF0" w:rsidRDefault="00C33214" w:rsidP="001F7586">
            <w:pPr>
              <w:ind w:left="162"/>
            </w:pPr>
            <w:r>
              <w:t>Equipment and furnishings</w:t>
            </w:r>
          </w:p>
        </w:tc>
        <w:tc>
          <w:tcPr>
            <w:tcW w:w="1842" w:type="dxa"/>
          </w:tcPr>
          <w:p w14:paraId="0EC3AE35" w14:textId="1DC837D7" w:rsidR="00C33214" w:rsidRPr="00FA15F9" w:rsidRDefault="00C33214" w:rsidP="003963E0">
            <w:pPr>
              <w:tabs>
                <w:tab w:val="decimal" w:pos="1199"/>
              </w:tabs>
            </w:pPr>
            <w:r w:rsidRPr="00FA15F9">
              <w:t xml:space="preserve">$   </w:t>
            </w:r>
            <w:r w:rsidR="00150FE9">
              <w:t>774,758</w:t>
            </w:r>
          </w:p>
        </w:tc>
        <w:tc>
          <w:tcPr>
            <w:tcW w:w="1841" w:type="dxa"/>
          </w:tcPr>
          <w:p w14:paraId="03FED1AB" w14:textId="2DBE4D0C" w:rsidR="00C33214" w:rsidRPr="00EB7BF0" w:rsidRDefault="00C33214" w:rsidP="003963E0">
            <w:pPr>
              <w:tabs>
                <w:tab w:val="decimal" w:pos="1158"/>
              </w:tabs>
            </w:pPr>
            <w:r>
              <w:t xml:space="preserve">$   </w:t>
            </w:r>
            <w:r w:rsidR="0081257D">
              <w:t>7</w:t>
            </w:r>
            <w:r w:rsidR="00936552">
              <w:t>74,758</w:t>
            </w:r>
          </w:p>
        </w:tc>
      </w:tr>
      <w:tr w:rsidR="00C33214" w:rsidRPr="00EB7BF0" w14:paraId="26B22873" w14:textId="77777777" w:rsidTr="001F7586">
        <w:tc>
          <w:tcPr>
            <w:tcW w:w="6055" w:type="dxa"/>
          </w:tcPr>
          <w:p w14:paraId="59A74BED" w14:textId="77777777" w:rsidR="00C33214" w:rsidRPr="00EB7BF0" w:rsidRDefault="00C33214" w:rsidP="001F7586">
            <w:pPr>
              <w:ind w:left="162"/>
            </w:pPr>
            <w:r w:rsidRPr="00EB7BF0">
              <w:t>Leasehold improvements</w:t>
            </w:r>
          </w:p>
        </w:tc>
        <w:tc>
          <w:tcPr>
            <w:tcW w:w="1842" w:type="dxa"/>
          </w:tcPr>
          <w:p w14:paraId="0218B0B9" w14:textId="1118C9E7" w:rsidR="00C33214" w:rsidRPr="00FA15F9" w:rsidRDefault="00150FE9" w:rsidP="003963E0">
            <w:pPr>
              <w:tabs>
                <w:tab w:val="decimal" w:pos="1199"/>
              </w:tabs>
            </w:pPr>
            <w:r>
              <w:t>115,605</w:t>
            </w:r>
          </w:p>
        </w:tc>
        <w:tc>
          <w:tcPr>
            <w:tcW w:w="1841" w:type="dxa"/>
          </w:tcPr>
          <w:p w14:paraId="084052B9" w14:textId="77777777" w:rsidR="00C33214" w:rsidRPr="00EB7BF0" w:rsidRDefault="00C33214" w:rsidP="003963E0">
            <w:pPr>
              <w:tabs>
                <w:tab w:val="decimal" w:pos="1158"/>
              </w:tabs>
            </w:pPr>
            <w:r>
              <w:t>115,605</w:t>
            </w:r>
          </w:p>
        </w:tc>
      </w:tr>
      <w:tr w:rsidR="00C33214" w:rsidRPr="00EB7BF0" w14:paraId="47B6F5EB" w14:textId="77777777" w:rsidTr="001F7586">
        <w:tc>
          <w:tcPr>
            <w:tcW w:w="6055" w:type="dxa"/>
          </w:tcPr>
          <w:p w14:paraId="1BC698D0" w14:textId="77777777" w:rsidR="00C33214" w:rsidRPr="00EB7BF0" w:rsidRDefault="00C33214" w:rsidP="001F7586">
            <w:pPr>
              <w:ind w:left="162"/>
            </w:pPr>
            <w:r w:rsidRPr="00EB7BF0">
              <w:t>Total property and equipment</w:t>
            </w:r>
          </w:p>
        </w:tc>
        <w:tc>
          <w:tcPr>
            <w:tcW w:w="1842" w:type="dxa"/>
            <w:tcBorders>
              <w:top w:val="single" w:sz="4" w:space="0" w:color="auto"/>
            </w:tcBorders>
          </w:tcPr>
          <w:p w14:paraId="2CE13460" w14:textId="138FE671" w:rsidR="00C33214" w:rsidRPr="00FA15F9" w:rsidRDefault="00150FE9" w:rsidP="003963E0">
            <w:pPr>
              <w:tabs>
                <w:tab w:val="decimal" w:pos="1199"/>
              </w:tabs>
            </w:pPr>
            <w:r>
              <w:t>890,363</w:t>
            </w:r>
          </w:p>
        </w:tc>
        <w:tc>
          <w:tcPr>
            <w:tcW w:w="1841" w:type="dxa"/>
            <w:tcBorders>
              <w:top w:val="single" w:sz="4" w:space="0" w:color="auto"/>
            </w:tcBorders>
          </w:tcPr>
          <w:p w14:paraId="56A309AC" w14:textId="6D59A4CE" w:rsidR="00C33214" w:rsidRPr="00EB7BF0" w:rsidRDefault="00936552" w:rsidP="003963E0">
            <w:pPr>
              <w:tabs>
                <w:tab w:val="decimal" w:pos="1158"/>
              </w:tabs>
            </w:pPr>
            <w:r>
              <w:t>890,363</w:t>
            </w:r>
          </w:p>
        </w:tc>
      </w:tr>
      <w:tr w:rsidR="00C33214" w:rsidRPr="00452D3C" w14:paraId="5C9A6CCB" w14:textId="77777777" w:rsidTr="001F7586">
        <w:tc>
          <w:tcPr>
            <w:tcW w:w="6055" w:type="dxa"/>
          </w:tcPr>
          <w:p w14:paraId="51052637" w14:textId="77777777" w:rsidR="00C33214" w:rsidRPr="00452D3C" w:rsidRDefault="00C33214" w:rsidP="001F7586">
            <w:pPr>
              <w:ind w:left="162"/>
            </w:pPr>
            <w:r w:rsidRPr="00452D3C">
              <w:t>Accumulated depreciation and amortization</w:t>
            </w:r>
          </w:p>
        </w:tc>
        <w:tc>
          <w:tcPr>
            <w:tcW w:w="1842" w:type="dxa"/>
            <w:tcBorders>
              <w:bottom w:val="single" w:sz="4" w:space="0" w:color="auto"/>
            </w:tcBorders>
          </w:tcPr>
          <w:p w14:paraId="4D97F0C2" w14:textId="08713200" w:rsidR="00C33214" w:rsidRPr="00FA15F9" w:rsidRDefault="00150FE9" w:rsidP="003963E0">
            <w:pPr>
              <w:tabs>
                <w:tab w:val="decimal" w:pos="1199"/>
              </w:tabs>
            </w:pPr>
            <w:r>
              <w:t>(700,250)</w:t>
            </w:r>
          </w:p>
        </w:tc>
        <w:tc>
          <w:tcPr>
            <w:tcW w:w="1841" w:type="dxa"/>
            <w:tcBorders>
              <w:bottom w:val="single" w:sz="4" w:space="0" w:color="auto"/>
            </w:tcBorders>
          </w:tcPr>
          <w:p w14:paraId="58FC2814" w14:textId="0F55E852" w:rsidR="00C33214" w:rsidRPr="00452D3C" w:rsidRDefault="00C33214" w:rsidP="003963E0">
            <w:pPr>
              <w:tabs>
                <w:tab w:val="decimal" w:pos="1158"/>
              </w:tabs>
            </w:pPr>
            <w:r>
              <w:t>(</w:t>
            </w:r>
            <w:r w:rsidR="00936552">
              <w:t>680,674</w:t>
            </w:r>
            <w:r w:rsidRPr="00452D3C">
              <w:t>)</w:t>
            </w:r>
          </w:p>
        </w:tc>
      </w:tr>
      <w:tr w:rsidR="00C33214" w:rsidRPr="00EB7BF0" w14:paraId="1A52B04F" w14:textId="77777777" w:rsidTr="001F7586">
        <w:tc>
          <w:tcPr>
            <w:tcW w:w="6055" w:type="dxa"/>
          </w:tcPr>
          <w:p w14:paraId="2B4C864F" w14:textId="77777777" w:rsidR="00C33214" w:rsidRPr="00452D3C" w:rsidRDefault="00C33214" w:rsidP="001F7586">
            <w:pPr>
              <w:ind w:left="162"/>
            </w:pPr>
            <w:r>
              <w:t>Total p</w:t>
            </w:r>
            <w:r w:rsidRPr="00452D3C">
              <w:t>roperty and equipment, net</w:t>
            </w:r>
          </w:p>
        </w:tc>
        <w:tc>
          <w:tcPr>
            <w:tcW w:w="1842" w:type="dxa"/>
            <w:tcBorders>
              <w:top w:val="single" w:sz="4" w:space="0" w:color="auto"/>
              <w:bottom w:val="double" w:sz="4" w:space="0" w:color="auto"/>
            </w:tcBorders>
          </w:tcPr>
          <w:p w14:paraId="31C94105" w14:textId="765DB98E" w:rsidR="00C33214" w:rsidRPr="00FA15F9" w:rsidRDefault="00C33214" w:rsidP="003963E0">
            <w:pPr>
              <w:tabs>
                <w:tab w:val="decimal" w:pos="1199"/>
              </w:tabs>
            </w:pPr>
            <w:r w:rsidRPr="00FA15F9">
              <w:t xml:space="preserve">$ </w:t>
            </w:r>
            <w:r>
              <w:t xml:space="preserve"> </w:t>
            </w:r>
            <w:r w:rsidRPr="00FA15F9">
              <w:t xml:space="preserve"> </w:t>
            </w:r>
            <w:r w:rsidR="00150FE9">
              <w:t>190,113</w:t>
            </w:r>
          </w:p>
        </w:tc>
        <w:tc>
          <w:tcPr>
            <w:tcW w:w="1841" w:type="dxa"/>
            <w:tcBorders>
              <w:top w:val="single" w:sz="4" w:space="0" w:color="auto"/>
              <w:bottom w:val="double" w:sz="4" w:space="0" w:color="auto"/>
            </w:tcBorders>
          </w:tcPr>
          <w:p w14:paraId="10D018C3" w14:textId="2101D47D" w:rsidR="00C33214" w:rsidRPr="00EB7BF0" w:rsidRDefault="00C33214" w:rsidP="003963E0">
            <w:pPr>
              <w:tabs>
                <w:tab w:val="decimal" w:pos="1158"/>
              </w:tabs>
            </w:pPr>
            <w:r w:rsidRPr="00452D3C">
              <w:t xml:space="preserve">$  </w:t>
            </w:r>
            <w:r>
              <w:t xml:space="preserve"> </w:t>
            </w:r>
            <w:r w:rsidR="00936552">
              <w:t>209,689</w:t>
            </w:r>
          </w:p>
        </w:tc>
      </w:tr>
    </w:tbl>
    <w:p w14:paraId="71427467" w14:textId="77777777" w:rsidR="00C33214" w:rsidRDefault="00C33214" w:rsidP="00C33214">
      <w:pPr>
        <w:pStyle w:val="BodyText"/>
        <w:spacing w:after="0"/>
      </w:pPr>
    </w:p>
    <w:p w14:paraId="1D788BFB" w14:textId="77777777" w:rsidR="00C33214" w:rsidRPr="004C0A63" w:rsidRDefault="00C33214" w:rsidP="00C33214">
      <w:pPr>
        <w:pStyle w:val="BodyText"/>
        <w:spacing w:after="0"/>
      </w:pPr>
      <w:r w:rsidRPr="003963E0">
        <w:rPr>
          <w:i/>
          <w:iCs/>
        </w:rPr>
        <w:t>Other 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C33214" w:rsidRPr="004C0A63" w14:paraId="284755ED" w14:textId="77777777" w:rsidTr="001F7586">
        <w:tc>
          <w:tcPr>
            <w:tcW w:w="6055" w:type="dxa"/>
          </w:tcPr>
          <w:p w14:paraId="349ED9B3" w14:textId="77777777" w:rsidR="00C33214" w:rsidRPr="004C0A63" w:rsidRDefault="00C33214" w:rsidP="001F7586"/>
        </w:tc>
        <w:tc>
          <w:tcPr>
            <w:tcW w:w="1842" w:type="dxa"/>
            <w:tcBorders>
              <w:bottom w:val="single" w:sz="4" w:space="0" w:color="auto"/>
            </w:tcBorders>
          </w:tcPr>
          <w:p w14:paraId="4D1286BC" w14:textId="2416F228" w:rsidR="00C33214" w:rsidRPr="004C0A63" w:rsidRDefault="0081257D" w:rsidP="001F7586">
            <w:pPr>
              <w:jc w:val="center"/>
            </w:pPr>
            <w:r>
              <w:t>March</w:t>
            </w:r>
            <w:r w:rsidR="00C33214" w:rsidRPr="004C0A63">
              <w:t xml:space="preserve"> 3</w:t>
            </w:r>
            <w:r>
              <w:t>1</w:t>
            </w:r>
            <w:r w:rsidR="00C33214" w:rsidRPr="004C0A63">
              <w:t>,</w:t>
            </w:r>
          </w:p>
          <w:p w14:paraId="5AC7CAEA" w14:textId="5D283E7A" w:rsidR="00C33214" w:rsidRPr="004C0A63" w:rsidRDefault="00C33214" w:rsidP="001F7586">
            <w:pPr>
              <w:jc w:val="center"/>
            </w:pPr>
            <w:r w:rsidRPr="004C0A63">
              <w:t>202</w:t>
            </w:r>
            <w:r w:rsidR="00936552">
              <w:t>4</w:t>
            </w:r>
          </w:p>
        </w:tc>
        <w:tc>
          <w:tcPr>
            <w:tcW w:w="1841" w:type="dxa"/>
            <w:tcBorders>
              <w:bottom w:val="single" w:sz="4" w:space="0" w:color="auto"/>
            </w:tcBorders>
          </w:tcPr>
          <w:p w14:paraId="3DC04D12" w14:textId="77777777" w:rsidR="00C33214" w:rsidRPr="004C0A63" w:rsidRDefault="00C33214" w:rsidP="001F7586">
            <w:pPr>
              <w:jc w:val="center"/>
            </w:pPr>
            <w:r w:rsidRPr="004C0A63">
              <w:t>December 31,</w:t>
            </w:r>
          </w:p>
          <w:p w14:paraId="1559921E" w14:textId="5CAA9DB6" w:rsidR="00C33214" w:rsidRPr="004C0A63" w:rsidRDefault="00C33214" w:rsidP="001F7586">
            <w:pPr>
              <w:jc w:val="center"/>
            </w:pPr>
            <w:r w:rsidRPr="004C0A63">
              <w:t>202</w:t>
            </w:r>
            <w:r w:rsidR="00936552">
              <w:t>3</w:t>
            </w:r>
          </w:p>
        </w:tc>
      </w:tr>
      <w:tr w:rsidR="00C33214" w:rsidRPr="004C0A63" w14:paraId="3C0619E7" w14:textId="77777777" w:rsidTr="001F7586">
        <w:tc>
          <w:tcPr>
            <w:tcW w:w="6055" w:type="dxa"/>
          </w:tcPr>
          <w:p w14:paraId="53B83472" w14:textId="77777777" w:rsidR="00C33214" w:rsidRPr="004C0A63" w:rsidRDefault="00C33214" w:rsidP="001F7586">
            <w:pPr>
              <w:ind w:left="162"/>
            </w:pPr>
            <w:r>
              <w:t>Prepaid clinical trial costs (noncurrent portion)</w:t>
            </w:r>
          </w:p>
        </w:tc>
        <w:tc>
          <w:tcPr>
            <w:tcW w:w="1842" w:type="dxa"/>
          </w:tcPr>
          <w:p w14:paraId="5CC0E0F7" w14:textId="645C2461" w:rsidR="00C33214" w:rsidRPr="004C0A63" w:rsidRDefault="00C33214" w:rsidP="001F7586">
            <w:pPr>
              <w:tabs>
                <w:tab w:val="decimal" w:pos="1199"/>
              </w:tabs>
            </w:pPr>
            <w:r w:rsidRPr="004C0A63">
              <w:t xml:space="preserve">$ </w:t>
            </w:r>
            <w:r w:rsidR="00ED3E24">
              <w:t>224,681</w:t>
            </w:r>
          </w:p>
        </w:tc>
        <w:tc>
          <w:tcPr>
            <w:tcW w:w="1841" w:type="dxa"/>
          </w:tcPr>
          <w:p w14:paraId="6E833E9E" w14:textId="4805BB3F" w:rsidR="00C33214" w:rsidRPr="004C0A63" w:rsidRDefault="00C33214" w:rsidP="001F7586">
            <w:pPr>
              <w:tabs>
                <w:tab w:val="decimal" w:pos="1157"/>
              </w:tabs>
            </w:pPr>
            <w:r w:rsidRPr="004C0A63">
              <w:t xml:space="preserve">$ </w:t>
            </w:r>
            <w:r w:rsidR="00936552">
              <w:t>1,106,778</w:t>
            </w:r>
          </w:p>
        </w:tc>
      </w:tr>
      <w:tr w:rsidR="00C33214" w:rsidRPr="004C0A63" w14:paraId="6EE6D5DB" w14:textId="77777777" w:rsidTr="001F7586">
        <w:tc>
          <w:tcPr>
            <w:tcW w:w="6055" w:type="dxa"/>
          </w:tcPr>
          <w:p w14:paraId="511C78FA" w14:textId="77777777" w:rsidR="00C33214" w:rsidRDefault="00C33214" w:rsidP="001F7586">
            <w:pPr>
              <w:ind w:left="162"/>
            </w:pPr>
            <w:r>
              <w:t>Prepaid technology license fees</w:t>
            </w:r>
          </w:p>
        </w:tc>
        <w:tc>
          <w:tcPr>
            <w:tcW w:w="1842" w:type="dxa"/>
          </w:tcPr>
          <w:p w14:paraId="4C59E24A" w14:textId="33B32A32" w:rsidR="00C33214" w:rsidRPr="004C0A63" w:rsidRDefault="00ED3E24" w:rsidP="001F7586">
            <w:pPr>
              <w:tabs>
                <w:tab w:val="decimal" w:pos="1199"/>
              </w:tabs>
            </w:pPr>
            <w:r>
              <w:t>70,000</w:t>
            </w:r>
          </w:p>
        </w:tc>
        <w:tc>
          <w:tcPr>
            <w:tcW w:w="1841" w:type="dxa"/>
          </w:tcPr>
          <w:p w14:paraId="2F4B180F" w14:textId="0F75D31B" w:rsidR="00C33214" w:rsidRPr="004C0A63" w:rsidRDefault="00936552" w:rsidP="001F7586">
            <w:pPr>
              <w:tabs>
                <w:tab w:val="decimal" w:pos="1157"/>
              </w:tabs>
            </w:pPr>
            <w:r>
              <w:t>7</w:t>
            </w:r>
            <w:r w:rsidR="0081257D">
              <w:t>0,000</w:t>
            </w:r>
          </w:p>
        </w:tc>
      </w:tr>
      <w:tr w:rsidR="00C33214" w:rsidRPr="004C0A63" w14:paraId="49D3AD83" w14:textId="77777777" w:rsidTr="001F7586">
        <w:tc>
          <w:tcPr>
            <w:tcW w:w="6055" w:type="dxa"/>
          </w:tcPr>
          <w:p w14:paraId="28A72DAB" w14:textId="77777777" w:rsidR="00C33214" w:rsidRPr="004C0A63" w:rsidRDefault="00C33214" w:rsidP="001F7586">
            <w:pPr>
              <w:ind w:left="162"/>
            </w:pPr>
            <w:r>
              <w:t>Deposits</w:t>
            </w:r>
          </w:p>
        </w:tc>
        <w:tc>
          <w:tcPr>
            <w:tcW w:w="1842" w:type="dxa"/>
            <w:tcBorders>
              <w:bottom w:val="single" w:sz="4" w:space="0" w:color="auto"/>
            </w:tcBorders>
          </w:tcPr>
          <w:p w14:paraId="308FBD62" w14:textId="128B5F42" w:rsidR="00C33214" w:rsidRPr="004C0A63" w:rsidRDefault="00ED3E24" w:rsidP="001F7586">
            <w:pPr>
              <w:tabs>
                <w:tab w:val="decimal" w:pos="1199"/>
              </w:tabs>
            </w:pPr>
            <w:r>
              <w:t>11,010</w:t>
            </w:r>
          </w:p>
        </w:tc>
        <w:tc>
          <w:tcPr>
            <w:tcW w:w="1841" w:type="dxa"/>
            <w:tcBorders>
              <w:bottom w:val="single" w:sz="4" w:space="0" w:color="auto"/>
            </w:tcBorders>
          </w:tcPr>
          <w:p w14:paraId="15611E4A" w14:textId="77777777" w:rsidR="00C33214" w:rsidRPr="004C0A63" w:rsidRDefault="00C33214" w:rsidP="001F7586">
            <w:pPr>
              <w:tabs>
                <w:tab w:val="decimal" w:pos="1157"/>
              </w:tabs>
            </w:pPr>
            <w:r w:rsidRPr="004C0A63">
              <w:t>1</w:t>
            </w:r>
            <w:r>
              <w:t>1,010</w:t>
            </w:r>
          </w:p>
        </w:tc>
      </w:tr>
      <w:tr w:rsidR="00C33214" w:rsidRPr="004C0A63" w14:paraId="6FBC55C8" w14:textId="77777777" w:rsidTr="001F7586">
        <w:tc>
          <w:tcPr>
            <w:tcW w:w="6055" w:type="dxa"/>
          </w:tcPr>
          <w:p w14:paraId="58B45002" w14:textId="77777777" w:rsidR="00C33214" w:rsidRPr="004C0A63" w:rsidRDefault="00C33214" w:rsidP="001F7586">
            <w:pPr>
              <w:ind w:left="162"/>
            </w:pPr>
            <w:r w:rsidRPr="004C0A63">
              <w:t xml:space="preserve">Total </w:t>
            </w:r>
            <w:r>
              <w:t>other assets</w:t>
            </w:r>
          </w:p>
        </w:tc>
        <w:tc>
          <w:tcPr>
            <w:tcW w:w="1842" w:type="dxa"/>
            <w:tcBorders>
              <w:top w:val="single" w:sz="4" w:space="0" w:color="auto"/>
              <w:bottom w:val="double" w:sz="4" w:space="0" w:color="auto"/>
            </w:tcBorders>
          </w:tcPr>
          <w:p w14:paraId="186E3944" w14:textId="7F525306" w:rsidR="00C33214" w:rsidRPr="004C0A63" w:rsidRDefault="00C33214" w:rsidP="001F7586">
            <w:pPr>
              <w:tabs>
                <w:tab w:val="decimal" w:pos="1199"/>
              </w:tabs>
            </w:pPr>
            <w:r w:rsidRPr="004C0A63">
              <w:t xml:space="preserve">$ </w:t>
            </w:r>
            <w:r w:rsidR="00ED3E24">
              <w:t>305,691</w:t>
            </w:r>
          </w:p>
        </w:tc>
        <w:tc>
          <w:tcPr>
            <w:tcW w:w="1841" w:type="dxa"/>
            <w:tcBorders>
              <w:top w:val="single" w:sz="4" w:space="0" w:color="auto"/>
              <w:bottom w:val="double" w:sz="4" w:space="0" w:color="auto"/>
            </w:tcBorders>
          </w:tcPr>
          <w:p w14:paraId="5797A5B1" w14:textId="71971026" w:rsidR="00C33214" w:rsidRPr="004C0A63" w:rsidRDefault="00C33214" w:rsidP="001F7586">
            <w:pPr>
              <w:tabs>
                <w:tab w:val="decimal" w:pos="1157"/>
              </w:tabs>
            </w:pPr>
            <w:r w:rsidRPr="004C0A63">
              <w:t>$</w:t>
            </w:r>
            <w:r>
              <w:t xml:space="preserve"> </w:t>
            </w:r>
            <w:r w:rsidR="00936552">
              <w:t>1,187,788</w:t>
            </w:r>
          </w:p>
        </w:tc>
      </w:tr>
    </w:tbl>
    <w:p w14:paraId="2733DBBC" w14:textId="77777777" w:rsidR="00C33214" w:rsidRDefault="00C33214" w:rsidP="00C33214">
      <w:pPr>
        <w:pStyle w:val="BodyText"/>
        <w:spacing w:after="0"/>
      </w:pPr>
    </w:p>
    <w:p w14:paraId="0B817B5D" w14:textId="77777777" w:rsidR="00C33214" w:rsidRPr="004C0A63" w:rsidRDefault="00C33214" w:rsidP="00C33214">
      <w:pPr>
        <w:pStyle w:val="BodyText"/>
        <w:spacing w:after="0"/>
      </w:pPr>
      <w:r w:rsidRPr="003963E0">
        <w:rPr>
          <w:i/>
          <w:i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C33214" w:rsidRPr="004C0A63" w14:paraId="78091CCC" w14:textId="77777777" w:rsidTr="001F7586">
        <w:tc>
          <w:tcPr>
            <w:tcW w:w="6055" w:type="dxa"/>
          </w:tcPr>
          <w:p w14:paraId="01665DE1" w14:textId="77777777" w:rsidR="00C33214" w:rsidRPr="004C0A63" w:rsidRDefault="00C33214" w:rsidP="001F7586"/>
        </w:tc>
        <w:tc>
          <w:tcPr>
            <w:tcW w:w="1842" w:type="dxa"/>
            <w:tcBorders>
              <w:bottom w:val="single" w:sz="4" w:space="0" w:color="auto"/>
            </w:tcBorders>
          </w:tcPr>
          <w:p w14:paraId="4F2C31F7" w14:textId="7FA19B76" w:rsidR="00C33214" w:rsidRPr="004C0A63" w:rsidRDefault="0081257D" w:rsidP="001F7586">
            <w:pPr>
              <w:jc w:val="center"/>
            </w:pPr>
            <w:r>
              <w:t>March</w:t>
            </w:r>
            <w:r w:rsidR="00C33214" w:rsidRPr="004C0A63">
              <w:t xml:space="preserve"> 3</w:t>
            </w:r>
            <w:r>
              <w:t>1</w:t>
            </w:r>
            <w:r w:rsidR="00C33214" w:rsidRPr="004C0A63">
              <w:t>,</w:t>
            </w:r>
          </w:p>
          <w:p w14:paraId="6D85B788" w14:textId="09471204" w:rsidR="00C33214" w:rsidRPr="004C0A63" w:rsidRDefault="00C33214" w:rsidP="001F7586">
            <w:pPr>
              <w:jc w:val="center"/>
            </w:pPr>
            <w:r w:rsidRPr="004C0A63">
              <w:t>202</w:t>
            </w:r>
            <w:r w:rsidR="001B6113">
              <w:t>4</w:t>
            </w:r>
          </w:p>
        </w:tc>
        <w:tc>
          <w:tcPr>
            <w:tcW w:w="1841" w:type="dxa"/>
            <w:tcBorders>
              <w:bottom w:val="single" w:sz="4" w:space="0" w:color="auto"/>
            </w:tcBorders>
          </w:tcPr>
          <w:p w14:paraId="3DDEC9CD" w14:textId="77777777" w:rsidR="00C33214" w:rsidRPr="004C0A63" w:rsidRDefault="00C33214" w:rsidP="001F7586">
            <w:pPr>
              <w:jc w:val="center"/>
            </w:pPr>
            <w:r w:rsidRPr="004C0A63">
              <w:t>December 31,</w:t>
            </w:r>
          </w:p>
          <w:p w14:paraId="26F09ECE" w14:textId="7A365250" w:rsidR="00C33214" w:rsidRPr="004C0A63" w:rsidRDefault="00C33214" w:rsidP="001F7586">
            <w:pPr>
              <w:jc w:val="center"/>
            </w:pPr>
            <w:r w:rsidRPr="004C0A63">
              <w:t>202</w:t>
            </w:r>
            <w:r w:rsidR="00936552">
              <w:t>3</w:t>
            </w:r>
          </w:p>
        </w:tc>
      </w:tr>
      <w:tr w:rsidR="00C33214" w:rsidRPr="004C0A63" w14:paraId="77CF5699" w14:textId="77777777" w:rsidTr="001F7586">
        <w:tc>
          <w:tcPr>
            <w:tcW w:w="6055" w:type="dxa"/>
          </w:tcPr>
          <w:p w14:paraId="10A2C7C2" w14:textId="332D6A6F" w:rsidR="00C33214" w:rsidRPr="004C0A63" w:rsidRDefault="00936552" w:rsidP="001F7586">
            <w:pPr>
              <w:ind w:left="162"/>
            </w:pPr>
            <w:r>
              <w:t>Payroll-related liabilities</w:t>
            </w:r>
          </w:p>
        </w:tc>
        <w:tc>
          <w:tcPr>
            <w:tcW w:w="1842" w:type="dxa"/>
          </w:tcPr>
          <w:p w14:paraId="4FD60483" w14:textId="242FB3E4" w:rsidR="00C33214" w:rsidRPr="004C0A63" w:rsidRDefault="00C33214" w:rsidP="001F7586">
            <w:pPr>
              <w:tabs>
                <w:tab w:val="decimal" w:pos="1199"/>
              </w:tabs>
            </w:pPr>
            <w:r w:rsidRPr="004C0A63">
              <w:t xml:space="preserve">$ </w:t>
            </w:r>
            <w:r w:rsidR="00150FE9">
              <w:t>152,407</w:t>
            </w:r>
          </w:p>
        </w:tc>
        <w:tc>
          <w:tcPr>
            <w:tcW w:w="1841" w:type="dxa"/>
          </w:tcPr>
          <w:p w14:paraId="607807C7" w14:textId="12F5AA65" w:rsidR="00C33214" w:rsidRPr="004C0A63" w:rsidRDefault="00C33214" w:rsidP="001F7586">
            <w:pPr>
              <w:tabs>
                <w:tab w:val="decimal" w:pos="1157"/>
              </w:tabs>
            </w:pPr>
            <w:r w:rsidRPr="004C0A63">
              <w:t xml:space="preserve">$ </w:t>
            </w:r>
            <w:r w:rsidR="001B6113">
              <w:t>114,337</w:t>
            </w:r>
          </w:p>
        </w:tc>
      </w:tr>
      <w:tr w:rsidR="00C33214" w:rsidRPr="007863FD" w14:paraId="13B6A0B7" w14:textId="77777777" w:rsidTr="001F7586">
        <w:tc>
          <w:tcPr>
            <w:tcW w:w="6055" w:type="dxa"/>
          </w:tcPr>
          <w:p w14:paraId="5E295C98" w14:textId="77777777" w:rsidR="00C33214" w:rsidRPr="007863FD" w:rsidRDefault="00C33214" w:rsidP="001F7586">
            <w:pPr>
              <w:ind w:left="162"/>
            </w:pPr>
            <w:r w:rsidRPr="007863FD">
              <w:t>Other accrued expenses</w:t>
            </w:r>
          </w:p>
        </w:tc>
        <w:tc>
          <w:tcPr>
            <w:tcW w:w="1842" w:type="dxa"/>
            <w:tcBorders>
              <w:bottom w:val="single" w:sz="4" w:space="0" w:color="auto"/>
            </w:tcBorders>
          </w:tcPr>
          <w:p w14:paraId="73D2112D" w14:textId="146D2571" w:rsidR="00C33214" w:rsidRPr="007863FD" w:rsidRDefault="00150FE9" w:rsidP="001F7586">
            <w:pPr>
              <w:tabs>
                <w:tab w:val="decimal" w:pos="1199"/>
              </w:tabs>
            </w:pPr>
            <w:r>
              <w:t>1,267,656</w:t>
            </w:r>
          </w:p>
        </w:tc>
        <w:tc>
          <w:tcPr>
            <w:tcW w:w="1841" w:type="dxa"/>
            <w:tcBorders>
              <w:bottom w:val="single" w:sz="4" w:space="0" w:color="auto"/>
            </w:tcBorders>
          </w:tcPr>
          <w:p w14:paraId="5CE9E302" w14:textId="42F5CEB4" w:rsidR="00C33214" w:rsidRPr="007863FD" w:rsidRDefault="001B6113" w:rsidP="001F7586">
            <w:pPr>
              <w:tabs>
                <w:tab w:val="decimal" w:pos="1157"/>
              </w:tabs>
            </w:pPr>
            <w:r>
              <w:t>602,594</w:t>
            </w:r>
          </w:p>
        </w:tc>
      </w:tr>
      <w:tr w:rsidR="00C33214" w:rsidRPr="004C0A63" w14:paraId="5AD39E93" w14:textId="77777777" w:rsidTr="001F7586">
        <w:tc>
          <w:tcPr>
            <w:tcW w:w="6055" w:type="dxa"/>
          </w:tcPr>
          <w:p w14:paraId="60404FEA" w14:textId="77777777" w:rsidR="00C33214" w:rsidRPr="007863FD" w:rsidRDefault="00C33214" w:rsidP="001F7586">
            <w:pPr>
              <w:ind w:left="162"/>
            </w:pPr>
            <w:r w:rsidRPr="007863FD">
              <w:t>Total accrued expenses</w:t>
            </w:r>
          </w:p>
        </w:tc>
        <w:tc>
          <w:tcPr>
            <w:tcW w:w="1842" w:type="dxa"/>
            <w:tcBorders>
              <w:top w:val="single" w:sz="4" w:space="0" w:color="auto"/>
              <w:bottom w:val="double" w:sz="4" w:space="0" w:color="auto"/>
            </w:tcBorders>
          </w:tcPr>
          <w:p w14:paraId="1E46B022" w14:textId="2883CA98" w:rsidR="00C33214" w:rsidRPr="007863FD" w:rsidRDefault="00C33214" w:rsidP="001F7586">
            <w:pPr>
              <w:tabs>
                <w:tab w:val="decimal" w:pos="1199"/>
              </w:tabs>
            </w:pPr>
            <w:r w:rsidRPr="007863FD">
              <w:t>$</w:t>
            </w:r>
            <w:r w:rsidR="001B6113">
              <w:t xml:space="preserve"> </w:t>
            </w:r>
            <w:r w:rsidR="00150FE9">
              <w:t>1,420,063</w:t>
            </w:r>
          </w:p>
        </w:tc>
        <w:tc>
          <w:tcPr>
            <w:tcW w:w="1841" w:type="dxa"/>
            <w:tcBorders>
              <w:top w:val="single" w:sz="4" w:space="0" w:color="auto"/>
              <w:bottom w:val="double" w:sz="4" w:space="0" w:color="auto"/>
            </w:tcBorders>
          </w:tcPr>
          <w:p w14:paraId="18DFBFF3" w14:textId="3EE1A733" w:rsidR="00C33214" w:rsidRPr="004C0A63" w:rsidRDefault="00C33214" w:rsidP="001F7586">
            <w:pPr>
              <w:tabs>
                <w:tab w:val="decimal" w:pos="1157"/>
              </w:tabs>
            </w:pPr>
            <w:r w:rsidRPr="007863FD">
              <w:t xml:space="preserve">$ </w:t>
            </w:r>
            <w:r w:rsidR="001B6113">
              <w:t>716,931</w:t>
            </w:r>
          </w:p>
        </w:tc>
      </w:tr>
    </w:tbl>
    <w:p w14:paraId="058E46DE" w14:textId="77777777" w:rsidR="0081257D" w:rsidRDefault="0081257D" w:rsidP="000A55AE">
      <w:pPr>
        <w:pStyle w:val="BodyText"/>
        <w:spacing w:after="0"/>
      </w:pPr>
    </w:p>
    <w:p w14:paraId="2D51CE8D" w14:textId="70CD7246" w:rsidR="00C33214" w:rsidRPr="001C6303" w:rsidRDefault="00C33214" w:rsidP="00C33214">
      <w:pPr>
        <w:pStyle w:val="ListNumbering"/>
        <w:spacing w:after="0"/>
      </w:pPr>
      <w:bookmarkStart w:id="11" w:name="_Toc197922410"/>
      <w:r w:rsidRPr="00583F67">
        <w:t>4.</w:t>
      </w:r>
      <w:r w:rsidRPr="00583F67">
        <w:tab/>
        <w:t>Commitments</w:t>
      </w:r>
    </w:p>
    <w:p w14:paraId="366DCAC5" w14:textId="281D1709" w:rsidR="00C33214" w:rsidRDefault="00C33214" w:rsidP="00C33214">
      <w:pPr>
        <w:pStyle w:val="BodyText"/>
        <w:spacing w:after="0"/>
      </w:pPr>
    </w:p>
    <w:p w14:paraId="539107BD" w14:textId="26B478B5" w:rsidR="00F461F3" w:rsidRPr="0001029F" w:rsidRDefault="0001029F" w:rsidP="00F461F3">
      <w:pPr>
        <w:rPr>
          <w:i/>
        </w:rPr>
      </w:pPr>
      <w:r>
        <w:rPr>
          <w:i/>
        </w:rPr>
        <w:t xml:space="preserve">Operating Lease.  </w:t>
      </w:r>
      <w:r w:rsidRPr="00EB7BF0">
        <w:t xml:space="preserve">We lease approximately </w:t>
      </w:r>
      <w:r w:rsidR="00F461F3">
        <w:t xml:space="preserve">8,400 square feet of office and laboratory space pursuant to an operating lease which expires on December 31, 2025. </w:t>
      </w:r>
      <w:r w:rsidR="00775D2C" w:rsidRPr="00775D2C">
        <w:t xml:space="preserve">Rent </w:t>
      </w:r>
      <w:proofErr w:type="gramStart"/>
      <w:r w:rsidR="00775D2C" w:rsidRPr="00775D2C">
        <w:t>expense</w:t>
      </w:r>
      <w:proofErr w:type="gramEnd"/>
      <w:r w:rsidR="00775D2C" w:rsidRPr="00775D2C">
        <w:t xml:space="preserve"> for the three-month periods ended March 31, </w:t>
      </w:r>
      <w:proofErr w:type="gramStart"/>
      <w:r w:rsidR="00775D2C" w:rsidRPr="00775D2C">
        <w:t>202</w:t>
      </w:r>
      <w:r>
        <w:t>4</w:t>
      </w:r>
      <w:proofErr w:type="gramEnd"/>
      <w:r w:rsidR="00775D2C" w:rsidRPr="00775D2C">
        <w:t xml:space="preserve"> and 202</w:t>
      </w:r>
      <w:r>
        <w:t>3</w:t>
      </w:r>
      <w:r w:rsidR="00775D2C" w:rsidRPr="00775D2C">
        <w:t xml:space="preserve"> was $</w:t>
      </w:r>
      <w:r>
        <w:t>46,764</w:t>
      </w:r>
      <w:r w:rsidR="00775D2C" w:rsidRPr="00775D2C">
        <w:t xml:space="preserve"> and $</w:t>
      </w:r>
      <w:r>
        <w:t>45,414</w:t>
      </w:r>
      <w:r w:rsidR="00775D2C" w:rsidRPr="00775D2C">
        <w:t xml:space="preserve">, respectively. </w:t>
      </w:r>
      <w:r w:rsidR="00F461F3">
        <w:t>Future minimum lease payments total $</w:t>
      </w:r>
      <w:r w:rsidR="00770EA9">
        <w:t>140,292</w:t>
      </w:r>
      <w:r w:rsidR="00F461F3">
        <w:t xml:space="preserve"> in 2024, and $19</w:t>
      </w:r>
      <w:r w:rsidR="00DD73A5">
        <w:t>2,708</w:t>
      </w:r>
      <w:r w:rsidR="00F461F3">
        <w:t xml:space="preserve"> in 2025 although the lease may be terminated at any time by either party with one hundred eighty days written notice. </w:t>
      </w:r>
    </w:p>
    <w:p w14:paraId="7DE2B326" w14:textId="77777777" w:rsidR="00F461F3" w:rsidRDefault="00F461F3" w:rsidP="00F461F3">
      <w:pPr>
        <w:rPr>
          <w:bCs/>
        </w:rPr>
      </w:pPr>
    </w:p>
    <w:p w14:paraId="4BEF889E" w14:textId="77777777" w:rsidR="0001029F" w:rsidRPr="0001029F" w:rsidRDefault="0001029F" w:rsidP="0001029F">
      <w:r w:rsidRPr="0001029F">
        <w:rPr>
          <w:bCs/>
          <w:i/>
          <w:iCs/>
        </w:rPr>
        <w:t xml:space="preserve">License Agreements.  </w:t>
      </w:r>
      <w:r w:rsidRPr="0001029F">
        <w:rPr>
          <w:bCs/>
        </w:rPr>
        <w:t>We have entered into license agreements</w:t>
      </w:r>
      <w:r w:rsidRPr="0001029F">
        <w:t xml:space="preserve"> for various technologies and patent rights associated with our product development activities. These agreements may contain provisions for upfront payments, milestone fees </w:t>
      </w:r>
      <w:r w:rsidRPr="0001029F">
        <w:rPr>
          <w:bCs/>
        </w:rPr>
        <w:t xml:space="preserve">due upon the achievement of selected development and regulatory events, minimum annual royalties or other fees, </w:t>
      </w:r>
      <w:r w:rsidRPr="0001029F">
        <w:t>and royalties based on future net sales. Due to the uncertainty of the achievement and timing of the contingent events requiring payment under these agreements, the amounts to be paid by us in the future are not determinable.</w:t>
      </w:r>
    </w:p>
    <w:p w14:paraId="3F58FC33" w14:textId="77777777" w:rsidR="0001029F" w:rsidRPr="0001029F" w:rsidRDefault="0001029F" w:rsidP="0001029F"/>
    <w:p w14:paraId="53D01275" w14:textId="77777777" w:rsidR="0001029F" w:rsidRPr="0001029F" w:rsidRDefault="0001029F" w:rsidP="0001029F">
      <w:r w:rsidRPr="0001029F">
        <w:rPr>
          <w:bCs/>
          <w:i/>
          <w:iCs/>
        </w:rPr>
        <w:t>Other Commitments</w:t>
      </w:r>
      <w:r w:rsidRPr="0001029F">
        <w:rPr>
          <w:bCs/>
        </w:rPr>
        <w:t xml:space="preserve">. </w:t>
      </w:r>
      <w:r w:rsidRPr="0001029F">
        <w:t xml:space="preserve">In the normal course of </w:t>
      </w:r>
      <w:proofErr w:type="gramStart"/>
      <w:r w:rsidRPr="0001029F">
        <w:t>business</w:t>
      </w:r>
      <w:proofErr w:type="gramEnd"/>
      <w:r w:rsidRPr="0001029F">
        <w:t xml:space="preserve"> we enter into various contracts and purchase commitments including those with contract research organizations (“CROs”) and </w:t>
      </w:r>
      <w:r w:rsidRPr="0001029F">
        <w:rPr>
          <w:bCs/>
        </w:rPr>
        <w:t xml:space="preserve">contract manufacturing organizations (“CMOs”) </w:t>
      </w:r>
      <w:r w:rsidRPr="0001029F">
        <w:t>for clinical trials services and production of</w:t>
      </w:r>
      <w:r w:rsidRPr="0001029F">
        <w:rPr>
          <w:bCs/>
        </w:rPr>
        <w:t xml:space="preserve"> materials for use in our clinical trials. Most contracts are generally cancellable, with notice, at the Company’s option. </w:t>
      </w:r>
      <w:r w:rsidRPr="0001029F">
        <w:t>Payments due upon cancellation may consist of payments for services provided or expenses incurred to date, or cancellation penalties depending on the time of cancellation.</w:t>
      </w:r>
    </w:p>
    <w:p w14:paraId="2EEC6171" w14:textId="77777777" w:rsidR="007947EE" w:rsidRDefault="007947EE" w:rsidP="007947EE"/>
    <w:p w14:paraId="1CF86C77" w14:textId="77777777" w:rsidR="003D7886" w:rsidRDefault="003D7886">
      <w:pPr>
        <w:rPr>
          <w:b/>
        </w:rPr>
      </w:pPr>
      <w:r>
        <w:br w:type="page"/>
      </w:r>
    </w:p>
    <w:p w14:paraId="2EF779F7" w14:textId="0D695542" w:rsidR="00C33214" w:rsidRDefault="00C33214" w:rsidP="00C33214">
      <w:pPr>
        <w:pStyle w:val="ListNumbering"/>
        <w:spacing w:after="0"/>
      </w:pPr>
      <w:r>
        <w:lastRenderedPageBreak/>
        <w:t>5</w:t>
      </w:r>
      <w:r w:rsidRPr="001C6303">
        <w:t>.</w:t>
      </w:r>
      <w:r w:rsidRPr="001C6303">
        <w:tab/>
      </w:r>
      <w:r>
        <w:t>Stockholders’ Equity</w:t>
      </w:r>
    </w:p>
    <w:p w14:paraId="670EC335" w14:textId="77777777" w:rsidR="00C33214" w:rsidRDefault="00C33214" w:rsidP="00C33214">
      <w:pPr>
        <w:pStyle w:val="BodyTitle"/>
        <w:spacing w:after="0"/>
      </w:pPr>
    </w:p>
    <w:p w14:paraId="2AAD1B2F" w14:textId="77777777" w:rsidR="00E457A0" w:rsidRPr="00E457A0" w:rsidRDefault="00E457A0" w:rsidP="00E457A0">
      <w:pPr>
        <w:suppressAutoHyphens/>
        <w:spacing w:line="240" w:lineRule="exact"/>
        <w:rPr>
          <w:i/>
          <w:iCs/>
        </w:rPr>
      </w:pPr>
      <w:r w:rsidRPr="00E457A0">
        <w:rPr>
          <w:i/>
          <w:iCs/>
        </w:rPr>
        <w:t>Reverse Stock Split and Reduction of Authorized Shares of Common Stock</w:t>
      </w:r>
    </w:p>
    <w:p w14:paraId="4DF8A334" w14:textId="77777777" w:rsidR="00E457A0" w:rsidRPr="00E457A0" w:rsidRDefault="00E457A0" w:rsidP="00E457A0">
      <w:pPr>
        <w:suppressAutoHyphens/>
        <w:spacing w:line="240" w:lineRule="exact"/>
      </w:pPr>
    </w:p>
    <w:p w14:paraId="5699E685" w14:textId="35E7F1C0" w:rsidR="00E457A0" w:rsidRPr="00E457A0" w:rsidRDefault="00E457A0" w:rsidP="00E457A0">
      <w:pPr>
        <w:suppressAutoHyphens/>
        <w:spacing w:line="240" w:lineRule="exact"/>
      </w:pPr>
      <w:r w:rsidRPr="00E457A0">
        <w:t xml:space="preserve">At a special meeting of our stockholders held on January 16, 2024, our stockholders approved an amendment to our certificate of incorporation to (i) reduce our authorized shares of common stock from 600,000,000 to 150,000,000 and (ii) effect a one-for-fifteen reverse split of our common stock. The amendment to our certificate of incorporation was filed with the Delaware Secretary of State on January 30, </w:t>
      </w:r>
      <w:proofErr w:type="gramStart"/>
      <w:r w:rsidRPr="00E457A0">
        <w:t>2024</w:t>
      </w:r>
      <w:proofErr w:type="gramEnd"/>
      <w:r w:rsidRPr="00E457A0">
        <w:t xml:space="preserve"> and our common stock began trading on the split-adjusted basis on January 31, 2024</w:t>
      </w:r>
      <w:r w:rsidR="002A0FA6">
        <w:t xml:space="preserve">. </w:t>
      </w:r>
      <w:r w:rsidRPr="00E457A0">
        <w:t>The accompanying consolidated financial statements, and all share and per share information contained herein, have been retroactively restated to reflect the reverse stock split.</w:t>
      </w:r>
    </w:p>
    <w:p w14:paraId="5C24FFD2" w14:textId="77777777" w:rsidR="00E457A0" w:rsidRDefault="00E457A0" w:rsidP="00C33214">
      <w:pPr>
        <w:pStyle w:val="BodyTitle"/>
        <w:spacing w:after="0"/>
      </w:pPr>
    </w:p>
    <w:p w14:paraId="7B053341" w14:textId="77777777" w:rsidR="00770EA9" w:rsidRDefault="00C33214" w:rsidP="00C33214">
      <w:pPr>
        <w:jc w:val="both"/>
      </w:pPr>
      <w:r w:rsidRPr="008C0ABC">
        <w:rPr>
          <w:i/>
          <w:iCs/>
        </w:rPr>
        <w:t>Common Stock Transactions</w:t>
      </w:r>
      <w:bookmarkStart w:id="12" w:name="_Hlk108625276"/>
    </w:p>
    <w:p w14:paraId="4DEB2695" w14:textId="77777777" w:rsidR="00770EA9" w:rsidRDefault="00770EA9" w:rsidP="00C33214">
      <w:pPr>
        <w:jc w:val="both"/>
      </w:pPr>
    </w:p>
    <w:p w14:paraId="70950825" w14:textId="6664B7A5" w:rsidR="00C33214" w:rsidRDefault="00C33214" w:rsidP="00E457A0">
      <w:pPr>
        <w:suppressAutoHyphens/>
        <w:spacing w:line="240" w:lineRule="exact"/>
      </w:pPr>
      <w:r>
        <w:t xml:space="preserve">During </w:t>
      </w:r>
      <w:r w:rsidR="00770EA9">
        <w:t>January</w:t>
      </w:r>
      <w:r w:rsidR="00775D2C">
        <w:t xml:space="preserve"> 202</w:t>
      </w:r>
      <w:r w:rsidR="00770EA9">
        <w:t>4</w:t>
      </w:r>
      <w:r>
        <w:t xml:space="preserve">, we issued </w:t>
      </w:r>
      <w:r w:rsidR="00E457A0">
        <w:t>6,70</w:t>
      </w:r>
      <w:r w:rsidR="00D93D3B">
        <w:t>3</w:t>
      </w:r>
      <w:r w:rsidR="00775D2C">
        <w:t xml:space="preserve"> s</w:t>
      </w:r>
      <w:r>
        <w:t xml:space="preserve">hares of our common stock pursuant to </w:t>
      </w:r>
      <w:r w:rsidR="00775D2C">
        <w:t xml:space="preserve">a </w:t>
      </w:r>
      <w:r w:rsidR="00CC7B89">
        <w:t xml:space="preserve">professional relations and </w:t>
      </w:r>
      <w:r>
        <w:t>consulting agreement</w:t>
      </w:r>
      <w:r w:rsidR="002A0FA6">
        <w:t xml:space="preserve"> and we issued 55,422 shares of our common stock for the roundup of fractional shares associated with the reverse stock split.</w:t>
      </w:r>
      <w:r w:rsidR="00E457A0" w:rsidRPr="00E457A0">
        <w:t xml:space="preserve"> In February </w:t>
      </w:r>
      <w:r w:rsidR="00C67341">
        <w:t>and March 2024</w:t>
      </w:r>
      <w:r w:rsidR="00E457A0" w:rsidRPr="00E457A0">
        <w:t xml:space="preserve">, </w:t>
      </w:r>
      <w:bookmarkStart w:id="13" w:name="_Hlk163132368"/>
      <w:r w:rsidR="00E457A0" w:rsidRPr="00E457A0">
        <w:t>we issued 133,</w:t>
      </w:r>
      <w:r w:rsidR="0069349B">
        <w:t>032</w:t>
      </w:r>
      <w:r w:rsidR="00C67341">
        <w:t xml:space="preserve"> and 136,000</w:t>
      </w:r>
      <w:r w:rsidR="00E457A0" w:rsidRPr="00E457A0">
        <w:t xml:space="preserve"> shares of our common stock</w:t>
      </w:r>
      <w:r w:rsidR="00C67341">
        <w:t>, respectively,</w:t>
      </w:r>
      <w:r w:rsidR="00E457A0" w:rsidRPr="00E457A0">
        <w:t xml:space="preserve"> pursuant to the exercise of prefunded warrants.</w:t>
      </w:r>
      <w:bookmarkEnd w:id="13"/>
    </w:p>
    <w:bookmarkEnd w:id="12"/>
    <w:p w14:paraId="20665DC4" w14:textId="77777777" w:rsidR="00C33214" w:rsidRDefault="00C33214" w:rsidP="00C33214">
      <w:pPr>
        <w:rPr>
          <w:color w:val="000000"/>
        </w:rPr>
      </w:pPr>
    </w:p>
    <w:p w14:paraId="64AFECED" w14:textId="77777777" w:rsidR="003963E0" w:rsidRDefault="00C33214" w:rsidP="00C33214">
      <w:pPr>
        <w:pStyle w:val="BodyTitle"/>
        <w:spacing w:after="0"/>
        <w:rPr>
          <w:u w:val="none"/>
        </w:rPr>
      </w:pPr>
      <w:r w:rsidRPr="006F0BD4">
        <w:rPr>
          <w:i/>
          <w:iCs/>
          <w:u w:val="none"/>
        </w:rPr>
        <w:t>Stock Options</w:t>
      </w:r>
    </w:p>
    <w:p w14:paraId="22734239" w14:textId="77777777" w:rsidR="00C33214" w:rsidRDefault="00C33214" w:rsidP="00C33214">
      <w:pPr>
        <w:rPr>
          <w:color w:val="000000"/>
        </w:rPr>
      </w:pPr>
    </w:p>
    <w:p w14:paraId="17E2528D" w14:textId="7D209D2B" w:rsidR="00770EA9" w:rsidRPr="00BD3259" w:rsidRDefault="00770EA9" w:rsidP="00770EA9">
      <w:pPr>
        <w:pStyle w:val="BodyTitle"/>
        <w:spacing w:after="0"/>
        <w:rPr>
          <w:color w:val="000000"/>
          <w:u w:val="none"/>
        </w:rPr>
      </w:pPr>
      <w:r w:rsidRPr="006749F1">
        <w:rPr>
          <w:u w:val="none"/>
        </w:rPr>
        <w:t>We have stock-based incentive plan</w:t>
      </w:r>
      <w:r>
        <w:rPr>
          <w:u w:val="none"/>
        </w:rPr>
        <w:t>s</w:t>
      </w:r>
      <w:r w:rsidRPr="006749F1">
        <w:rPr>
          <w:u w:val="none"/>
        </w:rPr>
        <w:t xml:space="preserve"> (the “Plan</w:t>
      </w:r>
      <w:r>
        <w:rPr>
          <w:u w:val="none"/>
        </w:rPr>
        <w:t>s</w:t>
      </w:r>
      <w:r w:rsidRPr="006749F1">
        <w:rPr>
          <w:u w:val="none"/>
        </w:rPr>
        <w:t xml:space="preserve">”) </w:t>
      </w:r>
      <w:r w:rsidRPr="006749F1">
        <w:rPr>
          <w:color w:val="000000"/>
          <w:u w:val="none"/>
        </w:rPr>
        <w:t xml:space="preserve">pursuant to which our Board of Directors may grant stock options and other stock-based awards to our employees, directors and consultants. During the </w:t>
      </w:r>
      <w:r>
        <w:rPr>
          <w:color w:val="000000"/>
          <w:u w:val="none"/>
        </w:rPr>
        <w:t>three</w:t>
      </w:r>
      <w:r w:rsidRPr="006749F1">
        <w:rPr>
          <w:color w:val="000000"/>
          <w:u w:val="none"/>
        </w:rPr>
        <w:t xml:space="preserve"> months ended </w:t>
      </w:r>
      <w:r>
        <w:rPr>
          <w:color w:val="000000"/>
          <w:u w:val="none"/>
        </w:rPr>
        <w:t>March</w:t>
      </w:r>
      <w:r w:rsidRPr="006749F1">
        <w:rPr>
          <w:color w:val="000000"/>
          <w:u w:val="none"/>
        </w:rPr>
        <w:t xml:space="preserve"> 3</w:t>
      </w:r>
      <w:r>
        <w:rPr>
          <w:color w:val="000000"/>
          <w:u w:val="none"/>
        </w:rPr>
        <w:t>1</w:t>
      </w:r>
      <w:r w:rsidRPr="006749F1">
        <w:rPr>
          <w:color w:val="000000"/>
          <w:u w:val="none"/>
        </w:rPr>
        <w:t>, 202</w:t>
      </w:r>
      <w:r>
        <w:rPr>
          <w:color w:val="000000"/>
          <w:u w:val="none"/>
        </w:rPr>
        <w:t>4</w:t>
      </w:r>
      <w:r w:rsidRPr="006749F1">
        <w:rPr>
          <w:color w:val="000000"/>
          <w:u w:val="none"/>
        </w:rPr>
        <w:t xml:space="preserve">, </w:t>
      </w:r>
      <w:r w:rsidR="007C2182">
        <w:rPr>
          <w:color w:val="000000"/>
          <w:u w:val="none"/>
        </w:rPr>
        <w:t>961</w:t>
      </w:r>
      <w:r>
        <w:rPr>
          <w:color w:val="000000"/>
          <w:u w:val="none"/>
        </w:rPr>
        <w:t xml:space="preserve"> stock options were cancelled</w:t>
      </w:r>
      <w:r w:rsidR="007C2182">
        <w:rPr>
          <w:color w:val="000000"/>
          <w:u w:val="none"/>
        </w:rPr>
        <w:t xml:space="preserve"> and </w:t>
      </w:r>
      <w:r>
        <w:rPr>
          <w:color w:val="000000"/>
          <w:u w:val="none"/>
        </w:rPr>
        <w:t xml:space="preserve">there were no new grants of stock options or other </w:t>
      </w:r>
      <w:r w:rsidRPr="006749F1">
        <w:rPr>
          <w:color w:val="000000"/>
          <w:u w:val="none"/>
        </w:rPr>
        <w:t>transactions related to the Plan</w:t>
      </w:r>
      <w:r>
        <w:rPr>
          <w:color w:val="000000"/>
          <w:u w:val="none"/>
        </w:rPr>
        <w:t>s</w:t>
      </w:r>
      <w:r w:rsidRPr="006749F1">
        <w:rPr>
          <w:color w:val="000000"/>
          <w:u w:val="none"/>
        </w:rPr>
        <w:t xml:space="preserve">. As of </w:t>
      </w:r>
      <w:r>
        <w:rPr>
          <w:color w:val="000000"/>
          <w:u w:val="none"/>
        </w:rPr>
        <w:t>March</w:t>
      </w:r>
      <w:r w:rsidRPr="006749F1">
        <w:rPr>
          <w:color w:val="000000"/>
          <w:u w:val="none"/>
        </w:rPr>
        <w:t xml:space="preserve"> 3</w:t>
      </w:r>
      <w:r>
        <w:rPr>
          <w:color w:val="000000"/>
          <w:u w:val="none"/>
        </w:rPr>
        <w:t>1</w:t>
      </w:r>
      <w:r w:rsidRPr="006749F1">
        <w:rPr>
          <w:color w:val="000000"/>
          <w:u w:val="none"/>
        </w:rPr>
        <w:t>, 202</w:t>
      </w:r>
      <w:r>
        <w:rPr>
          <w:color w:val="000000"/>
          <w:u w:val="none"/>
        </w:rPr>
        <w:t>4</w:t>
      </w:r>
      <w:r w:rsidRPr="006749F1">
        <w:rPr>
          <w:color w:val="000000"/>
          <w:u w:val="none"/>
        </w:rPr>
        <w:t xml:space="preserve">, there are </w:t>
      </w:r>
      <w:r w:rsidR="007C2182">
        <w:rPr>
          <w:color w:val="000000"/>
          <w:u w:val="none"/>
        </w:rPr>
        <w:t>133,648</w:t>
      </w:r>
      <w:r w:rsidRPr="006749F1">
        <w:rPr>
          <w:color w:val="000000"/>
          <w:u w:val="none"/>
        </w:rPr>
        <w:t xml:space="preserve"> stock options outstanding, with a weighted-average exercise price of $</w:t>
      </w:r>
      <w:r w:rsidR="007C2182">
        <w:rPr>
          <w:color w:val="000000"/>
          <w:u w:val="none"/>
        </w:rPr>
        <w:t>28.39</w:t>
      </w:r>
      <w:r w:rsidRPr="006749F1">
        <w:rPr>
          <w:color w:val="000000"/>
          <w:u w:val="none"/>
        </w:rPr>
        <w:t xml:space="preserve"> per share and a weighted-average remaining contractual term of </w:t>
      </w:r>
      <w:r w:rsidR="007C2182">
        <w:rPr>
          <w:color w:val="000000"/>
          <w:u w:val="none"/>
        </w:rPr>
        <w:t>7.9</w:t>
      </w:r>
      <w:r w:rsidRPr="006749F1">
        <w:rPr>
          <w:color w:val="000000"/>
          <w:u w:val="none"/>
        </w:rPr>
        <w:t xml:space="preserve"> years.</w:t>
      </w:r>
      <w:r w:rsidRPr="00A53341">
        <w:rPr>
          <w:color w:val="000000"/>
          <w:u w:val="none"/>
        </w:rPr>
        <w:t xml:space="preserve"> </w:t>
      </w:r>
      <w:r>
        <w:rPr>
          <w:color w:val="000000"/>
          <w:u w:val="none"/>
        </w:rPr>
        <w:t>Including the outstanding stock options, a</w:t>
      </w:r>
      <w:r w:rsidRPr="006749F1">
        <w:rPr>
          <w:color w:val="000000"/>
          <w:u w:val="none"/>
        </w:rPr>
        <w:t xml:space="preserve"> total of </w:t>
      </w:r>
      <w:r w:rsidR="007C2182">
        <w:rPr>
          <w:color w:val="000000"/>
          <w:u w:val="none"/>
        </w:rPr>
        <w:t>333,648</w:t>
      </w:r>
      <w:r w:rsidRPr="006749F1">
        <w:rPr>
          <w:color w:val="000000"/>
          <w:u w:val="none"/>
        </w:rPr>
        <w:t xml:space="preserve"> shares of our common stock are reserved for </w:t>
      </w:r>
      <w:r>
        <w:rPr>
          <w:color w:val="000000"/>
          <w:u w:val="none"/>
        </w:rPr>
        <w:t xml:space="preserve">future </w:t>
      </w:r>
      <w:r w:rsidRPr="006749F1">
        <w:rPr>
          <w:color w:val="000000"/>
          <w:u w:val="none"/>
        </w:rPr>
        <w:t>issuance pursuant to the Plan</w:t>
      </w:r>
      <w:r>
        <w:rPr>
          <w:color w:val="000000"/>
          <w:u w:val="none"/>
        </w:rPr>
        <w:t>s</w:t>
      </w:r>
      <w:r w:rsidRPr="006749F1">
        <w:rPr>
          <w:color w:val="000000"/>
          <w:u w:val="none"/>
        </w:rPr>
        <w:t>.</w:t>
      </w:r>
    </w:p>
    <w:p w14:paraId="5A62B5B9" w14:textId="77777777" w:rsidR="00770EA9" w:rsidRDefault="00770EA9" w:rsidP="00C33214">
      <w:pPr>
        <w:rPr>
          <w:color w:val="000000"/>
        </w:rPr>
      </w:pPr>
    </w:p>
    <w:p w14:paraId="2564304F" w14:textId="77777777" w:rsidR="003963E0" w:rsidRDefault="009B589E" w:rsidP="009B589E">
      <w:pPr>
        <w:suppressAutoHyphens/>
        <w:spacing w:line="240" w:lineRule="exact"/>
        <w:rPr>
          <w:i/>
          <w:color w:val="000000"/>
        </w:rPr>
      </w:pPr>
      <w:r w:rsidRPr="00914DFD">
        <w:rPr>
          <w:i/>
          <w:color w:val="000000"/>
        </w:rPr>
        <w:t>Stock Purchase Warrants</w:t>
      </w:r>
    </w:p>
    <w:p w14:paraId="40560E09" w14:textId="09DA59F9" w:rsidR="000A55AE" w:rsidRDefault="000A55AE" w:rsidP="000A55AE">
      <w:pPr>
        <w:rPr>
          <w:color w:val="000000"/>
        </w:rPr>
      </w:pPr>
    </w:p>
    <w:p w14:paraId="7C4DCD07" w14:textId="40E62243" w:rsidR="00EE79AE" w:rsidRPr="00EE79AE" w:rsidRDefault="00770EA9" w:rsidP="00EE79AE">
      <w:pPr>
        <w:suppressAutoHyphens/>
        <w:spacing w:line="240" w:lineRule="exact"/>
        <w:rPr>
          <w:color w:val="000000"/>
        </w:rPr>
      </w:pPr>
      <w:r w:rsidRPr="006749F1">
        <w:rPr>
          <w:color w:val="000000"/>
        </w:rPr>
        <w:t xml:space="preserve">We have issued stock purchase warrants in connection with past financing and licensing transactions. </w:t>
      </w:r>
      <w:r w:rsidR="00583F67">
        <w:rPr>
          <w:color w:val="000000"/>
        </w:rPr>
        <w:t>As described under “Common Stock Transactions” above, d</w:t>
      </w:r>
      <w:r w:rsidRPr="006749F1">
        <w:rPr>
          <w:color w:val="000000"/>
        </w:rPr>
        <w:t xml:space="preserve">uring the </w:t>
      </w:r>
      <w:r>
        <w:rPr>
          <w:color w:val="000000"/>
        </w:rPr>
        <w:t>three</w:t>
      </w:r>
      <w:r w:rsidRPr="006749F1">
        <w:rPr>
          <w:color w:val="000000"/>
        </w:rPr>
        <w:t xml:space="preserve"> months ended </w:t>
      </w:r>
      <w:r>
        <w:rPr>
          <w:color w:val="000000"/>
        </w:rPr>
        <w:t>March</w:t>
      </w:r>
      <w:r w:rsidRPr="006749F1">
        <w:rPr>
          <w:color w:val="000000"/>
        </w:rPr>
        <w:t xml:space="preserve"> 3</w:t>
      </w:r>
      <w:r>
        <w:rPr>
          <w:color w:val="000000"/>
        </w:rPr>
        <w:t>1</w:t>
      </w:r>
      <w:r w:rsidRPr="006749F1">
        <w:rPr>
          <w:color w:val="000000"/>
        </w:rPr>
        <w:t>, 202</w:t>
      </w:r>
      <w:r>
        <w:rPr>
          <w:color w:val="000000"/>
        </w:rPr>
        <w:t>4</w:t>
      </w:r>
      <w:r w:rsidRPr="006749F1">
        <w:rPr>
          <w:color w:val="000000"/>
        </w:rPr>
        <w:t xml:space="preserve">, </w:t>
      </w:r>
      <w:r w:rsidR="00E457A0" w:rsidRPr="00E457A0">
        <w:rPr>
          <w:color w:val="000000"/>
        </w:rPr>
        <w:t xml:space="preserve">we issued </w:t>
      </w:r>
      <w:r w:rsidR="00C67341">
        <w:rPr>
          <w:color w:val="000000"/>
        </w:rPr>
        <w:t>269,</w:t>
      </w:r>
      <w:r w:rsidR="0069349B">
        <w:rPr>
          <w:color w:val="000000"/>
        </w:rPr>
        <w:t>032</w:t>
      </w:r>
      <w:r w:rsidR="00E457A0" w:rsidRPr="00E457A0">
        <w:rPr>
          <w:color w:val="000000"/>
        </w:rPr>
        <w:t xml:space="preserve"> shares of our common stock pursuant to the exercise of prefunded warrants</w:t>
      </w:r>
      <w:r w:rsidR="00E457A0">
        <w:rPr>
          <w:color w:val="000000"/>
        </w:rPr>
        <w:t xml:space="preserve">; </w:t>
      </w:r>
      <w:r w:rsidRPr="006749F1">
        <w:rPr>
          <w:color w:val="000000"/>
        </w:rPr>
        <w:t xml:space="preserve">there were no </w:t>
      </w:r>
      <w:r w:rsidR="00E457A0">
        <w:rPr>
          <w:color w:val="000000"/>
        </w:rPr>
        <w:t>other t</w:t>
      </w:r>
      <w:r w:rsidRPr="006749F1">
        <w:rPr>
          <w:color w:val="000000"/>
        </w:rPr>
        <w:t xml:space="preserve">ransactions related to our stock purchase warrants. </w:t>
      </w:r>
      <w:r w:rsidR="00EE79AE" w:rsidRPr="00EE79AE">
        <w:rPr>
          <w:color w:val="000000"/>
        </w:rPr>
        <w:t xml:space="preserve">The table below summarizes information concerning warrants outstanding as of </w:t>
      </w:r>
      <w:r w:rsidR="00EE79AE">
        <w:rPr>
          <w:color w:val="000000"/>
        </w:rPr>
        <w:t>March</w:t>
      </w:r>
      <w:r w:rsidR="00EE79AE" w:rsidRPr="00EE79AE">
        <w:rPr>
          <w:color w:val="000000"/>
        </w:rPr>
        <w:t xml:space="preserve"> 31, 202</w:t>
      </w:r>
      <w:r w:rsidR="00EE79AE">
        <w:rPr>
          <w:color w:val="000000"/>
        </w:rPr>
        <w:t>4</w:t>
      </w:r>
      <w:r w:rsidR="00EE79AE" w:rsidRPr="00EE79AE">
        <w:rPr>
          <w:color w:val="000000"/>
        </w:rPr>
        <w:t>.</w:t>
      </w:r>
    </w:p>
    <w:p w14:paraId="4FBF7EED" w14:textId="77777777" w:rsidR="00EE79AE" w:rsidRPr="00EE79AE" w:rsidRDefault="00EE79AE" w:rsidP="00EE79AE">
      <w:pPr>
        <w:rPr>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60"/>
        <w:gridCol w:w="1191"/>
        <w:gridCol w:w="2139"/>
      </w:tblGrid>
      <w:tr w:rsidR="00EE79AE" w:rsidRPr="00EE79AE" w14:paraId="5AA2F21E" w14:textId="77777777" w:rsidTr="00B32F93">
        <w:tc>
          <w:tcPr>
            <w:tcW w:w="4950" w:type="dxa"/>
            <w:tcBorders>
              <w:bottom w:val="single" w:sz="4" w:space="0" w:color="auto"/>
            </w:tcBorders>
          </w:tcPr>
          <w:p w14:paraId="00752DD5" w14:textId="77777777" w:rsidR="00EE79AE" w:rsidRPr="00EE79AE" w:rsidRDefault="00EE79AE" w:rsidP="00EE79AE">
            <w:pPr>
              <w:rPr>
                <w:color w:val="000000"/>
              </w:rPr>
            </w:pPr>
          </w:p>
          <w:p w14:paraId="2A6BEECA" w14:textId="77777777" w:rsidR="00EE79AE" w:rsidRPr="00EE79AE" w:rsidRDefault="00EE79AE" w:rsidP="00EE79AE">
            <w:pPr>
              <w:rPr>
                <w:color w:val="000000"/>
              </w:rPr>
            </w:pPr>
            <w:r w:rsidRPr="00EE79AE">
              <w:rPr>
                <w:color w:val="000000"/>
              </w:rPr>
              <w:t>Issue Date</w:t>
            </w:r>
          </w:p>
        </w:tc>
        <w:tc>
          <w:tcPr>
            <w:tcW w:w="1260" w:type="dxa"/>
            <w:tcBorders>
              <w:bottom w:val="single" w:sz="4" w:space="0" w:color="auto"/>
            </w:tcBorders>
          </w:tcPr>
          <w:p w14:paraId="09B48DE2" w14:textId="77777777" w:rsidR="00EE79AE" w:rsidRPr="00EE79AE" w:rsidRDefault="00EE79AE" w:rsidP="00EE79AE">
            <w:pPr>
              <w:jc w:val="center"/>
              <w:rPr>
                <w:color w:val="000000"/>
              </w:rPr>
            </w:pPr>
            <w:r w:rsidRPr="00EE79AE">
              <w:rPr>
                <w:color w:val="000000"/>
              </w:rPr>
              <w:t>Number</w:t>
            </w:r>
          </w:p>
          <w:p w14:paraId="6EB3D58D" w14:textId="77777777" w:rsidR="00EE79AE" w:rsidRPr="00EE79AE" w:rsidRDefault="00EE79AE" w:rsidP="00EE79AE">
            <w:pPr>
              <w:jc w:val="center"/>
              <w:rPr>
                <w:color w:val="000000"/>
              </w:rPr>
            </w:pPr>
            <w:r w:rsidRPr="00EE79AE">
              <w:rPr>
                <w:color w:val="000000"/>
              </w:rPr>
              <w:t>of Shares</w:t>
            </w:r>
          </w:p>
        </w:tc>
        <w:tc>
          <w:tcPr>
            <w:tcW w:w="1191" w:type="dxa"/>
            <w:tcBorders>
              <w:bottom w:val="single" w:sz="4" w:space="0" w:color="auto"/>
            </w:tcBorders>
          </w:tcPr>
          <w:p w14:paraId="04147E7F" w14:textId="77777777" w:rsidR="00EE79AE" w:rsidRPr="00EE79AE" w:rsidRDefault="00EE79AE" w:rsidP="00EE79AE">
            <w:pPr>
              <w:jc w:val="center"/>
              <w:rPr>
                <w:color w:val="000000"/>
              </w:rPr>
            </w:pPr>
            <w:r w:rsidRPr="00EE79AE">
              <w:rPr>
                <w:color w:val="000000"/>
              </w:rPr>
              <w:t>Exercise</w:t>
            </w:r>
          </w:p>
          <w:p w14:paraId="2145782C" w14:textId="77777777" w:rsidR="00EE79AE" w:rsidRPr="00EE79AE" w:rsidRDefault="00EE79AE" w:rsidP="00EE79AE">
            <w:pPr>
              <w:jc w:val="center"/>
              <w:rPr>
                <w:color w:val="000000"/>
              </w:rPr>
            </w:pPr>
            <w:r w:rsidRPr="00EE79AE">
              <w:rPr>
                <w:color w:val="000000"/>
              </w:rPr>
              <w:t>Price</w:t>
            </w:r>
          </w:p>
        </w:tc>
        <w:tc>
          <w:tcPr>
            <w:tcW w:w="2139" w:type="dxa"/>
            <w:tcBorders>
              <w:bottom w:val="single" w:sz="4" w:space="0" w:color="auto"/>
            </w:tcBorders>
          </w:tcPr>
          <w:p w14:paraId="01200602" w14:textId="77777777" w:rsidR="00EE79AE" w:rsidRPr="00EE79AE" w:rsidRDefault="00EE79AE" w:rsidP="00EE79AE">
            <w:pPr>
              <w:jc w:val="center"/>
              <w:rPr>
                <w:color w:val="000000"/>
              </w:rPr>
            </w:pPr>
          </w:p>
          <w:p w14:paraId="44931BEB" w14:textId="77777777" w:rsidR="00EE79AE" w:rsidRPr="00EE79AE" w:rsidRDefault="00EE79AE" w:rsidP="00EE79AE">
            <w:pPr>
              <w:jc w:val="center"/>
              <w:rPr>
                <w:color w:val="000000"/>
              </w:rPr>
            </w:pPr>
            <w:r w:rsidRPr="00EE79AE">
              <w:rPr>
                <w:color w:val="000000"/>
              </w:rPr>
              <w:t>Expiration</w:t>
            </w:r>
          </w:p>
        </w:tc>
      </w:tr>
      <w:tr w:rsidR="00EE79AE" w:rsidRPr="00EE79AE" w14:paraId="0B1A5D19" w14:textId="77777777" w:rsidTr="00B32F93">
        <w:tc>
          <w:tcPr>
            <w:tcW w:w="4950" w:type="dxa"/>
          </w:tcPr>
          <w:p w14:paraId="382F55D8" w14:textId="77777777" w:rsidR="00EE79AE" w:rsidRPr="00EE79AE" w:rsidRDefault="00EE79AE" w:rsidP="00EE79AE">
            <w:pPr>
              <w:rPr>
                <w:color w:val="000000"/>
              </w:rPr>
            </w:pPr>
            <w:r w:rsidRPr="00EE79AE">
              <w:rPr>
                <w:color w:val="000000"/>
              </w:rPr>
              <w:t>June 2020</w:t>
            </w:r>
          </w:p>
        </w:tc>
        <w:tc>
          <w:tcPr>
            <w:tcW w:w="1260" w:type="dxa"/>
          </w:tcPr>
          <w:p w14:paraId="0AFD1D5C" w14:textId="77777777" w:rsidR="00EE79AE" w:rsidRPr="00EE79AE" w:rsidRDefault="00EE79AE" w:rsidP="00EE79AE">
            <w:pPr>
              <w:tabs>
                <w:tab w:val="decimal" w:pos="877"/>
              </w:tabs>
              <w:rPr>
                <w:color w:val="000000"/>
              </w:rPr>
            </w:pPr>
            <w:r w:rsidRPr="00EE79AE">
              <w:rPr>
                <w:color w:val="000000"/>
              </w:rPr>
              <w:t>8,000</w:t>
            </w:r>
          </w:p>
        </w:tc>
        <w:tc>
          <w:tcPr>
            <w:tcW w:w="1191" w:type="dxa"/>
          </w:tcPr>
          <w:p w14:paraId="2B5BF664" w14:textId="77777777" w:rsidR="00EE79AE" w:rsidRPr="00EE79AE" w:rsidRDefault="00EE79AE" w:rsidP="00EE79AE">
            <w:pPr>
              <w:tabs>
                <w:tab w:val="decimal" w:pos="607"/>
              </w:tabs>
              <w:rPr>
                <w:color w:val="000000"/>
              </w:rPr>
            </w:pPr>
            <w:r w:rsidRPr="00EE79AE">
              <w:rPr>
                <w:color w:val="000000"/>
              </w:rPr>
              <w:t>$   6.21</w:t>
            </w:r>
          </w:p>
        </w:tc>
        <w:tc>
          <w:tcPr>
            <w:tcW w:w="2139" w:type="dxa"/>
          </w:tcPr>
          <w:p w14:paraId="02081500" w14:textId="77777777" w:rsidR="00EE79AE" w:rsidRPr="00EE79AE" w:rsidRDefault="00EE79AE" w:rsidP="00EE79AE">
            <w:pPr>
              <w:jc w:val="center"/>
              <w:rPr>
                <w:color w:val="000000"/>
              </w:rPr>
            </w:pPr>
            <w:r w:rsidRPr="00EE79AE">
              <w:rPr>
                <w:color w:val="000000"/>
              </w:rPr>
              <w:t>June 2025</w:t>
            </w:r>
          </w:p>
        </w:tc>
      </w:tr>
      <w:tr w:rsidR="00EE79AE" w:rsidRPr="00EE79AE" w14:paraId="17899189" w14:textId="77777777" w:rsidTr="00B32F93">
        <w:tc>
          <w:tcPr>
            <w:tcW w:w="4950" w:type="dxa"/>
          </w:tcPr>
          <w:p w14:paraId="0D722F20" w14:textId="77777777" w:rsidR="00EE79AE" w:rsidRPr="00EE79AE" w:rsidRDefault="00EE79AE" w:rsidP="00EE79AE">
            <w:pPr>
              <w:rPr>
                <w:color w:val="000000"/>
              </w:rPr>
            </w:pPr>
            <w:r w:rsidRPr="00EE79AE">
              <w:rPr>
                <w:color w:val="000000"/>
              </w:rPr>
              <w:t xml:space="preserve">September 2020 </w:t>
            </w:r>
          </w:p>
        </w:tc>
        <w:tc>
          <w:tcPr>
            <w:tcW w:w="1260" w:type="dxa"/>
          </w:tcPr>
          <w:p w14:paraId="70869B15" w14:textId="77777777" w:rsidR="00EE79AE" w:rsidRPr="00EE79AE" w:rsidRDefault="00EE79AE" w:rsidP="00EE79AE">
            <w:pPr>
              <w:tabs>
                <w:tab w:val="decimal" w:pos="877"/>
              </w:tabs>
              <w:rPr>
                <w:color w:val="000000"/>
              </w:rPr>
            </w:pPr>
            <w:r w:rsidRPr="00EE79AE">
              <w:rPr>
                <w:color w:val="000000"/>
              </w:rPr>
              <w:t>159,781</w:t>
            </w:r>
          </w:p>
        </w:tc>
        <w:tc>
          <w:tcPr>
            <w:tcW w:w="1191" w:type="dxa"/>
          </w:tcPr>
          <w:p w14:paraId="76F8559F" w14:textId="77777777" w:rsidR="00EE79AE" w:rsidRPr="00EE79AE" w:rsidRDefault="00EE79AE" w:rsidP="00EE79AE">
            <w:pPr>
              <w:tabs>
                <w:tab w:val="decimal" w:pos="607"/>
              </w:tabs>
              <w:rPr>
                <w:color w:val="000000"/>
              </w:rPr>
            </w:pPr>
            <w:r w:rsidRPr="00EE79AE">
              <w:rPr>
                <w:color w:val="000000"/>
              </w:rPr>
              <w:t>75.00</w:t>
            </w:r>
          </w:p>
        </w:tc>
        <w:tc>
          <w:tcPr>
            <w:tcW w:w="2139" w:type="dxa"/>
          </w:tcPr>
          <w:p w14:paraId="2FF9A707" w14:textId="77777777" w:rsidR="00EE79AE" w:rsidRPr="00EE79AE" w:rsidRDefault="00EE79AE" w:rsidP="00EE79AE">
            <w:pPr>
              <w:jc w:val="center"/>
              <w:rPr>
                <w:color w:val="000000"/>
              </w:rPr>
            </w:pPr>
            <w:r w:rsidRPr="00EE79AE">
              <w:rPr>
                <w:color w:val="000000"/>
              </w:rPr>
              <w:t>September 2025</w:t>
            </w:r>
          </w:p>
        </w:tc>
      </w:tr>
      <w:tr w:rsidR="00EE79AE" w:rsidRPr="00EE79AE" w14:paraId="4AF2F43F" w14:textId="77777777" w:rsidTr="00B32F93">
        <w:tc>
          <w:tcPr>
            <w:tcW w:w="4950" w:type="dxa"/>
          </w:tcPr>
          <w:p w14:paraId="54755B20" w14:textId="77777777" w:rsidR="00EE79AE" w:rsidRPr="00EE79AE" w:rsidRDefault="00EE79AE" w:rsidP="00EE79AE">
            <w:pPr>
              <w:rPr>
                <w:color w:val="000000"/>
              </w:rPr>
            </w:pPr>
            <w:r w:rsidRPr="00EE79AE">
              <w:rPr>
                <w:color w:val="000000"/>
              </w:rPr>
              <w:t xml:space="preserve">February 2021 </w:t>
            </w:r>
          </w:p>
        </w:tc>
        <w:tc>
          <w:tcPr>
            <w:tcW w:w="1260" w:type="dxa"/>
          </w:tcPr>
          <w:p w14:paraId="3535B25E" w14:textId="77777777" w:rsidR="00EE79AE" w:rsidRPr="00EE79AE" w:rsidRDefault="00EE79AE" w:rsidP="00EE79AE">
            <w:pPr>
              <w:tabs>
                <w:tab w:val="decimal" w:pos="877"/>
              </w:tabs>
              <w:rPr>
                <w:color w:val="000000"/>
              </w:rPr>
            </w:pPr>
            <w:r w:rsidRPr="00EE79AE">
              <w:rPr>
                <w:color w:val="000000"/>
              </w:rPr>
              <w:t>4,800</w:t>
            </w:r>
          </w:p>
        </w:tc>
        <w:tc>
          <w:tcPr>
            <w:tcW w:w="1191" w:type="dxa"/>
          </w:tcPr>
          <w:p w14:paraId="68088E85" w14:textId="77777777" w:rsidR="00EE79AE" w:rsidRPr="00EE79AE" w:rsidRDefault="00EE79AE" w:rsidP="00EE79AE">
            <w:pPr>
              <w:tabs>
                <w:tab w:val="decimal" w:pos="607"/>
              </w:tabs>
              <w:rPr>
                <w:color w:val="000000"/>
              </w:rPr>
            </w:pPr>
            <w:r w:rsidRPr="00EE79AE">
              <w:rPr>
                <w:color w:val="000000"/>
              </w:rPr>
              <w:t>103.13</w:t>
            </w:r>
          </w:p>
        </w:tc>
        <w:tc>
          <w:tcPr>
            <w:tcW w:w="2139" w:type="dxa"/>
          </w:tcPr>
          <w:p w14:paraId="2B50845F" w14:textId="77777777" w:rsidR="00EE79AE" w:rsidRPr="00EE79AE" w:rsidRDefault="00EE79AE" w:rsidP="00EE79AE">
            <w:pPr>
              <w:jc w:val="center"/>
              <w:rPr>
                <w:color w:val="000000"/>
              </w:rPr>
            </w:pPr>
            <w:r w:rsidRPr="00EE79AE">
              <w:rPr>
                <w:color w:val="000000"/>
              </w:rPr>
              <w:t>August 2024</w:t>
            </w:r>
          </w:p>
        </w:tc>
      </w:tr>
      <w:tr w:rsidR="00EE79AE" w:rsidRPr="00EE79AE" w14:paraId="314B88ED" w14:textId="77777777" w:rsidTr="00B32F93">
        <w:tc>
          <w:tcPr>
            <w:tcW w:w="4950" w:type="dxa"/>
          </w:tcPr>
          <w:p w14:paraId="6590F684" w14:textId="77777777" w:rsidR="00EE79AE" w:rsidRPr="00EE79AE" w:rsidRDefault="00EE79AE" w:rsidP="00EE79AE">
            <w:pPr>
              <w:rPr>
                <w:color w:val="000000"/>
              </w:rPr>
            </w:pPr>
            <w:r w:rsidRPr="00EE79AE">
              <w:rPr>
                <w:color w:val="000000"/>
              </w:rPr>
              <w:t xml:space="preserve">September 2021 </w:t>
            </w:r>
          </w:p>
        </w:tc>
        <w:tc>
          <w:tcPr>
            <w:tcW w:w="1260" w:type="dxa"/>
          </w:tcPr>
          <w:p w14:paraId="054E19CC" w14:textId="77777777" w:rsidR="00EE79AE" w:rsidRPr="00EE79AE" w:rsidRDefault="00EE79AE" w:rsidP="00EE79AE">
            <w:pPr>
              <w:tabs>
                <w:tab w:val="decimal" w:pos="877"/>
              </w:tabs>
              <w:rPr>
                <w:color w:val="000000"/>
              </w:rPr>
            </w:pPr>
            <w:r w:rsidRPr="00EE79AE">
              <w:rPr>
                <w:color w:val="000000"/>
              </w:rPr>
              <w:t>6,668</w:t>
            </w:r>
          </w:p>
        </w:tc>
        <w:tc>
          <w:tcPr>
            <w:tcW w:w="1191" w:type="dxa"/>
          </w:tcPr>
          <w:p w14:paraId="2040538B" w14:textId="77777777" w:rsidR="00EE79AE" w:rsidRPr="00EE79AE" w:rsidRDefault="00EE79AE" w:rsidP="00EE79AE">
            <w:pPr>
              <w:tabs>
                <w:tab w:val="decimal" w:pos="607"/>
              </w:tabs>
              <w:rPr>
                <w:color w:val="000000"/>
              </w:rPr>
            </w:pPr>
            <w:r w:rsidRPr="00EE79AE">
              <w:rPr>
                <w:color w:val="000000"/>
              </w:rPr>
              <w:t>195.00</w:t>
            </w:r>
          </w:p>
        </w:tc>
        <w:tc>
          <w:tcPr>
            <w:tcW w:w="2139" w:type="dxa"/>
          </w:tcPr>
          <w:p w14:paraId="5ED1CA52" w14:textId="77777777" w:rsidR="00EE79AE" w:rsidRPr="00EE79AE" w:rsidRDefault="00EE79AE" w:rsidP="00EE79AE">
            <w:pPr>
              <w:jc w:val="center"/>
              <w:rPr>
                <w:color w:val="000000"/>
              </w:rPr>
            </w:pPr>
            <w:r w:rsidRPr="00EE79AE">
              <w:rPr>
                <w:color w:val="000000"/>
              </w:rPr>
              <w:t>September 2026</w:t>
            </w:r>
          </w:p>
        </w:tc>
      </w:tr>
      <w:tr w:rsidR="00EE79AE" w:rsidRPr="00EE79AE" w14:paraId="1C6A66F1" w14:textId="77777777" w:rsidTr="00B32F93">
        <w:tc>
          <w:tcPr>
            <w:tcW w:w="4950" w:type="dxa"/>
          </w:tcPr>
          <w:p w14:paraId="39D0BD78" w14:textId="77777777" w:rsidR="00EE79AE" w:rsidRPr="00EE79AE" w:rsidRDefault="00EE79AE" w:rsidP="00EE79AE">
            <w:pPr>
              <w:rPr>
                <w:color w:val="000000"/>
              </w:rPr>
            </w:pPr>
            <w:r w:rsidRPr="00EE79AE">
              <w:rPr>
                <w:color w:val="000000"/>
              </w:rPr>
              <w:t xml:space="preserve">December 2023 </w:t>
            </w:r>
          </w:p>
        </w:tc>
        <w:tc>
          <w:tcPr>
            <w:tcW w:w="1260" w:type="dxa"/>
          </w:tcPr>
          <w:p w14:paraId="1801887A" w14:textId="79EA695F" w:rsidR="00EE79AE" w:rsidRPr="00EE79AE" w:rsidRDefault="00EE79AE" w:rsidP="00EE79AE">
            <w:pPr>
              <w:tabs>
                <w:tab w:val="decimal" w:pos="877"/>
              </w:tabs>
              <w:rPr>
                <w:color w:val="000000"/>
              </w:rPr>
            </w:pPr>
            <w:r>
              <w:rPr>
                <w:color w:val="000000"/>
              </w:rPr>
              <w:t>238,000</w:t>
            </w:r>
          </w:p>
        </w:tc>
        <w:tc>
          <w:tcPr>
            <w:tcW w:w="1191" w:type="dxa"/>
          </w:tcPr>
          <w:p w14:paraId="0DDD68AB" w14:textId="77777777" w:rsidR="00EE79AE" w:rsidRPr="00EE79AE" w:rsidRDefault="00EE79AE" w:rsidP="00EE79AE">
            <w:pPr>
              <w:tabs>
                <w:tab w:val="decimal" w:pos="786"/>
              </w:tabs>
              <w:rPr>
                <w:color w:val="000000"/>
              </w:rPr>
            </w:pPr>
            <w:r w:rsidRPr="00EE79AE">
              <w:rPr>
                <w:color w:val="000000"/>
              </w:rPr>
              <w:t>-0-</w:t>
            </w:r>
          </w:p>
        </w:tc>
        <w:tc>
          <w:tcPr>
            <w:tcW w:w="2139" w:type="dxa"/>
          </w:tcPr>
          <w:p w14:paraId="02053261" w14:textId="3F72EA14" w:rsidR="00EE79AE" w:rsidRPr="00EE79AE" w:rsidRDefault="00902A7C" w:rsidP="00EE79AE">
            <w:pPr>
              <w:jc w:val="center"/>
              <w:rPr>
                <w:color w:val="000000"/>
              </w:rPr>
            </w:pPr>
            <w:r>
              <w:rPr>
                <w:color w:val="000000"/>
              </w:rPr>
              <w:t>n/a</w:t>
            </w:r>
          </w:p>
        </w:tc>
      </w:tr>
      <w:tr w:rsidR="00EE79AE" w:rsidRPr="00EE79AE" w14:paraId="64646764" w14:textId="77777777" w:rsidTr="00B32F93">
        <w:tc>
          <w:tcPr>
            <w:tcW w:w="4950" w:type="dxa"/>
          </w:tcPr>
          <w:p w14:paraId="38FBEBC4" w14:textId="77777777" w:rsidR="00EE79AE" w:rsidRPr="00EE79AE" w:rsidRDefault="00EE79AE" w:rsidP="00EE79AE">
            <w:pPr>
              <w:rPr>
                <w:color w:val="000000"/>
              </w:rPr>
            </w:pPr>
            <w:r w:rsidRPr="00EE79AE">
              <w:rPr>
                <w:color w:val="000000"/>
              </w:rPr>
              <w:t xml:space="preserve">December 2023 </w:t>
            </w:r>
          </w:p>
        </w:tc>
        <w:tc>
          <w:tcPr>
            <w:tcW w:w="1260" w:type="dxa"/>
            <w:tcBorders>
              <w:bottom w:val="single" w:sz="4" w:space="0" w:color="auto"/>
            </w:tcBorders>
          </w:tcPr>
          <w:p w14:paraId="3390A23C" w14:textId="77777777" w:rsidR="00EE79AE" w:rsidRPr="00EE79AE" w:rsidRDefault="00EE79AE" w:rsidP="00EE79AE">
            <w:pPr>
              <w:tabs>
                <w:tab w:val="decimal" w:pos="877"/>
              </w:tabs>
              <w:rPr>
                <w:color w:val="000000"/>
              </w:rPr>
            </w:pPr>
            <w:r w:rsidRPr="00EE79AE">
              <w:rPr>
                <w:color w:val="000000"/>
              </w:rPr>
              <w:t>1,408,998</w:t>
            </w:r>
          </w:p>
        </w:tc>
        <w:tc>
          <w:tcPr>
            <w:tcW w:w="1191" w:type="dxa"/>
          </w:tcPr>
          <w:p w14:paraId="4EAC9E14" w14:textId="77777777" w:rsidR="00EE79AE" w:rsidRPr="00EE79AE" w:rsidRDefault="00EE79AE" w:rsidP="00EE79AE">
            <w:pPr>
              <w:tabs>
                <w:tab w:val="decimal" w:pos="607"/>
              </w:tabs>
              <w:rPr>
                <w:color w:val="000000"/>
              </w:rPr>
            </w:pPr>
            <w:r w:rsidRPr="00EE79AE">
              <w:rPr>
                <w:color w:val="000000"/>
              </w:rPr>
              <w:t>6.21</w:t>
            </w:r>
          </w:p>
        </w:tc>
        <w:tc>
          <w:tcPr>
            <w:tcW w:w="2139" w:type="dxa"/>
          </w:tcPr>
          <w:p w14:paraId="4F394DA4" w14:textId="77777777" w:rsidR="00EE79AE" w:rsidRPr="00EE79AE" w:rsidRDefault="00EE79AE" w:rsidP="00EE79AE">
            <w:pPr>
              <w:jc w:val="center"/>
              <w:rPr>
                <w:color w:val="000000"/>
              </w:rPr>
            </w:pPr>
            <w:r w:rsidRPr="00EE79AE">
              <w:rPr>
                <w:color w:val="000000"/>
              </w:rPr>
              <w:t>June 2029</w:t>
            </w:r>
          </w:p>
        </w:tc>
      </w:tr>
      <w:tr w:rsidR="00EE79AE" w:rsidRPr="00EE79AE" w14:paraId="5AFD93A1" w14:textId="77777777" w:rsidTr="00B32F93">
        <w:tc>
          <w:tcPr>
            <w:tcW w:w="4950" w:type="dxa"/>
          </w:tcPr>
          <w:p w14:paraId="7ADF46DC" w14:textId="17019BFD" w:rsidR="00EE79AE" w:rsidRPr="00EE79AE" w:rsidRDefault="00EE79AE" w:rsidP="00EE79AE">
            <w:pPr>
              <w:rPr>
                <w:color w:val="000000"/>
              </w:rPr>
            </w:pPr>
            <w:r w:rsidRPr="00EE79AE">
              <w:rPr>
                <w:color w:val="000000"/>
              </w:rPr>
              <w:t xml:space="preserve">Outstanding </w:t>
            </w:r>
            <w:proofErr w:type="gramStart"/>
            <w:r w:rsidRPr="00EE79AE">
              <w:rPr>
                <w:color w:val="000000"/>
              </w:rPr>
              <w:t>at</w:t>
            </w:r>
            <w:proofErr w:type="gramEnd"/>
            <w:r w:rsidRPr="00EE79AE">
              <w:rPr>
                <w:color w:val="000000"/>
              </w:rPr>
              <w:t xml:space="preserve"> </w:t>
            </w:r>
            <w:r>
              <w:rPr>
                <w:color w:val="000000"/>
              </w:rPr>
              <w:t>March</w:t>
            </w:r>
            <w:r w:rsidRPr="00EE79AE">
              <w:rPr>
                <w:color w:val="000000"/>
              </w:rPr>
              <w:t xml:space="preserve"> 31, 202</w:t>
            </w:r>
            <w:r>
              <w:rPr>
                <w:color w:val="000000"/>
              </w:rPr>
              <w:t>4</w:t>
            </w:r>
          </w:p>
        </w:tc>
        <w:tc>
          <w:tcPr>
            <w:tcW w:w="1260" w:type="dxa"/>
            <w:tcBorders>
              <w:top w:val="single" w:sz="4" w:space="0" w:color="auto"/>
              <w:bottom w:val="double" w:sz="4" w:space="0" w:color="auto"/>
            </w:tcBorders>
          </w:tcPr>
          <w:p w14:paraId="62AE5676" w14:textId="3C09882F" w:rsidR="00EE79AE" w:rsidRPr="00EE79AE" w:rsidRDefault="00EE79AE" w:rsidP="00EE79AE">
            <w:pPr>
              <w:tabs>
                <w:tab w:val="decimal" w:pos="877"/>
              </w:tabs>
              <w:rPr>
                <w:color w:val="000000"/>
              </w:rPr>
            </w:pPr>
            <w:r>
              <w:rPr>
                <w:color w:val="000000"/>
              </w:rPr>
              <w:t>1,826,247</w:t>
            </w:r>
          </w:p>
        </w:tc>
        <w:tc>
          <w:tcPr>
            <w:tcW w:w="1191" w:type="dxa"/>
          </w:tcPr>
          <w:p w14:paraId="5537E67A" w14:textId="77777777" w:rsidR="00EE79AE" w:rsidRPr="00EE79AE" w:rsidRDefault="00EE79AE" w:rsidP="00EE79AE">
            <w:pPr>
              <w:tabs>
                <w:tab w:val="decimal" w:pos="793"/>
              </w:tabs>
              <w:rPr>
                <w:color w:val="000000"/>
              </w:rPr>
            </w:pPr>
          </w:p>
        </w:tc>
        <w:tc>
          <w:tcPr>
            <w:tcW w:w="2139" w:type="dxa"/>
          </w:tcPr>
          <w:p w14:paraId="5C91A897" w14:textId="77777777" w:rsidR="00EE79AE" w:rsidRPr="00EE79AE" w:rsidRDefault="00EE79AE" w:rsidP="00EE79AE">
            <w:pPr>
              <w:rPr>
                <w:color w:val="000000"/>
              </w:rPr>
            </w:pPr>
          </w:p>
        </w:tc>
      </w:tr>
    </w:tbl>
    <w:p w14:paraId="17CD931D" w14:textId="77777777" w:rsidR="00EE79AE" w:rsidRDefault="00EE79AE" w:rsidP="000A55AE">
      <w:pPr>
        <w:rPr>
          <w:color w:val="000000"/>
        </w:rPr>
      </w:pPr>
    </w:p>
    <w:p w14:paraId="78E20A9F" w14:textId="45EFC7D6" w:rsidR="005B58B3" w:rsidRPr="00F53171" w:rsidRDefault="00C33214" w:rsidP="005B58B3">
      <w:pPr>
        <w:pStyle w:val="BodyTitle"/>
        <w:spacing w:after="0"/>
        <w:rPr>
          <w:rFonts w:eastAsia="Times New Roman"/>
          <w:b/>
          <w:bCs/>
          <w:iCs/>
          <w:color w:val="000000"/>
          <w:u w:val="none"/>
        </w:rPr>
      </w:pPr>
      <w:r>
        <w:rPr>
          <w:rFonts w:eastAsia="Times New Roman"/>
          <w:b/>
          <w:bCs/>
          <w:iCs/>
          <w:color w:val="000000"/>
          <w:u w:val="none"/>
        </w:rPr>
        <w:t>6</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2973B6FC" w:rsidR="005B58B3" w:rsidRDefault="005B58B3" w:rsidP="005B58B3"/>
    <w:p w14:paraId="6A51C4C6" w14:textId="368AE6F2" w:rsidR="009B589E" w:rsidRDefault="008C1886" w:rsidP="009B589E">
      <w:pPr>
        <w:rPr>
          <w:color w:val="000000"/>
        </w:rPr>
      </w:pPr>
      <w:r>
        <w:rPr>
          <w:color w:val="000000"/>
        </w:rPr>
        <w:t>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w:t>
      </w:r>
      <w:r w:rsidR="00902A7C">
        <w:rPr>
          <w:color w:val="000000"/>
        </w:rPr>
        <w:t>s</w:t>
      </w:r>
      <w:r>
        <w:rPr>
          <w:color w:val="000000"/>
        </w:rPr>
        <w:t xml:space="preserve"> to whom the award</w:t>
      </w:r>
      <w:r w:rsidR="00902A7C">
        <w:rPr>
          <w:color w:val="000000"/>
        </w:rPr>
        <w:t>s</w:t>
      </w:r>
      <w:r>
        <w:rPr>
          <w:color w:val="000000"/>
        </w:rPr>
        <w:t xml:space="preserve"> </w:t>
      </w:r>
      <w:r w:rsidR="00902A7C">
        <w:rPr>
          <w:color w:val="000000"/>
        </w:rPr>
        <w:t xml:space="preserve">are </w:t>
      </w:r>
      <w:r>
        <w:rPr>
          <w:color w:val="000000"/>
        </w:rPr>
        <w:t xml:space="preserve">granted. </w:t>
      </w:r>
      <w:r w:rsidR="009B589E">
        <w:t>Stock-based compensation expense related to stock option grants was $</w:t>
      </w:r>
      <w:r w:rsidR="00175951">
        <w:t>103,569</w:t>
      </w:r>
      <w:r w:rsidR="009B589E">
        <w:t xml:space="preserve"> and $</w:t>
      </w:r>
      <w:r w:rsidR="00E457A0">
        <w:t>228,039</w:t>
      </w:r>
      <w:r w:rsidR="009B589E">
        <w:t xml:space="preserve"> during the three-month periods ended March 31, </w:t>
      </w:r>
      <w:proofErr w:type="gramStart"/>
      <w:r w:rsidR="009B589E">
        <w:t>202</w:t>
      </w:r>
      <w:r w:rsidR="00E457A0">
        <w:t>4</w:t>
      </w:r>
      <w:proofErr w:type="gramEnd"/>
      <w:r w:rsidR="009B589E">
        <w:t xml:space="preserve"> and 202</w:t>
      </w:r>
      <w:r w:rsidR="00E457A0">
        <w:t>3</w:t>
      </w:r>
      <w:r w:rsidR="009B589E">
        <w:t>, respectively</w:t>
      </w:r>
      <w:r>
        <w:t>, and a</w:t>
      </w:r>
      <w:r w:rsidR="009B589E">
        <w:rPr>
          <w:color w:val="000000"/>
        </w:rPr>
        <w:t>s of March 31, 202</w:t>
      </w:r>
      <w:r w:rsidR="00E457A0">
        <w:rPr>
          <w:color w:val="000000"/>
        </w:rPr>
        <w:t>4</w:t>
      </w:r>
      <w:r w:rsidR="009B589E">
        <w:rPr>
          <w:color w:val="000000"/>
        </w:rPr>
        <w:t>, there is $</w:t>
      </w:r>
      <w:r w:rsidR="00175951">
        <w:rPr>
          <w:color w:val="000000"/>
        </w:rPr>
        <w:t>451,023</w:t>
      </w:r>
      <w:r w:rsidR="009B589E">
        <w:rPr>
          <w:color w:val="000000"/>
        </w:rPr>
        <w:t xml:space="preserve"> of unrecognized compensation expense that we expect to recognize over a weighted-average period of </w:t>
      </w:r>
      <w:r w:rsidR="00175951">
        <w:rPr>
          <w:color w:val="000000"/>
        </w:rPr>
        <w:t>1.3</w:t>
      </w:r>
      <w:r w:rsidR="009B589E">
        <w:rPr>
          <w:color w:val="000000"/>
        </w:rPr>
        <w:t xml:space="preserve"> years.</w:t>
      </w:r>
    </w:p>
    <w:p w14:paraId="4411B6B4" w14:textId="77777777" w:rsidR="00E457A0" w:rsidRDefault="00E457A0" w:rsidP="009B589E">
      <w:pPr>
        <w:rPr>
          <w:color w:val="000000"/>
        </w:rPr>
      </w:pPr>
    </w:p>
    <w:p w14:paraId="615D9CE7" w14:textId="377700AF" w:rsidR="009B589E" w:rsidRDefault="008C1886" w:rsidP="009B589E">
      <w:pPr>
        <w:rPr>
          <w:color w:val="000000"/>
        </w:rPr>
      </w:pPr>
      <w:r w:rsidRPr="008C1886">
        <w:t xml:space="preserve">We have </w:t>
      </w:r>
      <w:r w:rsidR="00CC7B89">
        <w:t xml:space="preserve">also </w:t>
      </w:r>
      <w:r w:rsidRPr="008C1886">
        <w:t xml:space="preserve">issued shares of </w:t>
      </w:r>
      <w:r w:rsidR="00CC7B89">
        <w:t xml:space="preserve">our </w:t>
      </w:r>
      <w:r w:rsidRPr="008C1886">
        <w:t xml:space="preserve">restricted common stock to consultants and recognize the related expense over the terms of the related agreements. </w:t>
      </w:r>
      <w:r w:rsidR="009B589E">
        <w:t xml:space="preserve">During the three-month periods ended March 31, </w:t>
      </w:r>
      <w:proofErr w:type="gramStart"/>
      <w:r w:rsidR="009B589E">
        <w:t>202</w:t>
      </w:r>
      <w:r w:rsidR="00E457A0">
        <w:t>4</w:t>
      </w:r>
      <w:proofErr w:type="gramEnd"/>
      <w:r w:rsidR="009B589E">
        <w:t xml:space="preserve"> and 202</w:t>
      </w:r>
      <w:r w:rsidR="00E457A0">
        <w:t>3</w:t>
      </w:r>
      <w:r w:rsidR="009B589E">
        <w:t xml:space="preserve"> we recorded stock-based compensation expense of $</w:t>
      </w:r>
      <w:r w:rsidR="00175951">
        <w:t>54,167</w:t>
      </w:r>
      <w:r w:rsidR="009B589E">
        <w:t xml:space="preserve"> and $</w:t>
      </w:r>
      <w:r w:rsidR="00E457A0">
        <w:t>18,000</w:t>
      </w:r>
      <w:r w:rsidR="009B589E">
        <w:t>, respectively, associated with common stock issued for consulting services.</w:t>
      </w:r>
    </w:p>
    <w:p w14:paraId="103D20D7" w14:textId="77777777" w:rsidR="00E457A0" w:rsidRDefault="00E457A0" w:rsidP="000A55AE">
      <w:pPr>
        <w:rPr>
          <w:color w:val="000000"/>
        </w:rPr>
      </w:pPr>
    </w:p>
    <w:p w14:paraId="3C629572" w14:textId="77777777" w:rsidR="003D7886" w:rsidRDefault="003D7886">
      <w:pPr>
        <w:rPr>
          <w:b/>
        </w:rPr>
      </w:pPr>
      <w:r>
        <w:br w:type="page"/>
      </w:r>
    </w:p>
    <w:p w14:paraId="2E26F5C9" w14:textId="0165E082" w:rsidR="00C33214" w:rsidRPr="001C6303" w:rsidRDefault="00C33214" w:rsidP="00C33214">
      <w:pPr>
        <w:pStyle w:val="ListNumbering"/>
        <w:spacing w:after="0"/>
      </w:pPr>
      <w:r>
        <w:lastRenderedPageBreak/>
        <w:t>7</w:t>
      </w:r>
      <w:r w:rsidRPr="001C6303">
        <w:t>.</w:t>
      </w:r>
      <w:r w:rsidRPr="001C6303">
        <w:tab/>
      </w:r>
      <w:r>
        <w:t xml:space="preserve">Net </w:t>
      </w:r>
      <w:r w:rsidRPr="001C6303">
        <w:t>Loss Per Share</w:t>
      </w:r>
    </w:p>
    <w:p w14:paraId="27AFE495" w14:textId="77777777" w:rsidR="00C33214" w:rsidRDefault="00C33214" w:rsidP="00C33214">
      <w:pPr>
        <w:pStyle w:val="BodyText"/>
        <w:spacing w:after="0"/>
      </w:pPr>
    </w:p>
    <w:p w14:paraId="21E0E353" w14:textId="07194207" w:rsidR="00C33214" w:rsidRDefault="00C33214" w:rsidP="00C33214">
      <w:pPr>
        <w:pStyle w:val="BodyText"/>
        <w:spacing w:after="0"/>
      </w:pPr>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w:t>
      </w:r>
      <w:r w:rsidRPr="00E321CC">
        <w:t xml:space="preserve">The Company’s 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14" w:name="_Hlk107585474"/>
      <w:r>
        <w:t xml:space="preserve">The securities that could potentially dilute basic earnings per share in the future and that have been excluded </w:t>
      </w:r>
      <w:bookmarkEnd w:id="14"/>
      <w:r>
        <w:t>from the computation of diluted net loss per share</w:t>
      </w:r>
      <w:r w:rsidRPr="00E321CC">
        <w:t xml:space="preserve"> totaled </w:t>
      </w:r>
      <w:r w:rsidR="00583F67">
        <w:t>1,721,895</w:t>
      </w:r>
      <w:r w:rsidRPr="00E321CC">
        <w:t xml:space="preserve"> and </w:t>
      </w:r>
      <w:r w:rsidR="00583F67">
        <w:t>1,029,529</w:t>
      </w:r>
      <w:r w:rsidR="00E457A0">
        <w:t xml:space="preserve"> </w:t>
      </w:r>
      <w:r w:rsidRPr="00E321CC">
        <w:t xml:space="preserve">shares </w:t>
      </w:r>
      <w:proofErr w:type="gramStart"/>
      <w:r w:rsidRPr="00E321CC">
        <w:t>at</w:t>
      </w:r>
      <w:proofErr w:type="gramEnd"/>
      <w:r w:rsidRPr="00E321CC">
        <w:t xml:space="preserve"> </w:t>
      </w:r>
      <w:r w:rsidR="00036C2E">
        <w:t>March</w:t>
      </w:r>
      <w:r w:rsidRPr="00E321CC">
        <w:t xml:space="preserve"> 3</w:t>
      </w:r>
      <w:r w:rsidR="00036C2E">
        <w:t>1</w:t>
      </w:r>
      <w:r w:rsidRPr="00E321CC">
        <w:t>, 202</w:t>
      </w:r>
      <w:r w:rsidR="00E457A0">
        <w:t>4</w:t>
      </w:r>
      <w:r w:rsidRPr="00E321CC">
        <w:t xml:space="preserve"> and 202</w:t>
      </w:r>
      <w:r w:rsidR="00E457A0">
        <w:t>3</w:t>
      </w:r>
      <w:r w:rsidRPr="00E321CC">
        <w:t>, respectively.</w:t>
      </w:r>
    </w:p>
    <w:p w14:paraId="6D646186" w14:textId="77777777" w:rsidR="00E457A0" w:rsidRDefault="00E457A0" w:rsidP="000A55AE">
      <w:pPr>
        <w:rPr>
          <w:color w:val="000000"/>
        </w:rPr>
      </w:pPr>
    </w:p>
    <w:p w14:paraId="45163D60" w14:textId="2CD49D44" w:rsidR="00881E20" w:rsidRPr="001C6303" w:rsidRDefault="00C33214" w:rsidP="000A55AE">
      <w:pPr>
        <w:pStyle w:val="ListNumbering"/>
        <w:spacing w:after="0"/>
      </w:pPr>
      <w:r>
        <w:t>8</w:t>
      </w:r>
      <w:r w:rsidR="00881E20" w:rsidRPr="001C6303">
        <w:t>.</w:t>
      </w:r>
      <w:r w:rsidR="00881E20" w:rsidRPr="001C6303">
        <w:tab/>
        <w:t>Income Taxes</w:t>
      </w:r>
    </w:p>
    <w:p w14:paraId="0850CD3F" w14:textId="38305047" w:rsidR="000A55AE" w:rsidRDefault="000A55AE" w:rsidP="000A55AE">
      <w:pPr>
        <w:pStyle w:val="BodyText"/>
        <w:spacing w:after="0"/>
      </w:pPr>
    </w:p>
    <w:p w14:paraId="5D139C65" w14:textId="24B246E4" w:rsidR="00C33214" w:rsidRDefault="00C33214" w:rsidP="00C33214">
      <w:pPr>
        <w:pStyle w:val="BodyText"/>
        <w:spacing w:after="0"/>
      </w:pPr>
      <w:r>
        <w:t xml:space="preserve">No provision for income taxes was recorded in either of the </w:t>
      </w:r>
      <w:r w:rsidR="00036C2E">
        <w:t>three</w:t>
      </w:r>
      <w:r>
        <w:t xml:space="preserve">-month periods ended </w:t>
      </w:r>
      <w:r w:rsidR="00036C2E">
        <w:t>March</w:t>
      </w:r>
      <w:r>
        <w:t xml:space="preserve"> 3</w:t>
      </w:r>
      <w:r w:rsidR="00036C2E">
        <w:t>1</w:t>
      </w:r>
      <w:r>
        <w:t xml:space="preserve">, </w:t>
      </w:r>
      <w:proofErr w:type="gramStart"/>
      <w:r>
        <w:t>202</w:t>
      </w:r>
      <w:r w:rsidR="00E457A0">
        <w:t>4</w:t>
      </w:r>
      <w:proofErr w:type="gramEnd"/>
      <w:r>
        <w:t xml:space="preserve"> and 202</w:t>
      </w:r>
      <w:r w:rsidR="00E457A0">
        <w:t>3</w:t>
      </w:r>
      <w:r>
        <w:t xml:space="preserve">. The Company remains in a cumulative loss position with a full valuation allowance recorded against its net deferred income tax assets as of </w:t>
      </w:r>
      <w:r w:rsidR="00036C2E">
        <w:t>March</w:t>
      </w:r>
      <w:r>
        <w:t xml:space="preserve"> 3</w:t>
      </w:r>
      <w:r w:rsidR="00036C2E">
        <w:t>1</w:t>
      </w:r>
      <w:r>
        <w:t>, 202</w:t>
      </w:r>
      <w:r w:rsidR="00E457A0">
        <w:t>4</w:t>
      </w:r>
      <w:r>
        <w:t>.</w:t>
      </w:r>
    </w:p>
    <w:p w14:paraId="0C44511C" w14:textId="74075BE4" w:rsidR="000A55AE" w:rsidRDefault="000A55AE" w:rsidP="000A55AE">
      <w:pPr>
        <w:pStyle w:val="BodyText"/>
        <w:spacing w:after="0"/>
      </w:pPr>
    </w:p>
    <w:p w14:paraId="1E19D220" w14:textId="044BBE32" w:rsidR="00D93D3B" w:rsidRPr="001C6303" w:rsidRDefault="00D93D3B" w:rsidP="00D93D3B">
      <w:pPr>
        <w:pStyle w:val="ListNumbering"/>
        <w:spacing w:after="0"/>
      </w:pPr>
      <w:r>
        <w:t>9</w:t>
      </w:r>
      <w:r w:rsidRPr="001C6303">
        <w:t>.</w:t>
      </w:r>
      <w:r w:rsidRPr="001C6303">
        <w:tab/>
      </w:r>
      <w:r>
        <w:t>Subsequent Events</w:t>
      </w:r>
    </w:p>
    <w:p w14:paraId="5F9EE306" w14:textId="68CC4400" w:rsidR="00D93D3B" w:rsidRDefault="00D93D3B" w:rsidP="00D93D3B">
      <w:pPr>
        <w:pStyle w:val="BodyText"/>
        <w:spacing w:after="0"/>
      </w:pPr>
    </w:p>
    <w:p w14:paraId="35656D55" w14:textId="2B6E8483" w:rsidR="00B256C7" w:rsidRDefault="00FE1869" w:rsidP="00D93D3B">
      <w:pPr>
        <w:pStyle w:val="BodyText"/>
        <w:spacing w:after="0"/>
      </w:pPr>
      <w:bookmarkStart w:id="15" w:name="_Hlk165968398"/>
      <w:r>
        <w:t>On</w:t>
      </w:r>
      <w:r w:rsidR="00B256C7">
        <w:t xml:space="preserve"> May</w:t>
      </w:r>
      <w:r>
        <w:t xml:space="preserve"> 10,</w:t>
      </w:r>
      <w:r w:rsidR="00B256C7">
        <w:t xml:space="preserve"> 2024, we conducted a bridge financing through the issuance and sale of 10% Original Issue Discount Promissory Notes (the “Notes”) with an aggregate principal amount of $</w:t>
      </w:r>
      <w:r w:rsidR="005F365B">
        <w:t>150,000</w:t>
      </w:r>
      <w:r w:rsidR="00B256C7">
        <w:t xml:space="preserve"> to members of our Board of Directors and senior management. The Notes</w:t>
      </w:r>
      <w:r>
        <w:t xml:space="preserve"> are unsecured, bear interest at a rate of 15% per annum, and mature upon the earlier of (i) six months from the issue date o</w:t>
      </w:r>
      <w:r w:rsidR="000969EB">
        <w:t>r</w:t>
      </w:r>
      <w:r>
        <w:t xml:space="preserve"> (ii) three days following the date the Company completes an offering of its common stock with gross proceeds of not less than $5 million.</w:t>
      </w:r>
    </w:p>
    <w:bookmarkEnd w:id="15"/>
    <w:p w14:paraId="690F43BF" w14:textId="77777777" w:rsidR="00B256C7" w:rsidRDefault="00B256C7" w:rsidP="00D93D3B">
      <w:pPr>
        <w:pStyle w:val="BodyText"/>
        <w:spacing w:after="0"/>
      </w:pPr>
    </w:p>
    <w:p w14:paraId="16344461" w14:textId="26D3D04B" w:rsidR="00D93D3B" w:rsidRDefault="00D93D3B" w:rsidP="000A55AE">
      <w:pPr>
        <w:pStyle w:val="BodyText"/>
        <w:spacing w:after="0"/>
      </w:pPr>
    </w:p>
    <w:p w14:paraId="6E23F9E8" w14:textId="77777777" w:rsidR="00E5783E" w:rsidRDefault="00E5783E">
      <w:pPr>
        <w:rPr>
          <w:i/>
        </w:rPr>
      </w:pPr>
    </w:p>
    <w:p w14:paraId="27E9C1B0" w14:textId="77777777" w:rsidR="00B74BA5" w:rsidRDefault="00B74BA5">
      <w:pPr>
        <w:rPr>
          <w:b/>
        </w:rPr>
      </w:pPr>
      <w:r>
        <w:br w:type="page"/>
      </w:r>
    </w:p>
    <w:p w14:paraId="511152B0" w14:textId="7E51EC78" w:rsidR="00BD6BBE" w:rsidRPr="001C6303" w:rsidRDefault="0054260E" w:rsidP="000A55AE">
      <w:pPr>
        <w:pStyle w:val="Heading2"/>
        <w:numPr>
          <w:ilvl w:val="0"/>
          <w:numId w:val="0"/>
        </w:numPr>
        <w:tabs>
          <w:tab w:val="left" w:pos="1080"/>
        </w:tabs>
        <w:spacing w:after="0"/>
      </w:pPr>
      <w:r w:rsidRPr="009E2F9F">
        <w:rPr>
          <w:u w:val="none"/>
        </w:rPr>
        <w:lastRenderedPageBreak/>
        <w:t>Item 2</w:t>
      </w:r>
      <w:r w:rsidRPr="009E2F9F">
        <w:rPr>
          <w:u w:val="none"/>
        </w:rPr>
        <w:tab/>
      </w:r>
      <w:r w:rsidR="00BD6BBE" w:rsidRPr="009E2F9F">
        <w:t>Management</w:t>
      </w:r>
      <w:r w:rsidR="00B44A4C" w:rsidRPr="009E2F9F">
        <w:t>’</w:t>
      </w:r>
      <w:r w:rsidR="00BD6BBE" w:rsidRPr="009E2F9F">
        <w:t xml:space="preserve">s Discussion and Analysis of Financial Condition </w:t>
      </w:r>
      <w:proofErr w:type="gramStart"/>
      <w:r w:rsidR="00BD6BBE" w:rsidRPr="009E2F9F">
        <w:t>And</w:t>
      </w:r>
      <w:proofErr w:type="gramEnd"/>
      <w:r w:rsidR="00BD6BBE" w:rsidRPr="009E2F9F">
        <w:t xml:space="preserve"> Results of Operations</w:t>
      </w:r>
      <w:bookmarkEnd w:id="11"/>
    </w:p>
    <w:p w14:paraId="10D16227" w14:textId="7DF0C357" w:rsidR="000A55AE" w:rsidRDefault="000A55AE" w:rsidP="000A55AE">
      <w:pPr>
        <w:pStyle w:val="Subtitle"/>
        <w:spacing w:after="0"/>
      </w:pPr>
    </w:p>
    <w:p w14:paraId="577F7BF7" w14:textId="39F1DCDA" w:rsidR="00B70FE8" w:rsidRPr="0009354D" w:rsidRDefault="00B70FE8" w:rsidP="00B70FE8">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w:t>
      </w:r>
      <w:r w:rsidR="00E53B9F">
        <w:rPr>
          <w:bCs/>
          <w:i/>
          <w:iCs/>
        </w:rPr>
        <w:t>3</w:t>
      </w:r>
      <w:r w:rsidRPr="0009354D">
        <w:rPr>
          <w:bCs/>
          <w:i/>
          <w:iCs/>
        </w:rPr>
        <w:t xml:space="preserve">, which was filed with the Securities and Exchange Commission on </w:t>
      </w:r>
      <w:r w:rsidR="00E53B9F">
        <w:rPr>
          <w:bCs/>
          <w:i/>
          <w:iCs/>
        </w:rPr>
        <w:t>February</w:t>
      </w:r>
      <w:r w:rsidRPr="0009354D">
        <w:rPr>
          <w:bCs/>
          <w:i/>
          <w:iCs/>
        </w:rPr>
        <w:t xml:space="preserve"> </w:t>
      </w:r>
      <w:r w:rsidR="00C33214">
        <w:rPr>
          <w:bCs/>
          <w:i/>
          <w:iCs/>
        </w:rPr>
        <w:t>2</w:t>
      </w:r>
      <w:r w:rsidR="00E53B9F">
        <w:rPr>
          <w:bCs/>
          <w:i/>
          <w:iCs/>
        </w:rPr>
        <w:t>9</w:t>
      </w:r>
      <w:r w:rsidRPr="0009354D">
        <w:rPr>
          <w:bCs/>
          <w:i/>
          <w:iCs/>
        </w:rPr>
        <w:t>, 20</w:t>
      </w:r>
      <w:r w:rsidR="00C33214">
        <w:rPr>
          <w:bCs/>
          <w:i/>
          <w:iCs/>
        </w:rPr>
        <w:t>2</w:t>
      </w:r>
      <w:r w:rsidR="00E53B9F">
        <w:rPr>
          <w:bCs/>
          <w:i/>
          <w:iCs/>
        </w:rPr>
        <w:t>4</w:t>
      </w:r>
      <w:r w:rsidRPr="0009354D">
        <w:rPr>
          <w:bCs/>
          <w:i/>
          <w:iCs/>
        </w:rPr>
        <w:t>.</w:t>
      </w:r>
    </w:p>
    <w:p w14:paraId="50C394BC" w14:textId="77777777" w:rsidR="00B70FE8" w:rsidRPr="0009354D" w:rsidRDefault="00B70FE8" w:rsidP="00B70FE8">
      <w:pPr>
        <w:tabs>
          <w:tab w:val="decimal" w:pos="9180"/>
        </w:tabs>
        <w:rPr>
          <w:bCs/>
        </w:rPr>
      </w:pPr>
    </w:p>
    <w:p w14:paraId="7A2DE09C" w14:textId="77777777" w:rsidR="00B70FE8" w:rsidRPr="0009354D" w:rsidRDefault="00B70FE8" w:rsidP="00B70FE8">
      <w:pPr>
        <w:tabs>
          <w:tab w:val="decimal" w:pos="9180"/>
        </w:tabs>
        <w:rPr>
          <w:b/>
        </w:rPr>
      </w:pPr>
      <w:r w:rsidRPr="0009354D">
        <w:rPr>
          <w:b/>
        </w:rPr>
        <w:t>Forward-Looking Statements</w:t>
      </w:r>
    </w:p>
    <w:p w14:paraId="4D0ECB97" w14:textId="77777777" w:rsidR="00B70FE8" w:rsidRPr="0009354D" w:rsidRDefault="00B70FE8" w:rsidP="00B70FE8">
      <w:pPr>
        <w:tabs>
          <w:tab w:val="decimal" w:pos="9180"/>
        </w:tabs>
        <w:rPr>
          <w:bCs/>
        </w:rPr>
      </w:pPr>
    </w:p>
    <w:p w14:paraId="4BA530B4" w14:textId="341916FD" w:rsidR="00B70FE8" w:rsidRPr="00CC7B89" w:rsidRDefault="00B70FE8" w:rsidP="00B70FE8">
      <w:pPr>
        <w:tabs>
          <w:tab w:val="decimal" w:pos="9180"/>
        </w:tabs>
        <w:rPr>
          <w:bCs/>
          <w:i/>
          <w:iCs/>
        </w:rPr>
      </w:pPr>
      <w:r w:rsidRPr="00CC7B89">
        <w:rPr>
          <w:bCs/>
          <w:i/>
          <w:iCs/>
        </w:rPr>
        <w:t xml:space="preserve">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w:t>
      </w:r>
      <w:r w:rsidR="003F46F7">
        <w:rPr>
          <w:bCs/>
          <w:i/>
          <w:iCs/>
        </w:rPr>
        <w:t xml:space="preserve">future governmental grants, </w:t>
      </w:r>
      <w:r w:rsidRPr="00CC7B89">
        <w:rPr>
          <w:bCs/>
          <w:i/>
          <w:iCs/>
        </w:rPr>
        <w:t>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sidR="00E53B9F">
        <w:rPr>
          <w:bCs/>
          <w:i/>
          <w:iCs/>
        </w:rPr>
        <w:t>3</w:t>
      </w:r>
      <w:r w:rsidRPr="00CC7B89">
        <w:rPr>
          <w:bCs/>
          <w:i/>
          <w:i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7C583FCF" w14:textId="3D1CF61B" w:rsidR="000A55AE" w:rsidRDefault="000A55AE" w:rsidP="000A55AE">
      <w:pPr>
        <w:pStyle w:val="BodyTitle"/>
        <w:spacing w:after="0"/>
        <w:rPr>
          <w:b/>
          <w:u w:val="none"/>
        </w:rPr>
      </w:pPr>
    </w:p>
    <w:p w14:paraId="2F61304F" w14:textId="77777777" w:rsidR="00E53B9F" w:rsidRPr="00DD33CB" w:rsidRDefault="00E53B9F" w:rsidP="00E53B9F">
      <w:pPr>
        <w:jc w:val="both"/>
        <w:rPr>
          <w:b/>
          <w:bCs/>
        </w:rPr>
      </w:pPr>
      <w:r w:rsidRPr="00DD33CB">
        <w:rPr>
          <w:b/>
          <w:bCs/>
        </w:rPr>
        <w:t>Overview and Recent Developments</w:t>
      </w:r>
    </w:p>
    <w:p w14:paraId="3E87100E" w14:textId="77777777" w:rsidR="00E53B9F" w:rsidRPr="00DD33CB" w:rsidRDefault="00E53B9F" w:rsidP="00E53B9F">
      <w:pPr>
        <w:jc w:val="both"/>
      </w:pPr>
    </w:p>
    <w:p w14:paraId="5E7FBC41" w14:textId="77777777" w:rsidR="00E53B9F" w:rsidRDefault="00E53B9F" w:rsidP="00E6483E">
      <w:pPr>
        <w:rPr>
          <w:color w:val="000000"/>
        </w:rPr>
      </w:pPr>
      <w:r w:rsidRPr="00DD33CB">
        <w:rPr>
          <w:color w:val="000000"/>
        </w:rPr>
        <w:t xml:space="preserve">GeoVax is a clinical-stage biotechnology company developing immunotherapies and vaccines against infectious diseases and solid tumor cancers using novel vector vaccine platforms. GeoVax’s product pipeline includes ongoing human clinical trials for a next-generation </w:t>
      </w:r>
      <w:r>
        <w:rPr>
          <w:color w:val="000000"/>
        </w:rPr>
        <w:t>Covid</w:t>
      </w:r>
      <w:r w:rsidRPr="00DD33CB">
        <w:rPr>
          <w:color w:val="000000"/>
        </w:rPr>
        <w:t>-19 vaccine and a gene-directed therapy against advanced head and neck cancer. Additional research and development programs include preventive vaccines against Mpox and smallpox, hemorrhagic fever viruses (Ebola Zaire, Ebola Sudan and Marburg), Zika virus and malaria, as well as immunotherapies for multiple solid tumors.</w:t>
      </w:r>
    </w:p>
    <w:p w14:paraId="567284BB" w14:textId="77777777" w:rsidR="009E2F9F" w:rsidRPr="00DD33CB" w:rsidRDefault="009E2F9F" w:rsidP="00E6483E">
      <w:pPr>
        <w:rPr>
          <w:color w:val="000000"/>
        </w:rPr>
      </w:pPr>
    </w:p>
    <w:p w14:paraId="1BAB91AF" w14:textId="77777777" w:rsidR="009E2F9F" w:rsidRPr="00DD33CB" w:rsidRDefault="009E2F9F" w:rsidP="00E6483E">
      <w:pPr>
        <w:rPr>
          <w:color w:val="000000"/>
        </w:rPr>
      </w:pPr>
      <w:r w:rsidRPr="00DD33CB">
        <w:rPr>
          <w:color w:val="000000"/>
        </w:rPr>
        <w:t>Our corporate strategy is to advance, protect and exploit our differentiated vaccine/immunotherapy technologies leading to the successful development of preventive and therapeutic vaccines and immunotherapies against infectious diseases and various cancers.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6565FB47" w14:textId="77777777" w:rsidR="00E53B9F" w:rsidRPr="00DD33CB" w:rsidRDefault="00E53B9F" w:rsidP="00E53B9F">
      <w:pPr>
        <w:jc w:val="both"/>
        <w:rPr>
          <w:color w:val="000000"/>
        </w:rPr>
      </w:pPr>
    </w:p>
    <w:p w14:paraId="1465C1B1" w14:textId="77777777" w:rsidR="00E53B9F" w:rsidRPr="00DD33CB" w:rsidRDefault="00E53B9F" w:rsidP="00E6483E">
      <w:r w:rsidRPr="00DD33CB">
        <w:t>Our programs are in various stages of development, the most significant of which are summarized below along with recent developments: </w:t>
      </w:r>
    </w:p>
    <w:p w14:paraId="29984D68" w14:textId="77777777" w:rsidR="009E2F9F" w:rsidRDefault="009E2F9F" w:rsidP="00E6483E"/>
    <w:p w14:paraId="6C44ED58" w14:textId="13B28982" w:rsidR="00E53B9F" w:rsidRPr="00DD33CB" w:rsidRDefault="00E53B9F" w:rsidP="00E6483E">
      <w:r w:rsidRPr="00DD33CB">
        <w:rPr>
          <w:b/>
          <w:bCs/>
          <w:i/>
          <w:iCs/>
        </w:rPr>
        <w:t xml:space="preserve">GEO-CM04S1 </w:t>
      </w:r>
      <w:r w:rsidRPr="00DD33CB">
        <w:t>–</w:t>
      </w:r>
      <w:r w:rsidRPr="00DD33CB">
        <w:rPr>
          <w:b/>
          <w:bCs/>
          <w:i/>
          <w:iCs/>
        </w:rPr>
        <w:t xml:space="preserve"> Immunocompromised</w:t>
      </w:r>
      <w:r>
        <w:rPr>
          <w:b/>
          <w:bCs/>
          <w:i/>
          <w:iCs/>
        </w:rPr>
        <w:t>/Cell Transplant</w:t>
      </w:r>
      <w:r w:rsidRPr="00DD33CB">
        <w:rPr>
          <w:b/>
          <w:bCs/>
          <w:i/>
          <w:iCs/>
        </w:rPr>
        <w:t xml:space="preserve"> </w:t>
      </w:r>
      <w:r w:rsidR="00C67341">
        <w:rPr>
          <w:b/>
          <w:bCs/>
          <w:i/>
          <w:iCs/>
        </w:rPr>
        <w:t xml:space="preserve">Phase 2 </w:t>
      </w:r>
      <w:r w:rsidRPr="00DD33CB">
        <w:rPr>
          <w:b/>
          <w:bCs/>
          <w:i/>
          <w:iCs/>
        </w:rPr>
        <w:t>Trial</w:t>
      </w:r>
    </w:p>
    <w:p w14:paraId="2B5233BE" w14:textId="77777777" w:rsidR="00E53B9F" w:rsidRPr="00DD33CB" w:rsidRDefault="00E53B9F" w:rsidP="00E6483E">
      <w:pPr>
        <w:ind w:left="360" w:hanging="360"/>
        <w:rPr>
          <w:color w:val="000000"/>
          <w:lang w:eastAsia="zh-CN"/>
        </w:rPr>
      </w:pPr>
    </w:p>
    <w:p w14:paraId="5AA20F8F" w14:textId="7FEAF5BD" w:rsidR="00E53B9F" w:rsidRPr="00DD33CB" w:rsidRDefault="00E53B9F" w:rsidP="00E6483E">
      <w:pPr>
        <w:ind w:left="360" w:hanging="360"/>
        <w:rPr>
          <w:color w:val="000000"/>
          <w:lang w:eastAsia="zh-CN"/>
        </w:rPr>
      </w:pPr>
      <w:r w:rsidRPr="00DD33CB">
        <w:rPr>
          <w:color w:val="000000"/>
          <w:lang w:eastAsia="zh-CN"/>
        </w:rPr>
        <w:t>●</w:t>
      </w:r>
      <w:r w:rsidRPr="00DD33CB">
        <w:rPr>
          <w:color w:val="000000"/>
          <w:lang w:eastAsia="zh-CN"/>
        </w:rPr>
        <w:tab/>
        <w:t xml:space="preserve">GEO-CM04S1 is undergoing a Phase 2 </w:t>
      </w:r>
      <w:r>
        <w:rPr>
          <w:color w:val="000000"/>
          <w:lang w:eastAsia="zh-CN"/>
        </w:rPr>
        <w:t xml:space="preserve">multi-site </w:t>
      </w:r>
      <w:r w:rsidRPr="00DD33CB">
        <w:rPr>
          <w:color w:val="000000"/>
          <w:lang w:eastAsia="zh-CN"/>
        </w:rPr>
        <w:t xml:space="preserve">clinical trial (ClinicalTrials.gov Identifier: NCT04977024), evaluating its safety and efficacy, compared to either the Pfizer/BioNTech or Moderna mRNA-based vaccine, as a preventive </w:t>
      </w:r>
      <w:r>
        <w:rPr>
          <w:color w:val="000000"/>
          <w:lang w:eastAsia="zh-CN"/>
        </w:rPr>
        <w:t>Covid</w:t>
      </w:r>
      <w:r w:rsidRPr="00DD33CB">
        <w:rPr>
          <w:color w:val="000000"/>
          <w:lang w:eastAsia="zh-CN"/>
        </w:rPr>
        <w:t>-19 vaccine in high-risk immunocompromised patients (e.g. patients who have previously received either an allogeneic hematopoietic cell transplant, an autologous hematopoietic cell transplant or chimeric antigen receptor (CAR) T cell therapy).</w:t>
      </w:r>
      <w:r>
        <w:rPr>
          <w:color w:val="000000"/>
          <w:lang w:eastAsia="zh-CN"/>
        </w:rPr>
        <w:t xml:space="preserve"> D</w:t>
      </w:r>
      <w:r w:rsidRPr="00DD33CB">
        <w:rPr>
          <w:color w:val="000000"/>
          <w:lang w:eastAsia="zh-CN"/>
        </w:rPr>
        <w:t xml:space="preserve">ata </w:t>
      </w:r>
      <w:r>
        <w:rPr>
          <w:color w:val="000000"/>
          <w:lang w:eastAsia="zh-CN"/>
        </w:rPr>
        <w:t xml:space="preserve">published </w:t>
      </w:r>
      <w:r w:rsidRPr="00DD33CB">
        <w:rPr>
          <w:color w:val="000000"/>
          <w:lang w:eastAsia="zh-CN"/>
        </w:rPr>
        <w:t>from the open-label safety portion of the trial indicating that GEO-CM04S1 is highly immunogenic, inducing both antibody responses, including neutralizing antibodies, and T cell responses.</w:t>
      </w:r>
    </w:p>
    <w:p w14:paraId="72901ADD" w14:textId="77777777" w:rsidR="00E53B9F" w:rsidRPr="00DD33CB" w:rsidRDefault="00E53B9F" w:rsidP="00E53B9F">
      <w:pPr>
        <w:ind w:left="360" w:hanging="360"/>
        <w:jc w:val="both"/>
        <w:rPr>
          <w:color w:val="000000"/>
          <w:lang w:eastAsia="zh-CN"/>
        </w:rPr>
      </w:pPr>
    </w:p>
    <w:p w14:paraId="2EC6363D" w14:textId="77777777" w:rsidR="00151FDA" w:rsidRDefault="00151FDA">
      <w:pPr>
        <w:rPr>
          <w:b/>
          <w:bCs/>
          <w:i/>
          <w:iCs/>
        </w:rPr>
      </w:pPr>
      <w:r>
        <w:rPr>
          <w:b/>
          <w:bCs/>
          <w:i/>
          <w:iCs/>
        </w:rPr>
        <w:br w:type="page"/>
      </w:r>
    </w:p>
    <w:p w14:paraId="1D638447" w14:textId="32818B35" w:rsidR="00E53B9F" w:rsidRPr="00DD33CB" w:rsidRDefault="00E53B9F" w:rsidP="00E53B9F">
      <w:r w:rsidRPr="00DD33CB">
        <w:rPr>
          <w:b/>
          <w:bCs/>
          <w:i/>
          <w:iCs/>
        </w:rPr>
        <w:lastRenderedPageBreak/>
        <w:t xml:space="preserve">GEO-CM04S1 </w:t>
      </w:r>
      <w:r w:rsidRPr="00DD33CB">
        <w:t>–</w:t>
      </w:r>
      <w:r w:rsidRPr="00DD33CB">
        <w:rPr>
          <w:b/>
          <w:bCs/>
          <w:i/>
          <w:iCs/>
        </w:rPr>
        <w:t xml:space="preserve"> Healthy Booster </w:t>
      </w:r>
      <w:r w:rsidR="00C67341">
        <w:rPr>
          <w:b/>
          <w:bCs/>
          <w:i/>
          <w:iCs/>
        </w:rPr>
        <w:t xml:space="preserve">Phase 2 </w:t>
      </w:r>
      <w:r w:rsidRPr="00DD33CB">
        <w:rPr>
          <w:b/>
          <w:bCs/>
          <w:i/>
          <w:iCs/>
        </w:rPr>
        <w:t>Trial</w:t>
      </w:r>
    </w:p>
    <w:p w14:paraId="0DD6522A" w14:textId="77777777" w:rsidR="00E53B9F" w:rsidRPr="00DD33CB" w:rsidRDefault="00E53B9F" w:rsidP="00E53B9F">
      <w:pPr>
        <w:ind w:left="360" w:hanging="360"/>
        <w:jc w:val="both"/>
        <w:rPr>
          <w:lang w:eastAsia="zh-CN"/>
        </w:rPr>
      </w:pPr>
    </w:p>
    <w:p w14:paraId="721ADBD6" w14:textId="1D34162D" w:rsidR="00E53B9F" w:rsidRPr="00DD33CB" w:rsidRDefault="00E53B9F" w:rsidP="00E6483E">
      <w:pPr>
        <w:ind w:left="360" w:hanging="360"/>
        <w:rPr>
          <w:color w:val="000000"/>
          <w:lang w:eastAsia="zh-CN"/>
        </w:rPr>
      </w:pPr>
      <w:r w:rsidRPr="00DD33CB">
        <w:rPr>
          <w:lang w:eastAsia="zh-CN"/>
        </w:rPr>
        <w:t>●</w:t>
      </w:r>
      <w:r w:rsidRPr="00DD33CB">
        <w:rPr>
          <w:lang w:eastAsia="zh-CN"/>
        </w:rPr>
        <w:tab/>
        <w:t>GEO-CM04S1 is undergoing the Phase 2 portion of a Phase 1/2 trial (ClinicalTrials.gov Identifier: NCT04639466</w:t>
      </w:r>
      <w:r w:rsidRPr="00DD33CB">
        <w:rPr>
          <w:color w:val="000000"/>
          <w:lang w:eastAsia="zh-CN"/>
        </w:rPr>
        <w:t xml:space="preserve">), evaluating its use as a universal </w:t>
      </w:r>
      <w:r>
        <w:rPr>
          <w:color w:val="000000"/>
          <w:lang w:eastAsia="zh-CN"/>
        </w:rPr>
        <w:t>Covid</w:t>
      </w:r>
      <w:r w:rsidRPr="00DD33CB">
        <w:rPr>
          <w:color w:val="000000"/>
          <w:lang w:eastAsia="zh-CN"/>
        </w:rPr>
        <w:t>-19 booster vaccine to current FDA-approved two-shot mRNA vaccines from Pfizer/BioNTech and Moderna.</w:t>
      </w:r>
      <w:r>
        <w:rPr>
          <w:color w:val="000000"/>
          <w:lang w:eastAsia="zh-CN"/>
        </w:rPr>
        <w:t xml:space="preserve"> Patient enrollment was completed in September 2023.</w:t>
      </w:r>
    </w:p>
    <w:p w14:paraId="7B766EAD" w14:textId="5A7F5737" w:rsidR="00E53B9F" w:rsidRDefault="00E53B9F" w:rsidP="00E6483E">
      <w:pPr>
        <w:ind w:left="360" w:hanging="360"/>
        <w:rPr>
          <w:lang w:eastAsia="zh-CN"/>
        </w:rPr>
      </w:pPr>
      <w:r w:rsidRPr="00DD33CB">
        <w:rPr>
          <w:color w:val="000000"/>
          <w:lang w:eastAsia="zh-CN"/>
        </w:rPr>
        <w:t>●</w:t>
      </w:r>
      <w:r w:rsidRPr="00DD33CB">
        <w:rPr>
          <w:color w:val="000000"/>
          <w:lang w:eastAsia="zh-CN"/>
        </w:rPr>
        <w:tab/>
        <w:t xml:space="preserve">In </w:t>
      </w:r>
      <w:r>
        <w:rPr>
          <w:color w:val="000000"/>
          <w:lang w:eastAsia="zh-CN"/>
        </w:rPr>
        <w:t>February</w:t>
      </w:r>
      <w:r w:rsidRPr="00DD33CB">
        <w:rPr>
          <w:lang w:eastAsia="zh-CN"/>
        </w:rPr>
        <w:t xml:space="preserve"> 202</w:t>
      </w:r>
      <w:r>
        <w:rPr>
          <w:lang w:eastAsia="zh-CN"/>
        </w:rPr>
        <w:t>4</w:t>
      </w:r>
      <w:r w:rsidRPr="00DD33CB">
        <w:rPr>
          <w:lang w:eastAsia="zh-CN"/>
        </w:rPr>
        <w:t xml:space="preserve">, we announced </w:t>
      </w:r>
      <w:r>
        <w:rPr>
          <w:lang w:eastAsia="zh-CN"/>
        </w:rPr>
        <w:t xml:space="preserve">positive </w:t>
      </w:r>
      <w:r w:rsidR="00F042AA">
        <w:rPr>
          <w:lang w:eastAsia="zh-CN"/>
        </w:rPr>
        <w:t>interim</w:t>
      </w:r>
      <w:r>
        <w:rPr>
          <w:lang w:eastAsia="zh-CN"/>
        </w:rPr>
        <w:t xml:space="preserve"> safety and immune responses findings following vaccine administration</w:t>
      </w:r>
      <w:r w:rsidRPr="00DD33CB">
        <w:rPr>
          <w:lang w:eastAsia="zh-CN"/>
        </w:rPr>
        <w:t>.</w:t>
      </w:r>
      <w:r w:rsidR="00F042AA" w:rsidRPr="00F042AA">
        <w:rPr>
          <w:sz w:val="22"/>
          <w:szCs w:val="22"/>
        </w:rPr>
        <w:t xml:space="preserve"> </w:t>
      </w:r>
      <w:r w:rsidR="00F042AA" w:rsidRPr="00F042AA">
        <w:rPr>
          <w:lang w:eastAsia="zh-CN"/>
        </w:rPr>
        <w:t>Consolidated data from all subjects tested one-month post-vaccination, documented statistically significant increases in neutralizing antibody responses against multiple SARS-CoV-2 variants, ranging from the original Wuhan strain through Delta and Omicron XBB 1.</w:t>
      </w:r>
      <w:r w:rsidR="00F042AA">
        <w:rPr>
          <w:lang w:eastAsia="zh-CN"/>
        </w:rPr>
        <w:t>5</w:t>
      </w:r>
      <w:r w:rsidR="00F042AA" w:rsidRPr="00F042AA">
        <w:rPr>
          <w:lang w:eastAsia="zh-CN"/>
        </w:rPr>
        <w:t>.</w:t>
      </w:r>
    </w:p>
    <w:p w14:paraId="0980CADA" w14:textId="77777777" w:rsidR="00E53B9F" w:rsidRPr="00DD33CB" w:rsidRDefault="00E53B9F" w:rsidP="00E6483E">
      <w:pPr>
        <w:rPr>
          <w:b/>
          <w:bCs/>
          <w:i/>
          <w:iCs/>
        </w:rPr>
      </w:pPr>
    </w:p>
    <w:p w14:paraId="2CF2C52B" w14:textId="38D65F8F" w:rsidR="00E53B9F" w:rsidRPr="00DD33CB" w:rsidRDefault="00E53B9F" w:rsidP="00E6483E">
      <w:pPr>
        <w:rPr>
          <w:b/>
          <w:bCs/>
          <w:i/>
          <w:iCs/>
        </w:rPr>
      </w:pPr>
      <w:r w:rsidRPr="00DD33CB">
        <w:rPr>
          <w:b/>
          <w:bCs/>
          <w:i/>
          <w:iCs/>
        </w:rPr>
        <w:t xml:space="preserve">GEO-CM04S1 </w:t>
      </w:r>
      <w:r w:rsidRPr="00DD33CB">
        <w:t>–</w:t>
      </w:r>
      <w:r w:rsidRPr="00DD33CB">
        <w:rPr>
          <w:b/>
          <w:bCs/>
          <w:i/>
          <w:iCs/>
        </w:rPr>
        <w:t xml:space="preserve"> </w:t>
      </w:r>
      <w:r>
        <w:rPr>
          <w:b/>
          <w:bCs/>
          <w:i/>
          <w:iCs/>
        </w:rPr>
        <w:t>Immunocompromised/</w:t>
      </w:r>
      <w:r w:rsidRPr="00DD33CB">
        <w:rPr>
          <w:b/>
          <w:bCs/>
          <w:i/>
          <w:iCs/>
        </w:rPr>
        <w:t>CLL Trial</w:t>
      </w:r>
      <w:r w:rsidR="00C67341">
        <w:rPr>
          <w:b/>
          <w:bCs/>
          <w:i/>
          <w:iCs/>
        </w:rPr>
        <w:t xml:space="preserve"> Phase 2 Trial</w:t>
      </w:r>
    </w:p>
    <w:p w14:paraId="7882D065" w14:textId="77777777" w:rsidR="00E53B9F" w:rsidRPr="00DD33CB" w:rsidRDefault="00E53B9F" w:rsidP="00E6483E">
      <w:pPr>
        <w:ind w:left="360" w:hanging="360"/>
        <w:rPr>
          <w:lang w:eastAsia="zh-CN"/>
        </w:rPr>
      </w:pPr>
    </w:p>
    <w:p w14:paraId="4D81A15C" w14:textId="4B2C5CA5" w:rsidR="00E53B9F" w:rsidRPr="00DD33CB" w:rsidRDefault="00E53B9F" w:rsidP="00E6483E">
      <w:pPr>
        <w:ind w:left="360" w:hanging="360"/>
        <w:rPr>
          <w:lang w:eastAsia="zh-CN"/>
        </w:rPr>
      </w:pPr>
      <w:r w:rsidRPr="00DD33CB">
        <w:rPr>
          <w:lang w:eastAsia="zh-CN"/>
        </w:rPr>
        <w:t> ●</w:t>
      </w:r>
      <w:r w:rsidRPr="00DD33CB">
        <w:rPr>
          <w:lang w:eastAsia="zh-CN"/>
        </w:rPr>
        <w:tab/>
      </w:r>
      <w:r w:rsidR="00151AA7">
        <w:rPr>
          <w:lang w:eastAsia="zh-CN"/>
        </w:rPr>
        <w:t>GEO-CM04S1 is undergoing an</w:t>
      </w:r>
      <w:r w:rsidRPr="00DD33CB">
        <w:rPr>
          <w:lang w:eastAsia="zh-CN"/>
        </w:rPr>
        <w:t xml:space="preserve"> investigator-initiated Phase 2 clinical trial (ClinicalTrials.gov Identifier: NCT05672355), evaluating its use as a </w:t>
      </w:r>
      <w:r>
        <w:rPr>
          <w:lang w:eastAsia="zh-CN"/>
        </w:rPr>
        <w:t>Covid</w:t>
      </w:r>
      <w:r w:rsidRPr="00DD33CB">
        <w:rPr>
          <w:lang w:eastAsia="zh-CN"/>
        </w:rPr>
        <w:t>-19 booster vaccine in patients with chronic lymphocytic leukemia (CLL), compared to the Pfizer/BioNTech mRNA-based vaccine.</w:t>
      </w:r>
    </w:p>
    <w:p w14:paraId="01182B34" w14:textId="77777777" w:rsidR="00E53B9F" w:rsidRPr="00DD33CB" w:rsidRDefault="00E53B9F" w:rsidP="00E6483E">
      <w:pPr>
        <w:rPr>
          <w:b/>
          <w:bCs/>
          <w:i/>
          <w:iCs/>
        </w:rPr>
      </w:pPr>
    </w:p>
    <w:p w14:paraId="46BCBC84" w14:textId="171DCF08" w:rsidR="00E53B9F" w:rsidRPr="00DD33CB" w:rsidRDefault="00E53B9F" w:rsidP="00E6483E">
      <w:pPr>
        <w:rPr>
          <w:b/>
          <w:bCs/>
          <w:i/>
          <w:iCs/>
        </w:rPr>
      </w:pPr>
      <w:r w:rsidRPr="00DD33CB">
        <w:rPr>
          <w:b/>
          <w:bCs/>
          <w:i/>
          <w:iCs/>
        </w:rPr>
        <w:t>Gedeptin</w:t>
      </w:r>
      <w:r w:rsidRPr="00DD33CB">
        <w:t>®</w:t>
      </w:r>
      <w:r w:rsidRPr="00DD33CB">
        <w:rPr>
          <w:b/>
          <w:bCs/>
          <w:i/>
          <w:iCs/>
        </w:rPr>
        <w:t> </w:t>
      </w:r>
      <w:r w:rsidRPr="00DD33CB">
        <w:t>–</w:t>
      </w:r>
      <w:r w:rsidRPr="00DD33CB">
        <w:rPr>
          <w:b/>
          <w:bCs/>
          <w:i/>
          <w:iCs/>
        </w:rPr>
        <w:t xml:space="preserve"> Advanced Head and Neck Cancer </w:t>
      </w:r>
      <w:r w:rsidR="00C67341">
        <w:rPr>
          <w:b/>
          <w:bCs/>
          <w:i/>
          <w:iCs/>
        </w:rPr>
        <w:t xml:space="preserve">Phase 1/2 </w:t>
      </w:r>
      <w:r w:rsidRPr="00DD33CB">
        <w:rPr>
          <w:b/>
          <w:bCs/>
          <w:i/>
          <w:iCs/>
        </w:rPr>
        <w:t>Trial</w:t>
      </w:r>
    </w:p>
    <w:p w14:paraId="5198FE03" w14:textId="77777777" w:rsidR="00E53B9F" w:rsidRPr="00DD33CB" w:rsidRDefault="00E53B9F" w:rsidP="00E6483E">
      <w:pPr>
        <w:ind w:left="360" w:hanging="360"/>
        <w:rPr>
          <w:lang w:eastAsia="zh-CN"/>
        </w:rPr>
      </w:pPr>
    </w:p>
    <w:p w14:paraId="7555AA61" w14:textId="73E23EA8" w:rsidR="00E53B9F" w:rsidRDefault="00E53B9F" w:rsidP="00E6483E">
      <w:pPr>
        <w:ind w:left="360" w:hanging="360"/>
        <w:rPr>
          <w:lang w:eastAsia="zh-CN"/>
        </w:rPr>
      </w:pPr>
      <w:r w:rsidRPr="00DD33CB">
        <w:rPr>
          <w:lang w:eastAsia="zh-CN"/>
        </w:rPr>
        <w:t> ●</w:t>
      </w:r>
      <w:r w:rsidRPr="00DD33CB">
        <w:rPr>
          <w:lang w:eastAsia="zh-CN"/>
        </w:rPr>
        <w:tab/>
        <w:t>Gedeptin® is undergoing a Phase 1/2 clinical trial (ClinicalTrials.gov Identifier: NCT03754933) for treatment of patients with advanced head and neck squamous cell carcinoma (HNSCC). This trial is being funded in part by the U.S. Food &amp; Drug Administration (FDA) pursuant to its Orphan Products Clinical Trials Grants Program. The trial is designed to inform the design of a larger patient trial that also may involve patients with other anatomically accessible oral and pharyngeal cancers, including cancers of the lip, tongue, gum, floor of mouth, salivary gland and other oral cavities.</w:t>
      </w:r>
    </w:p>
    <w:p w14:paraId="3D281798" w14:textId="7D74EF07" w:rsidR="00E53B9F" w:rsidRDefault="00E53B9F" w:rsidP="00E6483E">
      <w:pPr>
        <w:ind w:left="360" w:hanging="360"/>
        <w:rPr>
          <w:lang w:eastAsia="zh-CN"/>
        </w:rPr>
      </w:pPr>
      <w:r w:rsidRPr="00DD33CB">
        <w:rPr>
          <w:lang w:eastAsia="zh-CN"/>
        </w:rPr>
        <w:t>●</w:t>
      </w:r>
      <w:r w:rsidRPr="00DD33CB">
        <w:rPr>
          <w:lang w:eastAsia="zh-CN"/>
        </w:rPr>
        <w:tab/>
      </w:r>
      <w:r w:rsidR="00151AA7">
        <w:rPr>
          <w:lang w:eastAsia="zh-CN"/>
        </w:rPr>
        <w:t>I</w:t>
      </w:r>
      <w:r w:rsidRPr="00DD33CB">
        <w:rPr>
          <w:lang w:eastAsia="zh-CN"/>
        </w:rPr>
        <w:t>nterim data presented at the American Association for Cancer Research (AACR) and the American Head and Neck Society (AHNS) joint Head and Neck Cancer Conference</w:t>
      </w:r>
      <w:r w:rsidR="00151AA7">
        <w:rPr>
          <w:lang w:eastAsia="zh-CN"/>
        </w:rPr>
        <w:t xml:space="preserve"> in July 2023</w:t>
      </w:r>
      <w:r w:rsidRPr="00DD33CB">
        <w:rPr>
          <w:lang w:eastAsia="zh-CN"/>
        </w:rPr>
        <w:t>, indicat</w:t>
      </w:r>
      <w:r w:rsidR="00151AA7">
        <w:rPr>
          <w:lang w:eastAsia="zh-CN"/>
        </w:rPr>
        <w:t>ed</w:t>
      </w:r>
      <w:r w:rsidRPr="00DD33CB">
        <w:rPr>
          <w:lang w:eastAsia="zh-CN"/>
        </w:rPr>
        <w:t xml:space="preserve"> that administration of Gedeptin® is safe and feasible, with observation of tumor growth impairment in a majority of the patients.</w:t>
      </w:r>
    </w:p>
    <w:p w14:paraId="0DBA590B" w14:textId="29EE0E90" w:rsidR="00151AA7" w:rsidRPr="00DD33CB" w:rsidRDefault="00151AA7" w:rsidP="00E6483E">
      <w:pPr>
        <w:ind w:left="360" w:hanging="360"/>
        <w:rPr>
          <w:lang w:eastAsia="zh-CN"/>
        </w:rPr>
      </w:pPr>
      <w:r w:rsidRPr="00DD33CB">
        <w:rPr>
          <w:lang w:eastAsia="zh-CN"/>
        </w:rPr>
        <w:t>●</w:t>
      </w:r>
      <w:r w:rsidRPr="00DD33CB">
        <w:rPr>
          <w:lang w:eastAsia="zh-CN"/>
        </w:rPr>
        <w:tab/>
        <w:t xml:space="preserve">In </w:t>
      </w:r>
      <w:r>
        <w:rPr>
          <w:lang w:eastAsia="zh-CN"/>
        </w:rPr>
        <w:t>January 2024, we announced closure of patient enrollment for this trial</w:t>
      </w:r>
      <w:r w:rsidRPr="00DD33CB">
        <w:rPr>
          <w:lang w:eastAsia="zh-CN"/>
        </w:rPr>
        <w:t>.</w:t>
      </w:r>
      <w:r w:rsidRPr="00151AA7">
        <w:rPr>
          <w:sz w:val="22"/>
          <w:szCs w:val="22"/>
        </w:rPr>
        <w:t xml:space="preserve"> </w:t>
      </w:r>
      <w:r w:rsidRPr="00151AA7">
        <w:rPr>
          <w:lang w:eastAsia="zh-CN"/>
        </w:rPr>
        <w:t xml:space="preserve">Allowing time for the maximum number of cycles of Gedeptin therapy and patient follow-up, we expect to complete the study by the third quarter of </w:t>
      </w:r>
      <w:r>
        <w:rPr>
          <w:lang w:eastAsia="zh-CN"/>
        </w:rPr>
        <w:t>2024</w:t>
      </w:r>
      <w:r w:rsidRPr="00151AA7">
        <w:rPr>
          <w:lang w:eastAsia="zh-CN"/>
        </w:rPr>
        <w:t xml:space="preserve">. </w:t>
      </w:r>
      <w:r w:rsidRPr="00151AA7">
        <w:rPr>
          <w:lang w:val="en" w:eastAsia="zh-CN"/>
        </w:rPr>
        <w:t xml:space="preserve">Our intent is to discuss </w:t>
      </w:r>
      <w:r>
        <w:rPr>
          <w:lang w:val="en" w:eastAsia="zh-CN"/>
        </w:rPr>
        <w:t>a</w:t>
      </w:r>
      <w:r w:rsidRPr="00151AA7">
        <w:rPr>
          <w:lang w:val="en" w:eastAsia="zh-CN"/>
        </w:rPr>
        <w:t xml:space="preserve"> follow-on protocol with the FDA</w:t>
      </w:r>
      <w:r>
        <w:rPr>
          <w:lang w:val="en" w:eastAsia="zh-CN"/>
        </w:rPr>
        <w:t xml:space="preserve"> for a</w:t>
      </w:r>
      <w:r w:rsidRPr="00151AA7">
        <w:rPr>
          <w:lang w:eastAsia="zh-CN"/>
        </w:rPr>
        <w:t xml:space="preserve"> Phase 2 or Phase 2/3 trial among patients with advanced head and neck cancer in whom current therapeutic options are suboptimal</w:t>
      </w:r>
      <w:r w:rsidRPr="00151AA7">
        <w:rPr>
          <w:lang w:val="en" w:eastAsia="zh-CN"/>
        </w:rPr>
        <w:t>, in conjunction with a complete review of the results of the current trial.  We expect that such discussions will include addressing the opportunity and basis for an expedited approval pathway</w:t>
      </w:r>
      <w:r>
        <w:rPr>
          <w:lang w:val="en" w:eastAsia="zh-CN"/>
        </w:rPr>
        <w:t>.</w:t>
      </w:r>
    </w:p>
    <w:p w14:paraId="461DF9A9" w14:textId="77777777" w:rsidR="00E53B9F" w:rsidRPr="00DD33CB" w:rsidRDefault="00E53B9F" w:rsidP="00E53B9F">
      <w:pPr>
        <w:rPr>
          <w:b/>
          <w:bCs/>
          <w:i/>
          <w:iCs/>
        </w:rPr>
      </w:pPr>
    </w:p>
    <w:p w14:paraId="06FFA143" w14:textId="49939988" w:rsidR="00E53B9F" w:rsidRPr="00DD33CB" w:rsidRDefault="004640B2" w:rsidP="00E53B9F">
      <w:pPr>
        <w:rPr>
          <w:b/>
          <w:bCs/>
          <w:i/>
          <w:iCs/>
        </w:rPr>
      </w:pPr>
      <w:r>
        <w:rPr>
          <w:b/>
          <w:bCs/>
          <w:i/>
          <w:iCs/>
        </w:rPr>
        <w:t xml:space="preserve">MVA-Based </w:t>
      </w:r>
      <w:r w:rsidR="00E53B9F" w:rsidRPr="00DD33CB">
        <w:rPr>
          <w:b/>
          <w:bCs/>
          <w:i/>
          <w:iCs/>
        </w:rPr>
        <w:t>Vaccine Manufacturing Process Development</w:t>
      </w:r>
    </w:p>
    <w:p w14:paraId="17DA4B27" w14:textId="77777777" w:rsidR="00E53B9F" w:rsidRPr="00DD33CB" w:rsidRDefault="00E53B9F" w:rsidP="00E53B9F">
      <w:pPr>
        <w:ind w:left="360" w:hanging="360"/>
        <w:jc w:val="both"/>
        <w:rPr>
          <w:lang w:eastAsia="zh-CN"/>
        </w:rPr>
      </w:pPr>
    </w:p>
    <w:p w14:paraId="38388708" w14:textId="7F51756E" w:rsidR="00F042AA" w:rsidRDefault="00E53B9F" w:rsidP="00E6483E">
      <w:pPr>
        <w:ind w:left="360" w:hanging="360"/>
        <w:rPr>
          <w:lang w:eastAsia="zh-CN"/>
        </w:rPr>
      </w:pPr>
      <w:r w:rsidRPr="00DD33CB">
        <w:rPr>
          <w:lang w:eastAsia="zh-CN"/>
        </w:rPr>
        <w:t>●</w:t>
      </w:r>
      <w:r w:rsidRPr="00DD33CB">
        <w:rPr>
          <w:lang w:eastAsia="zh-CN"/>
        </w:rPr>
        <w:tab/>
      </w:r>
      <w:r w:rsidR="00F042AA">
        <w:rPr>
          <w:lang w:eastAsia="zh-CN"/>
        </w:rPr>
        <w:t xml:space="preserve">In March 2024, we announced </w:t>
      </w:r>
      <w:r w:rsidR="00F042AA" w:rsidRPr="00F042AA">
        <w:rPr>
          <w:lang w:eastAsia="zh-CN"/>
        </w:rPr>
        <w:t xml:space="preserve">a significant milestone toward implementation of a validated chicken embryonic fibroblast (CEF) based production system for </w:t>
      </w:r>
      <w:r w:rsidR="00F042AA">
        <w:rPr>
          <w:lang w:eastAsia="zh-CN"/>
        </w:rPr>
        <w:t>our</w:t>
      </w:r>
      <w:r w:rsidR="00F042AA" w:rsidRPr="00F042AA">
        <w:rPr>
          <w:lang w:eastAsia="zh-CN"/>
        </w:rPr>
        <w:t xml:space="preserve"> MVA-based vaccines, with the release of </w:t>
      </w:r>
      <w:r w:rsidR="009E2F9F">
        <w:rPr>
          <w:lang w:eastAsia="zh-CN"/>
        </w:rPr>
        <w:t>the</w:t>
      </w:r>
      <w:r w:rsidR="00F042AA" w:rsidRPr="00F042AA">
        <w:rPr>
          <w:lang w:eastAsia="zh-CN"/>
        </w:rPr>
        <w:t xml:space="preserve"> first lot of GEO-CM04S1 produced with a commercial manufacturing platform. This mark</w:t>
      </w:r>
      <w:r w:rsidR="00F042AA">
        <w:rPr>
          <w:lang w:eastAsia="zh-CN"/>
        </w:rPr>
        <w:t>ed</w:t>
      </w:r>
      <w:r w:rsidR="00F042AA" w:rsidRPr="00F042AA">
        <w:rPr>
          <w:lang w:eastAsia="zh-CN"/>
        </w:rPr>
        <w:t xml:space="preserve"> the successful completion of the transfer and scale-up of manufacturing to Oxford Biomedica, the Company’s cGMP (current Good Manufacturing Procedures) manufacturing partner</w:t>
      </w:r>
      <w:r w:rsidR="00F042AA">
        <w:rPr>
          <w:lang w:eastAsia="zh-CN"/>
        </w:rPr>
        <w:t>.</w:t>
      </w:r>
    </w:p>
    <w:p w14:paraId="0C7E3424" w14:textId="77777777" w:rsidR="00E53B9F" w:rsidRPr="00DD33CB" w:rsidRDefault="00E53B9F" w:rsidP="00E53B9F">
      <w:pPr>
        <w:rPr>
          <w:b/>
          <w:bCs/>
          <w:i/>
          <w:iCs/>
        </w:rPr>
      </w:pPr>
    </w:p>
    <w:p w14:paraId="60A2F5E2" w14:textId="4F9BF43A" w:rsidR="00E53B9F" w:rsidRPr="00DD33CB" w:rsidRDefault="00E53B9F" w:rsidP="00E53B9F">
      <w:pPr>
        <w:rPr>
          <w:b/>
          <w:bCs/>
          <w:i/>
          <w:iCs/>
        </w:rPr>
      </w:pPr>
      <w:r w:rsidRPr="00DD33CB">
        <w:rPr>
          <w:b/>
          <w:bCs/>
          <w:i/>
          <w:iCs/>
        </w:rPr>
        <w:t>Intellectual Property Development</w:t>
      </w:r>
    </w:p>
    <w:p w14:paraId="66BFD0C4" w14:textId="77777777" w:rsidR="00E53B9F" w:rsidRPr="00DD33CB" w:rsidRDefault="00E53B9F" w:rsidP="00E53B9F">
      <w:pPr>
        <w:ind w:left="360" w:hanging="360"/>
        <w:jc w:val="both"/>
        <w:rPr>
          <w:color w:val="000000"/>
          <w:lang w:eastAsia="zh-CN"/>
        </w:rPr>
      </w:pPr>
    </w:p>
    <w:p w14:paraId="3A2D3854" w14:textId="63E4B866" w:rsidR="00E53B9F" w:rsidRPr="00DD33CB" w:rsidRDefault="00E53B9F" w:rsidP="00E6483E">
      <w:pPr>
        <w:ind w:left="360" w:hanging="360"/>
        <w:rPr>
          <w:color w:val="000000"/>
          <w:lang w:eastAsia="zh-CN"/>
        </w:rPr>
      </w:pPr>
      <w:r w:rsidRPr="00DD33CB">
        <w:rPr>
          <w:lang w:eastAsia="zh-CN"/>
        </w:rPr>
        <w:t>●</w:t>
      </w:r>
      <w:r w:rsidRPr="00DD33CB">
        <w:rPr>
          <w:lang w:eastAsia="zh-CN"/>
        </w:rPr>
        <w:tab/>
        <w:t xml:space="preserve">In </w:t>
      </w:r>
      <w:r w:rsidR="00151AA7">
        <w:rPr>
          <w:lang w:eastAsia="zh-CN"/>
        </w:rPr>
        <w:t>January 2024</w:t>
      </w:r>
      <w:r w:rsidRPr="00DD33CB">
        <w:rPr>
          <w:color w:val="000000"/>
          <w:lang w:eastAsia="zh-CN"/>
        </w:rPr>
        <w:t xml:space="preserve">, the U.S. Patent and Trademark Office issued </w:t>
      </w:r>
      <w:r w:rsidR="00151AA7">
        <w:rPr>
          <w:color w:val="000000"/>
          <w:lang w:eastAsia="zh-CN"/>
        </w:rPr>
        <w:t>Patent No. 11,857,611 to GeoVax, pursuant to</w:t>
      </w:r>
      <w:r w:rsidRPr="00DD33CB">
        <w:rPr>
          <w:color w:val="000000"/>
          <w:lang w:eastAsia="zh-CN"/>
        </w:rPr>
        <w:t xml:space="preserve"> </w:t>
      </w:r>
      <w:r w:rsidR="00F042AA">
        <w:rPr>
          <w:color w:val="000000"/>
          <w:lang w:eastAsia="zh-CN"/>
        </w:rPr>
        <w:t>p</w:t>
      </w:r>
      <w:r w:rsidRPr="00DD33CB">
        <w:rPr>
          <w:color w:val="000000"/>
          <w:lang w:eastAsia="zh-CN"/>
        </w:rPr>
        <w:t xml:space="preserve">atent </w:t>
      </w:r>
      <w:r w:rsidR="00F042AA">
        <w:rPr>
          <w:color w:val="000000"/>
          <w:lang w:eastAsia="zh-CN"/>
        </w:rPr>
        <w:t>a</w:t>
      </w:r>
      <w:r w:rsidRPr="00DD33CB">
        <w:rPr>
          <w:color w:val="000000"/>
          <w:lang w:eastAsia="zh-CN"/>
        </w:rPr>
        <w:t>pplication No. 17/726,254 titled “Compositions and Methods for Generating an Immune Response to Treat or Prevent Malaria”. The allowed claims cover compositions comprising GeoVax’s modified vaccinia Ankara (MVA) vector expressing Plasmodium antigens and methods of inducing an immune response to malaria utilizing the compositions. The compositions and methods covered in the allowed claims are useful both prophylactically and therapeutically and may be used to prevent and/or treat malaria.</w:t>
      </w:r>
    </w:p>
    <w:p w14:paraId="73D6C0C9" w14:textId="6DB62EA1" w:rsidR="00E53B9F" w:rsidRPr="00DD33CB" w:rsidRDefault="00E53B9F" w:rsidP="00E6483E">
      <w:pPr>
        <w:ind w:left="360" w:hanging="360"/>
        <w:rPr>
          <w:lang w:eastAsia="zh-CN"/>
        </w:rPr>
      </w:pPr>
      <w:r w:rsidRPr="00DD33CB">
        <w:rPr>
          <w:color w:val="000000"/>
          <w:lang w:eastAsia="zh-CN"/>
        </w:rPr>
        <w:t>●</w:t>
      </w:r>
      <w:r w:rsidRPr="00DD33CB">
        <w:rPr>
          <w:color w:val="000000"/>
          <w:lang w:eastAsia="zh-CN"/>
        </w:rPr>
        <w:tab/>
        <w:t xml:space="preserve">In </w:t>
      </w:r>
      <w:r w:rsidR="00F042AA">
        <w:rPr>
          <w:color w:val="000000"/>
          <w:lang w:eastAsia="zh-CN"/>
        </w:rPr>
        <w:t>February 2024</w:t>
      </w:r>
      <w:r w:rsidRPr="00DD33CB">
        <w:rPr>
          <w:color w:val="000000"/>
          <w:lang w:eastAsia="zh-CN"/>
        </w:rPr>
        <w:t xml:space="preserve">, the U.S. Patent and Trademark Office issued </w:t>
      </w:r>
      <w:r w:rsidR="00F042AA">
        <w:rPr>
          <w:color w:val="000000"/>
          <w:lang w:eastAsia="zh-CN"/>
        </w:rPr>
        <w:t>Patent No. 11,896,657</w:t>
      </w:r>
      <w:r w:rsidRPr="00DD33CB">
        <w:rPr>
          <w:color w:val="000000"/>
          <w:lang w:eastAsia="zh-CN"/>
        </w:rPr>
        <w:t xml:space="preserve"> to GeoVax</w:t>
      </w:r>
      <w:r w:rsidR="00F042AA">
        <w:rPr>
          <w:color w:val="000000"/>
          <w:lang w:eastAsia="zh-CN"/>
        </w:rPr>
        <w:t>, pursuant to p</w:t>
      </w:r>
      <w:r w:rsidRPr="00DD33CB">
        <w:rPr>
          <w:color w:val="000000"/>
          <w:lang w:eastAsia="zh-CN"/>
        </w:rPr>
        <w:t xml:space="preserve">atent </w:t>
      </w:r>
      <w:r w:rsidR="00F042AA">
        <w:rPr>
          <w:color w:val="000000"/>
          <w:lang w:eastAsia="zh-CN"/>
        </w:rPr>
        <w:t>a</w:t>
      </w:r>
      <w:r w:rsidRPr="00DD33CB">
        <w:rPr>
          <w:color w:val="000000"/>
          <w:lang w:eastAsia="zh-CN"/>
        </w:rPr>
        <w:t xml:space="preserve">pplication No. 17/584,231 titled “Replication Deficient Modified Vaccina Ankara (MVA) Expressing Marburg Virus </w:t>
      </w:r>
      <w:r w:rsidRPr="00DD33CB">
        <w:rPr>
          <w:lang w:eastAsia="zh-CN"/>
        </w:rPr>
        <w:t>Glycoprotein (GP) and Matrix Protein (VP40).” The allowed claims generally cover GeoVax’s vector platform for expressing Marburg virus antigens in virus-like particles (VLPs) utilizing an MVA viral vector</w:t>
      </w:r>
      <w:r>
        <w:rPr>
          <w:lang w:eastAsia="zh-CN"/>
        </w:rPr>
        <w:t>.</w:t>
      </w:r>
    </w:p>
    <w:p w14:paraId="10AEC9CC" w14:textId="5FF976BD" w:rsidR="00E53B9F" w:rsidRDefault="00E53B9F" w:rsidP="00E6483E">
      <w:pPr>
        <w:ind w:left="360" w:hanging="360"/>
        <w:rPr>
          <w:lang w:eastAsia="zh-CN"/>
        </w:rPr>
      </w:pPr>
      <w:r w:rsidRPr="00DD33CB">
        <w:rPr>
          <w:lang w:eastAsia="zh-CN"/>
        </w:rPr>
        <w:t>●</w:t>
      </w:r>
      <w:r w:rsidRPr="00DD33CB">
        <w:rPr>
          <w:lang w:eastAsia="zh-CN"/>
        </w:rPr>
        <w:tab/>
        <w:t xml:space="preserve">In </w:t>
      </w:r>
      <w:r w:rsidR="00F042AA">
        <w:rPr>
          <w:lang w:eastAsia="zh-CN"/>
        </w:rPr>
        <w:t>February 2024</w:t>
      </w:r>
      <w:r w:rsidRPr="00DD33CB">
        <w:rPr>
          <w:lang w:eastAsia="zh-CN"/>
        </w:rPr>
        <w:t xml:space="preserve">, the U.S Patent and Trademark Office issued </w:t>
      </w:r>
      <w:r w:rsidR="00F042AA">
        <w:rPr>
          <w:lang w:eastAsia="zh-CN"/>
        </w:rPr>
        <w:t>Patent No. 11,897,919</w:t>
      </w:r>
      <w:r w:rsidRPr="00DD33CB">
        <w:rPr>
          <w:lang w:eastAsia="zh-CN"/>
        </w:rPr>
        <w:t xml:space="preserve"> to GeoVax</w:t>
      </w:r>
      <w:r w:rsidR="00F042AA">
        <w:rPr>
          <w:lang w:eastAsia="zh-CN"/>
        </w:rPr>
        <w:t>, pursuant to</w:t>
      </w:r>
      <w:r w:rsidRPr="00DD33CB">
        <w:rPr>
          <w:lang w:eastAsia="zh-CN"/>
        </w:rPr>
        <w:t xml:space="preserve"> </w:t>
      </w:r>
      <w:r w:rsidR="00F042AA">
        <w:rPr>
          <w:lang w:eastAsia="zh-CN"/>
        </w:rPr>
        <w:t>p</w:t>
      </w:r>
      <w:r w:rsidRPr="00DD33CB">
        <w:rPr>
          <w:lang w:eastAsia="zh-CN"/>
        </w:rPr>
        <w:t xml:space="preserve">atent </w:t>
      </w:r>
      <w:r w:rsidR="00F042AA">
        <w:rPr>
          <w:lang w:eastAsia="zh-CN"/>
        </w:rPr>
        <w:t>a</w:t>
      </w:r>
      <w:r w:rsidRPr="00DD33CB">
        <w:rPr>
          <w:lang w:eastAsia="zh-CN"/>
        </w:rPr>
        <w:t>pplication No. 17/409,574 titled “Multivalent HIV Vaccine Boost Compositions and Methods of Use.” The allowed claims generally cover a priming vaccination with a DNA vector encoding multiple HIV antigens in virus-like particles (VLPs), followed by a boost vaccination with GeoVax’s vector platform for expressing HIV-1 antigens in VLPs utilizing an MVA viral vector.</w:t>
      </w:r>
      <w:r>
        <w:rPr>
          <w:lang w:eastAsia="zh-CN"/>
        </w:rPr>
        <w:t xml:space="preserve"> </w:t>
      </w:r>
    </w:p>
    <w:p w14:paraId="1C804472" w14:textId="77777777" w:rsidR="00E53B9F" w:rsidRPr="00730535" w:rsidRDefault="00E53B9F" w:rsidP="00E6483E">
      <w:pPr>
        <w:ind w:left="360" w:hanging="360"/>
        <w:rPr>
          <w:lang w:eastAsia="zh-CN"/>
        </w:rPr>
      </w:pPr>
      <w:r w:rsidRPr="00DD33CB">
        <w:rPr>
          <w:lang w:eastAsia="zh-CN"/>
        </w:rPr>
        <w:lastRenderedPageBreak/>
        <w:t>●</w:t>
      </w:r>
      <w:r w:rsidRPr="00DD33CB">
        <w:rPr>
          <w:lang w:eastAsia="zh-CN"/>
        </w:rPr>
        <w:tab/>
      </w:r>
      <w:r>
        <w:rPr>
          <w:lang w:eastAsia="zh-CN"/>
        </w:rPr>
        <w:t>In February 2024, t</w:t>
      </w:r>
      <w:r w:rsidRPr="00730535">
        <w:rPr>
          <w:lang w:eastAsia="zh-CN"/>
        </w:rPr>
        <w:t>he Japanese Patent Office issued a Decision of Grant notifying GeoVax of the allowance of the Company’s Patent Application No. 2022-153352 titled “</w:t>
      </w:r>
      <w:r w:rsidRPr="00730535">
        <w:rPr>
          <w:i/>
          <w:iCs/>
          <w:lang w:eastAsia="zh-CN"/>
        </w:rPr>
        <w:t>Compositions and Methods for Generating an Immune Response to a Tumor Associated Antigen</w:t>
      </w:r>
      <w:r w:rsidRPr="00730535">
        <w:rPr>
          <w:lang w:eastAsia="zh-CN"/>
        </w:rPr>
        <w:t>.” The allowed claims are directed to recombinant MVA viral vectors comprising specific MUC-1 nucleic sequences used in GeoVax’s MUC-1 tumor-associated antigen immunotherapy program. Pharmaceutical compositions for inducing immune responses, preventing or reducing neoplasm growth, or treating cancer are also covered by the granted claims. This represents an extension of the GeoVax MVA-VLP platform that was originally developed for vaccines targeting infectious diseases.</w:t>
      </w:r>
    </w:p>
    <w:p w14:paraId="7FCE78C4" w14:textId="77777777" w:rsidR="00E53B9F" w:rsidRDefault="00E53B9F" w:rsidP="00E53B9F">
      <w:pPr>
        <w:jc w:val="both"/>
        <w:rPr>
          <w:lang w:eastAsia="zh-CN"/>
        </w:rPr>
      </w:pPr>
    </w:p>
    <w:p w14:paraId="2EFBEF9D" w14:textId="77777777" w:rsidR="00E53B9F" w:rsidRPr="00DD33CB" w:rsidRDefault="00E53B9F" w:rsidP="00E53B9F">
      <w:pPr>
        <w:jc w:val="both"/>
        <w:rPr>
          <w:b/>
          <w:bCs/>
          <w:i/>
          <w:iCs/>
          <w:color w:val="000000"/>
        </w:rPr>
      </w:pPr>
      <w:r w:rsidRPr="00DD33CB">
        <w:rPr>
          <w:b/>
          <w:bCs/>
          <w:i/>
          <w:iCs/>
          <w:color w:val="000000"/>
        </w:rPr>
        <w:t>General Corporate</w:t>
      </w:r>
    </w:p>
    <w:p w14:paraId="12242FFB" w14:textId="77777777" w:rsidR="00E53B9F" w:rsidRPr="00DD33CB" w:rsidRDefault="00E53B9F" w:rsidP="00E53B9F">
      <w:pPr>
        <w:jc w:val="both"/>
        <w:rPr>
          <w:color w:val="000000"/>
        </w:rPr>
      </w:pPr>
    </w:p>
    <w:p w14:paraId="115170C6" w14:textId="36E23692" w:rsidR="00E53B9F" w:rsidRPr="00524379" w:rsidRDefault="00E53B9F" w:rsidP="00E6483E">
      <w:r>
        <w:t xml:space="preserve">Effective January 31, 2024, following approval by our stockholders at a special meeting held on January 16, 2024, we effected a reverse stock split of our common stock </w:t>
      </w:r>
      <w:r w:rsidRPr="00524379">
        <w:t xml:space="preserve">at a ratio of 1-for-15. The </w:t>
      </w:r>
      <w:r>
        <w:t>purpose of</w:t>
      </w:r>
      <w:r w:rsidRPr="00524379">
        <w:t xml:space="preserve"> the reverse split </w:t>
      </w:r>
      <w:r>
        <w:t>was to</w:t>
      </w:r>
      <w:r w:rsidRPr="00524379">
        <w:t xml:space="preserve"> regain compliance with the $1.00 minimum bid price required for continued listing on The Nasdaq Capital Market under Nasdaq Listing Rule 5550(a)(2). On the </w:t>
      </w:r>
      <w:r>
        <w:t>e</w:t>
      </w:r>
      <w:r w:rsidRPr="00524379">
        <w:t xml:space="preserve">ffective </w:t>
      </w:r>
      <w:r>
        <w:t>d</w:t>
      </w:r>
      <w:r w:rsidRPr="00524379">
        <w:t xml:space="preserve">ate, every </w:t>
      </w:r>
      <w:r>
        <w:t>fifteen</w:t>
      </w:r>
      <w:r w:rsidRPr="00524379">
        <w:t xml:space="preserve"> issued and outstanding shares of </w:t>
      </w:r>
      <w:r w:rsidR="009E2F9F">
        <w:t>our</w:t>
      </w:r>
      <w:r w:rsidRPr="00524379">
        <w:t xml:space="preserve"> </w:t>
      </w:r>
      <w:r w:rsidR="009E2F9F">
        <w:t>co</w:t>
      </w:r>
      <w:r w:rsidRPr="00524379">
        <w:t xml:space="preserve">mmon </w:t>
      </w:r>
      <w:r w:rsidR="009E2F9F">
        <w:t>s</w:t>
      </w:r>
      <w:r w:rsidRPr="00524379">
        <w:t xml:space="preserve">tock </w:t>
      </w:r>
      <w:r>
        <w:t>was</w:t>
      </w:r>
      <w:r w:rsidRPr="00524379">
        <w:t xml:space="preserve"> converted automatically into one share of the Company's Common Stock without any change in the par value per shar</w:t>
      </w:r>
      <w:r w:rsidR="009E2F9F">
        <w:t>e</w:t>
      </w:r>
      <w:r w:rsidRPr="00524379">
        <w:t>,</w:t>
      </w:r>
      <w:r w:rsidR="009E2F9F">
        <w:t xml:space="preserve"> and</w:t>
      </w:r>
      <w:r w:rsidRPr="00524379">
        <w:t xml:space="preserve"> </w:t>
      </w:r>
      <w:r w:rsidR="009E2F9F">
        <w:t>our</w:t>
      </w:r>
      <w:r w:rsidRPr="00524379">
        <w:t xml:space="preserve"> </w:t>
      </w:r>
      <w:proofErr w:type="gramStart"/>
      <w:r w:rsidRPr="00524379">
        <w:t>publicly-traded</w:t>
      </w:r>
      <w:proofErr w:type="gramEnd"/>
      <w:r w:rsidRPr="00524379">
        <w:t xml:space="preserve"> warrants </w:t>
      </w:r>
      <w:r>
        <w:t>were</w:t>
      </w:r>
      <w:r w:rsidRPr="00524379">
        <w:t xml:space="preserve"> adjusted to require fifteen warrants to be exercised to receive one share of common stock at a price of $75 per share.</w:t>
      </w:r>
    </w:p>
    <w:p w14:paraId="4B0F4CCA" w14:textId="77777777" w:rsidR="00E377E4" w:rsidRDefault="00E377E4" w:rsidP="00177E79"/>
    <w:p w14:paraId="57A46124" w14:textId="2C826BC6" w:rsidR="000733A2" w:rsidRPr="00E55FA4" w:rsidRDefault="000733A2" w:rsidP="000733A2">
      <w:pPr>
        <w:rPr>
          <w:b/>
          <w:bCs/>
        </w:rPr>
      </w:pPr>
      <w:r w:rsidRPr="00E55FA4">
        <w:rPr>
          <w:b/>
          <w:bCs/>
        </w:rPr>
        <w:t>Financial Overview</w:t>
      </w:r>
    </w:p>
    <w:p w14:paraId="582F8BCD" w14:textId="77777777" w:rsidR="000733A2" w:rsidRPr="00E55FA4" w:rsidRDefault="000733A2" w:rsidP="000733A2">
      <w:pPr>
        <w:rPr>
          <w:i/>
          <w:iCs/>
        </w:rPr>
      </w:pPr>
    </w:p>
    <w:p w14:paraId="33131CA1" w14:textId="09B703CD" w:rsidR="000733A2" w:rsidRPr="00E55FA4" w:rsidRDefault="000733A2" w:rsidP="000733A2">
      <w:pPr>
        <w:rPr>
          <w:i/>
          <w:iCs/>
        </w:rPr>
      </w:pPr>
      <w:r w:rsidRPr="00E55FA4">
        <w:rPr>
          <w:i/>
          <w:iCs/>
        </w:rPr>
        <w:t>Revenue</w:t>
      </w:r>
    </w:p>
    <w:p w14:paraId="7F3E0834" w14:textId="77777777" w:rsidR="000733A2" w:rsidRPr="00E55FA4" w:rsidRDefault="000733A2" w:rsidP="000733A2"/>
    <w:p w14:paraId="09CDAA2E" w14:textId="418B2803" w:rsidR="000733A2" w:rsidRPr="00E55FA4" w:rsidRDefault="009E2F9F" w:rsidP="000733A2">
      <w:r w:rsidRPr="00DD33CB">
        <w:rPr>
          <w:color w:val="000000"/>
        </w:rPr>
        <w:t>We have not generated any revenues</w:t>
      </w:r>
      <w:r>
        <w:rPr>
          <w:color w:val="000000"/>
        </w:rPr>
        <w:t xml:space="preserve"> to date</w:t>
      </w:r>
      <w:r w:rsidRPr="00DD33CB">
        <w:rPr>
          <w:color w:val="000000"/>
        </w:rPr>
        <w:t xml:space="preserve"> from the sale of the products we are developing</w:t>
      </w:r>
      <w:r w:rsidR="000733A2" w:rsidRPr="00E55FA4">
        <w:t xml:space="preserve">.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t>
      </w:r>
    </w:p>
    <w:p w14:paraId="320660C8" w14:textId="77777777" w:rsidR="000733A2" w:rsidRPr="00E55FA4" w:rsidRDefault="000733A2" w:rsidP="000733A2"/>
    <w:p w14:paraId="39BBA9BB" w14:textId="77777777" w:rsidR="000733A2" w:rsidRPr="00E55FA4" w:rsidRDefault="000733A2" w:rsidP="000733A2">
      <w:pPr>
        <w:rPr>
          <w:i/>
          <w:iCs/>
        </w:rPr>
      </w:pPr>
      <w:r w:rsidRPr="00E55FA4">
        <w:rPr>
          <w:i/>
          <w:iCs/>
        </w:rPr>
        <w:t>Research and development expenses</w:t>
      </w:r>
    </w:p>
    <w:p w14:paraId="6F6B32F0" w14:textId="77777777" w:rsidR="000733A2" w:rsidRPr="00E55FA4" w:rsidRDefault="000733A2" w:rsidP="000733A2"/>
    <w:p w14:paraId="71776424" w14:textId="77777777" w:rsidR="009E2F9F" w:rsidRPr="00AE68C1" w:rsidRDefault="009E2F9F" w:rsidP="00E6483E">
      <w:pPr>
        <w:rPr>
          <w:color w:val="000000"/>
        </w:rPr>
      </w:pPr>
      <w:r w:rsidRPr="00AE68C1">
        <w:rPr>
          <w:color w:val="000000"/>
        </w:rPr>
        <w:t>Since our inception, we have focused and we continue to focus significant resources on our research and development activities, including developing our vector platform and analytical testing methods, conducting preclinical studies, developing manufacturing processes, and conducting clinical trials. Research and development costs are expensed as incurred and consist primarily of the following:</w:t>
      </w:r>
    </w:p>
    <w:p w14:paraId="0C49B790" w14:textId="77777777" w:rsidR="009E2F9F" w:rsidRPr="00AE68C1" w:rsidRDefault="009E2F9F" w:rsidP="00E6483E">
      <w:pPr>
        <w:ind w:left="360" w:hanging="360"/>
        <w:rPr>
          <w:color w:val="000000"/>
          <w:lang w:eastAsia="zh-CN"/>
        </w:rPr>
      </w:pPr>
      <w:r w:rsidRPr="00AE68C1">
        <w:rPr>
          <w:color w:val="000000"/>
          <w:lang w:eastAsia="zh-CN"/>
        </w:rPr>
        <w:t>•</w:t>
      </w:r>
      <w:r w:rsidRPr="00AE68C1">
        <w:rPr>
          <w:color w:val="000000"/>
          <w:lang w:eastAsia="zh-CN"/>
        </w:rPr>
        <w:tab/>
        <w:t xml:space="preserve">personnel costs in our research, development and regulatory functions, which include salaries, benefits and stock-based </w:t>
      </w:r>
      <w:proofErr w:type="gramStart"/>
      <w:r w:rsidRPr="00AE68C1">
        <w:rPr>
          <w:color w:val="000000"/>
          <w:lang w:eastAsia="zh-CN"/>
        </w:rPr>
        <w:t>compensation;</w:t>
      </w:r>
      <w:proofErr w:type="gramEnd"/>
    </w:p>
    <w:p w14:paraId="0313B3CE" w14:textId="77777777" w:rsidR="009E2F9F" w:rsidRPr="00AE68C1" w:rsidRDefault="009E2F9F" w:rsidP="00E6483E">
      <w:pPr>
        <w:ind w:left="360" w:hanging="360"/>
        <w:rPr>
          <w:color w:val="000000"/>
          <w:lang w:eastAsia="zh-CN"/>
        </w:rPr>
      </w:pPr>
      <w:r w:rsidRPr="00AE68C1">
        <w:rPr>
          <w:color w:val="000000"/>
          <w:lang w:eastAsia="zh-CN"/>
        </w:rPr>
        <w:t>•</w:t>
      </w:r>
      <w:r w:rsidRPr="00AE68C1">
        <w:rPr>
          <w:color w:val="000000"/>
          <w:lang w:eastAsia="zh-CN"/>
        </w:rPr>
        <w:tab/>
        <w:t xml:space="preserve">expenses incurred under agreements with contract research organizations (“CROs”), that conduct clinical trials on our </w:t>
      </w:r>
      <w:proofErr w:type="gramStart"/>
      <w:r w:rsidRPr="00AE68C1">
        <w:rPr>
          <w:color w:val="000000"/>
          <w:lang w:eastAsia="zh-CN"/>
        </w:rPr>
        <w:t>behalf;</w:t>
      </w:r>
      <w:proofErr w:type="gramEnd"/>
    </w:p>
    <w:p w14:paraId="25E5AAEC" w14:textId="77777777" w:rsidR="009E2F9F" w:rsidRPr="00AE68C1" w:rsidRDefault="009E2F9F" w:rsidP="00E6483E">
      <w:pPr>
        <w:ind w:left="360" w:hanging="360"/>
        <w:rPr>
          <w:color w:val="000000"/>
          <w:lang w:eastAsia="zh-CN"/>
        </w:rPr>
      </w:pPr>
      <w:r w:rsidRPr="00AE68C1">
        <w:rPr>
          <w:color w:val="000000"/>
          <w:lang w:eastAsia="zh-CN"/>
        </w:rPr>
        <w:t>•</w:t>
      </w:r>
      <w:r w:rsidRPr="00AE68C1">
        <w:rPr>
          <w:color w:val="000000"/>
          <w:lang w:eastAsia="zh-CN"/>
        </w:rPr>
        <w:tab/>
        <w:t xml:space="preserve">expenses incurred under agreements with contract manufacturing organizations (“CMOs”), that manufacture product used in the clinical </w:t>
      </w:r>
      <w:proofErr w:type="gramStart"/>
      <w:r w:rsidRPr="00AE68C1">
        <w:rPr>
          <w:color w:val="000000"/>
          <w:lang w:eastAsia="zh-CN"/>
        </w:rPr>
        <w:t>trials;</w:t>
      </w:r>
      <w:proofErr w:type="gramEnd"/>
    </w:p>
    <w:p w14:paraId="76DAE558" w14:textId="77777777" w:rsidR="009E2F9F" w:rsidRPr="00AE68C1" w:rsidRDefault="009E2F9F" w:rsidP="00E6483E">
      <w:pPr>
        <w:ind w:left="360" w:hanging="360"/>
        <w:rPr>
          <w:color w:val="000000"/>
          <w:lang w:eastAsia="zh-CN"/>
        </w:rPr>
      </w:pPr>
      <w:r w:rsidRPr="00AE68C1">
        <w:rPr>
          <w:color w:val="000000"/>
          <w:lang w:eastAsia="zh-CN"/>
        </w:rPr>
        <w:t>•</w:t>
      </w:r>
      <w:r w:rsidRPr="00AE68C1">
        <w:rPr>
          <w:color w:val="000000"/>
          <w:lang w:eastAsia="zh-CN"/>
        </w:rPr>
        <w:tab/>
        <w:t xml:space="preserve">expenses incurred in procuring materials and for analytical and release testing services required to produce vaccine candidates used in clinical </w:t>
      </w:r>
      <w:proofErr w:type="gramStart"/>
      <w:r w:rsidRPr="00AE68C1">
        <w:rPr>
          <w:color w:val="000000"/>
          <w:lang w:eastAsia="zh-CN"/>
        </w:rPr>
        <w:t>trials;</w:t>
      </w:r>
      <w:proofErr w:type="gramEnd"/>
    </w:p>
    <w:p w14:paraId="469D47FF" w14:textId="77777777" w:rsidR="009E2F9F" w:rsidRPr="00AE68C1" w:rsidRDefault="009E2F9F" w:rsidP="00E6483E">
      <w:pPr>
        <w:ind w:left="360" w:hanging="360"/>
        <w:rPr>
          <w:color w:val="000000"/>
          <w:lang w:eastAsia="zh-CN"/>
        </w:rPr>
      </w:pPr>
      <w:r w:rsidRPr="00AE68C1">
        <w:rPr>
          <w:color w:val="000000"/>
          <w:lang w:eastAsia="zh-CN"/>
        </w:rPr>
        <w:t>•</w:t>
      </w:r>
      <w:r w:rsidRPr="00AE68C1">
        <w:rPr>
          <w:color w:val="000000"/>
          <w:lang w:eastAsia="zh-CN"/>
        </w:rPr>
        <w:tab/>
        <w:t xml:space="preserve">process development expenses incurred internally and externally to improve the efficiency and yield of the bulk </w:t>
      </w:r>
      <w:proofErr w:type="gramStart"/>
      <w:r w:rsidRPr="00AE68C1">
        <w:rPr>
          <w:color w:val="000000"/>
          <w:lang w:eastAsia="zh-CN"/>
        </w:rPr>
        <w:t>vaccine;</w:t>
      </w:r>
      <w:proofErr w:type="gramEnd"/>
    </w:p>
    <w:p w14:paraId="1ADFD230" w14:textId="77777777" w:rsidR="009E2F9F" w:rsidRPr="00AE68C1" w:rsidRDefault="009E2F9F" w:rsidP="00E6483E">
      <w:pPr>
        <w:ind w:left="360" w:hanging="360"/>
        <w:rPr>
          <w:color w:val="000000"/>
          <w:lang w:eastAsia="zh-CN"/>
        </w:rPr>
      </w:pPr>
      <w:r w:rsidRPr="00AE68C1">
        <w:rPr>
          <w:color w:val="000000"/>
          <w:lang w:eastAsia="zh-CN"/>
        </w:rPr>
        <w:t>•</w:t>
      </w:r>
      <w:r w:rsidRPr="00AE68C1">
        <w:rPr>
          <w:color w:val="000000"/>
          <w:lang w:eastAsia="zh-CN"/>
        </w:rPr>
        <w:tab/>
        <w:t xml:space="preserve">laboratory supplies, vendor expenses and other third-party contract expenses related to preclinical research </w:t>
      </w:r>
      <w:proofErr w:type="gramStart"/>
      <w:r w:rsidRPr="00AE68C1">
        <w:rPr>
          <w:color w:val="000000"/>
          <w:lang w:eastAsia="zh-CN"/>
        </w:rPr>
        <w:t>activities;</w:t>
      </w:r>
      <w:proofErr w:type="gramEnd"/>
    </w:p>
    <w:p w14:paraId="178F3908" w14:textId="77777777" w:rsidR="009E2F9F" w:rsidRPr="00AE68C1" w:rsidRDefault="009E2F9F" w:rsidP="00E6483E">
      <w:pPr>
        <w:ind w:left="360" w:hanging="360"/>
        <w:rPr>
          <w:color w:val="000000"/>
          <w:lang w:eastAsia="zh-CN"/>
        </w:rPr>
      </w:pPr>
      <w:r w:rsidRPr="00AE68C1">
        <w:rPr>
          <w:color w:val="000000"/>
          <w:lang w:eastAsia="zh-CN"/>
        </w:rPr>
        <w:t>•</w:t>
      </w:r>
      <w:r w:rsidRPr="00AE68C1">
        <w:rPr>
          <w:color w:val="000000"/>
          <w:lang w:eastAsia="zh-CN"/>
        </w:rPr>
        <w:tab/>
        <w:t xml:space="preserve">technology license </w:t>
      </w:r>
      <w:proofErr w:type="gramStart"/>
      <w:r w:rsidRPr="00AE68C1">
        <w:rPr>
          <w:color w:val="000000"/>
          <w:lang w:eastAsia="zh-CN"/>
        </w:rPr>
        <w:t>fees;</w:t>
      </w:r>
      <w:proofErr w:type="gramEnd"/>
    </w:p>
    <w:p w14:paraId="6C8BA738" w14:textId="77777777" w:rsidR="009E2F9F" w:rsidRPr="00AE68C1" w:rsidRDefault="009E2F9F" w:rsidP="00E6483E">
      <w:pPr>
        <w:ind w:left="360" w:hanging="360"/>
        <w:rPr>
          <w:color w:val="000000"/>
          <w:lang w:eastAsia="zh-CN"/>
        </w:rPr>
      </w:pPr>
      <w:r w:rsidRPr="00AE68C1">
        <w:rPr>
          <w:color w:val="000000"/>
          <w:lang w:eastAsia="zh-CN"/>
        </w:rPr>
        <w:t>•</w:t>
      </w:r>
      <w:r w:rsidRPr="00AE68C1">
        <w:rPr>
          <w:color w:val="000000"/>
          <w:lang w:eastAsia="zh-CN"/>
        </w:rPr>
        <w:tab/>
        <w:t>consultant expenses for services supporting our clinical, regulatory and manufacturing activities; and</w:t>
      </w:r>
    </w:p>
    <w:p w14:paraId="449AFBD7" w14:textId="77777777" w:rsidR="009E2F9F" w:rsidRPr="00AE68C1" w:rsidRDefault="009E2F9F" w:rsidP="00E6483E">
      <w:pPr>
        <w:ind w:left="360" w:hanging="360"/>
        <w:rPr>
          <w:color w:val="000000"/>
          <w:lang w:eastAsia="zh-CN"/>
        </w:rPr>
      </w:pPr>
      <w:r w:rsidRPr="00AE68C1">
        <w:rPr>
          <w:color w:val="000000"/>
          <w:lang w:eastAsia="zh-CN"/>
        </w:rPr>
        <w:t>•</w:t>
      </w:r>
      <w:r w:rsidRPr="00AE68C1">
        <w:rPr>
          <w:color w:val="000000"/>
          <w:lang w:eastAsia="zh-CN"/>
        </w:rPr>
        <w:tab/>
        <w:t>facilities, depreciation and other general overhead expenses.</w:t>
      </w:r>
    </w:p>
    <w:p w14:paraId="08BC418C" w14:textId="77777777" w:rsidR="009E2F9F" w:rsidRPr="00AE68C1" w:rsidRDefault="009E2F9F" w:rsidP="00E6483E">
      <w:pPr>
        <w:rPr>
          <w:color w:val="000000"/>
          <w:lang w:eastAsia="zh-CN"/>
        </w:rPr>
      </w:pPr>
    </w:p>
    <w:p w14:paraId="392B548D" w14:textId="7A110852" w:rsidR="009E2F9F" w:rsidRPr="00AE68C1" w:rsidRDefault="009E2F9F" w:rsidP="00E6483E">
      <w:pPr>
        <w:rPr>
          <w:color w:val="000000"/>
        </w:rPr>
      </w:pPr>
      <w:r w:rsidRPr="00AE68C1">
        <w:rPr>
          <w:color w:val="000000"/>
        </w:rPr>
        <w:t>We expect our research and development expenditures to increase as we advance our existing and future product candidates into and through clinical trials and pursue regulatory approval, especially with regard to the Gedeptin and GEO-CM04S1 clinical programs. We do not provide forward-looking estimates of costs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3598AF17" w14:textId="77777777" w:rsidR="000733A2" w:rsidRPr="00E55FA4" w:rsidRDefault="000733A2" w:rsidP="000733A2"/>
    <w:p w14:paraId="3D81DD52" w14:textId="77777777" w:rsidR="000733A2" w:rsidRPr="00E55FA4" w:rsidRDefault="000733A2" w:rsidP="000733A2">
      <w:pPr>
        <w:rPr>
          <w:i/>
          <w:iCs/>
        </w:rPr>
      </w:pPr>
      <w:r w:rsidRPr="00E55FA4">
        <w:rPr>
          <w:i/>
          <w:iCs/>
        </w:rPr>
        <w:t>General and administrative expenses</w:t>
      </w:r>
    </w:p>
    <w:p w14:paraId="3A147612" w14:textId="77777777" w:rsidR="000733A2" w:rsidRPr="00E55FA4" w:rsidRDefault="000733A2" w:rsidP="000733A2"/>
    <w:p w14:paraId="375E8D4C" w14:textId="77777777" w:rsidR="009E2F9F" w:rsidRPr="00AE68C1" w:rsidRDefault="009E2F9F" w:rsidP="00E6483E">
      <w:pPr>
        <w:rPr>
          <w:color w:val="000000"/>
        </w:rPr>
      </w:pPr>
      <w:r w:rsidRPr="00AE68C1">
        <w:rPr>
          <w:color w:val="000000"/>
        </w:rPr>
        <w:t>Our general and administrative expenses consist primarily of personnel costs in our executive, finance and investor relations, business development and administrative functions, including stock-based compensation. Other general and administrative expenses include consulting fees, professional service fees for accounting and legal services, lease expenses related to our offices, insurance premiums, intellectual property costs incurred in connection with filing and prosecuting patent applications, depreciation and other costs. We expect our general and administrative expenses to continue to increase in the future as we support expanded research and development activities, prepare for potential commercialization of our current and future product candidates, maintain compliance with requirements of Nasdaq and the Securities and Exchange Commission, and other general corporate activities.</w:t>
      </w:r>
    </w:p>
    <w:p w14:paraId="0C751484" w14:textId="77777777" w:rsidR="000733A2" w:rsidRDefault="000733A2" w:rsidP="00177E79"/>
    <w:p w14:paraId="04FAEA2E" w14:textId="5EC7E532" w:rsidR="000733A2" w:rsidRPr="0009354D" w:rsidRDefault="000733A2" w:rsidP="000733A2">
      <w:pPr>
        <w:rPr>
          <w:rFonts w:eastAsia="????"/>
          <w:b/>
        </w:rPr>
      </w:pPr>
      <w:r w:rsidRPr="0009354D">
        <w:rPr>
          <w:rFonts w:eastAsia="????"/>
          <w:b/>
        </w:rPr>
        <w:t>Critical Accounting Policies and Estimates</w:t>
      </w:r>
    </w:p>
    <w:p w14:paraId="28F68F40" w14:textId="77777777" w:rsidR="000733A2" w:rsidRPr="0009354D" w:rsidRDefault="000733A2" w:rsidP="000733A2"/>
    <w:p w14:paraId="15E247FE" w14:textId="77777777" w:rsidR="000733A2" w:rsidRPr="0009354D" w:rsidRDefault="000733A2" w:rsidP="000733A2">
      <w:r w:rsidRPr="0009354D">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24F0A887" w14:textId="77777777" w:rsidR="000733A2" w:rsidRPr="0009354D" w:rsidRDefault="000733A2" w:rsidP="000733A2"/>
    <w:p w14:paraId="3F7E00EF" w14:textId="5B99CFDF" w:rsidR="000733A2" w:rsidRPr="0009354D" w:rsidRDefault="000733A2" w:rsidP="000733A2">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w:t>
      </w:r>
      <w:r w:rsidR="00AF7C6C">
        <w:t xml:space="preserve">to </w:t>
      </w:r>
      <w:r w:rsidR="006201DA">
        <w:t>the</w:t>
      </w:r>
      <w:r w:rsidRPr="0009354D">
        <w:t xml:space="preserve"> Management’s Discussion and Analysis of Financial Condition and Results of Operations in our Annual Report on Form 10-K for the year ended December 31, 202</w:t>
      </w:r>
      <w:r w:rsidR="00B05CAC">
        <w:t>3</w:t>
      </w:r>
      <w:r w:rsidRPr="0009354D">
        <w:t>. There have been no significant changes to our critical accounting policies from those disclosed in our 202</w:t>
      </w:r>
      <w:r w:rsidR="00B05CAC">
        <w:t>3</w:t>
      </w:r>
      <w:r w:rsidRPr="0009354D">
        <w:t xml:space="preserve"> Annual Report.</w:t>
      </w:r>
    </w:p>
    <w:p w14:paraId="5FF6AC03" w14:textId="77777777" w:rsidR="000733A2" w:rsidRPr="0009354D" w:rsidRDefault="000733A2" w:rsidP="000733A2">
      <w:pPr>
        <w:rPr>
          <w:rFonts w:eastAsia="????"/>
          <w:b/>
        </w:rPr>
      </w:pPr>
    </w:p>
    <w:p w14:paraId="1531CB1B" w14:textId="2DF0CBF8" w:rsidR="000733A2" w:rsidRPr="0009354D" w:rsidRDefault="000733A2" w:rsidP="000733A2">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w:t>
      </w:r>
      <w:r>
        <w:rPr>
          <w:rFonts w:eastAsia="????"/>
        </w:rPr>
        <w:t>2</w:t>
      </w:r>
      <w:r w:rsidRPr="0009354D">
        <w:rPr>
          <w:rFonts w:eastAsia="????"/>
        </w:rPr>
        <w:t xml:space="preserve"> to the condensed consolidated financial statements, included in this Quarterly Report.</w:t>
      </w:r>
    </w:p>
    <w:p w14:paraId="46161159" w14:textId="77777777" w:rsidR="000733A2" w:rsidRDefault="000733A2" w:rsidP="00177E79"/>
    <w:p w14:paraId="489A766B" w14:textId="77777777" w:rsidR="00ED1E26" w:rsidRPr="001C37F3" w:rsidRDefault="00ED1E26" w:rsidP="00ED1E26">
      <w:pPr>
        <w:rPr>
          <w:b/>
          <w:iCs/>
        </w:rPr>
      </w:pPr>
      <w:r w:rsidRPr="001C37F3">
        <w:rPr>
          <w:b/>
          <w:iCs/>
        </w:rPr>
        <w:t>Off-Balance Sheet Arrangements</w:t>
      </w:r>
    </w:p>
    <w:p w14:paraId="68BDCA26" w14:textId="77777777" w:rsidR="00ED1E26" w:rsidRPr="00640BA0" w:rsidRDefault="00ED1E26" w:rsidP="00ED1E26"/>
    <w:p w14:paraId="5401077E" w14:textId="77777777" w:rsidR="00ED1E26" w:rsidRDefault="00ED1E26" w:rsidP="00ED1E26">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3A46C904" w14:textId="77777777" w:rsidR="00ED1E26" w:rsidRDefault="00ED1E26" w:rsidP="00177E79"/>
    <w:p w14:paraId="1FE83587" w14:textId="595143FC" w:rsidR="00177E79" w:rsidRPr="0009354D" w:rsidRDefault="00177E79" w:rsidP="00177E79">
      <w:pPr>
        <w:rPr>
          <w:rFonts w:eastAsia="????"/>
          <w:b/>
        </w:rPr>
      </w:pPr>
      <w:r w:rsidRPr="0018023D">
        <w:rPr>
          <w:rFonts w:eastAsia="????"/>
          <w:b/>
        </w:rPr>
        <w:t>Results of Operations</w:t>
      </w:r>
    </w:p>
    <w:p w14:paraId="2A5A41A7" w14:textId="77777777" w:rsidR="00177E79" w:rsidRPr="0009354D" w:rsidRDefault="00177E79" w:rsidP="00177E79">
      <w:pPr>
        <w:rPr>
          <w:i/>
          <w:iCs/>
        </w:rPr>
      </w:pPr>
    </w:p>
    <w:p w14:paraId="639573B1" w14:textId="111FE458" w:rsidR="00177E79" w:rsidRDefault="00177E79" w:rsidP="00177E79">
      <w:pPr>
        <w:tabs>
          <w:tab w:val="left" w:pos="1080"/>
          <w:tab w:val="left" w:pos="1260"/>
          <w:tab w:val="left" w:pos="2340"/>
          <w:tab w:val="right" w:pos="9180"/>
        </w:tabs>
        <w:ind w:right="36"/>
        <w:rPr>
          <w:bCs/>
        </w:rPr>
      </w:pPr>
      <w:bookmarkStart w:id="16" w:name="_Hlk77172497"/>
      <w:r w:rsidRPr="0009354D">
        <w:rPr>
          <w:bCs/>
        </w:rPr>
        <w:t>The following table summarize</w:t>
      </w:r>
      <w:r w:rsidR="001F2E8C">
        <w:rPr>
          <w:bCs/>
        </w:rPr>
        <w:t>s</w:t>
      </w:r>
      <w:r w:rsidRPr="0009354D">
        <w:rPr>
          <w:bCs/>
        </w:rPr>
        <w:t xml:space="preserve"> our results of operations for the three-month periods ended </w:t>
      </w:r>
      <w:r w:rsidR="001F2E8C">
        <w:rPr>
          <w:bCs/>
        </w:rPr>
        <w:t>March</w:t>
      </w:r>
      <w:r w:rsidRPr="0009354D">
        <w:rPr>
          <w:bCs/>
        </w:rPr>
        <w:t xml:space="preserve"> 3</w:t>
      </w:r>
      <w:r w:rsidR="001F2E8C">
        <w:rPr>
          <w:bCs/>
        </w:rPr>
        <w:t>1</w:t>
      </w:r>
      <w:r w:rsidRPr="0009354D">
        <w:rPr>
          <w:bCs/>
        </w:rPr>
        <w:t xml:space="preserve">, </w:t>
      </w:r>
      <w:proofErr w:type="gramStart"/>
      <w:r w:rsidRPr="0009354D">
        <w:rPr>
          <w:bCs/>
        </w:rPr>
        <w:t>202</w:t>
      </w:r>
      <w:r w:rsidR="003A1755">
        <w:rPr>
          <w:bCs/>
        </w:rPr>
        <w:t>4</w:t>
      </w:r>
      <w:proofErr w:type="gramEnd"/>
      <w:r w:rsidRPr="0009354D">
        <w:rPr>
          <w:bCs/>
        </w:rPr>
        <w:t xml:space="preserve"> and 20</w:t>
      </w:r>
      <w:r w:rsidR="001F2E8C">
        <w:rPr>
          <w:bCs/>
        </w:rPr>
        <w:t>2</w:t>
      </w:r>
      <w:r w:rsidR="003A1755">
        <w:rPr>
          <w:bCs/>
        </w:rPr>
        <w:t>3</w:t>
      </w:r>
      <w:r w:rsidRPr="0009354D">
        <w:rPr>
          <w:bCs/>
        </w:rPr>
        <w:t>:</w:t>
      </w:r>
      <w:bookmarkEnd w:id="16"/>
    </w:p>
    <w:p w14:paraId="5523F180" w14:textId="77777777" w:rsidR="001F2E8C" w:rsidRPr="0009354D" w:rsidRDefault="001F2E8C" w:rsidP="00177E79">
      <w:pPr>
        <w:tabs>
          <w:tab w:val="left" w:pos="1080"/>
          <w:tab w:val="left" w:pos="1260"/>
          <w:tab w:val="left" w:pos="2340"/>
          <w:tab w:val="right" w:pos="9180"/>
        </w:tabs>
        <w:ind w:right="36"/>
        <w:rPr>
          <w:bCs/>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177E79" w:rsidRPr="0009354D" w14:paraId="3107B1A1" w14:textId="77777777" w:rsidTr="002741E2">
        <w:tc>
          <w:tcPr>
            <w:tcW w:w="378" w:type="dxa"/>
          </w:tcPr>
          <w:p w14:paraId="778426D6" w14:textId="77777777" w:rsidR="00177E79" w:rsidRPr="0009354D" w:rsidRDefault="00177E79" w:rsidP="002741E2">
            <w:pPr>
              <w:ind w:right="-360"/>
            </w:pPr>
            <w:bookmarkStart w:id="17" w:name="_Hlk77171369"/>
            <w:bookmarkStart w:id="18" w:name="_Hlk98341236"/>
          </w:p>
        </w:tc>
        <w:tc>
          <w:tcPr>
            <w:tcW w:w="450" w:type="dxa"/>
          </w:tcPr>
          <w:p w14:paraId="23D2E245" w14:textId="77777777" w:rsidR="00177E79" w:rsidRPr="0009354D" w:rsidRDefault="00177E79" w:rsidP="002741E2">
            <w:pPr>
              <w:ind w:right="-360"/>
            </w:pPr>
          </w:p>
        </w:tc>
        <w:tc>
          <w:tcPr>
            <w:tcW w:w="450" w:type="dxa"/>
          </w:tcPr>
          <w:p w14:paraId="6C3F34B9" w14:textId="77777777" w:rsidR="00177E79" w:rsidRPr="0009354D" w:rsidRDefault="00177E79" w:rsidP="002741E2">
            <w:pPr>
              <w:ind w:right="-360"/>
            </w:pPr>
          </w:p>
        </w:tc>
        <w:tc>
          <w:tcPr>
            <w:tcW w:w="2160" w:type="dxa"/>
          </w:tcPr>
          <w:p w14:paraId="4FD69E3C" w14:textId="77777777" w:rsidR="00177E79" w:rsidRPr="0009354D" w:rsidRDefault="00177E79" w:rsidP="002741E2">
            <w:pPr>
              <w:tabs>
                <w:tab w:val="right" w:pos="9180"/>
              </w:tabs>
              <w:ind w:right="-360"/>
            </w:pPr>
          </w:p>
        </w:tc>
        <w:tc>
          <w:tcPr>
            <w:tcW w:w="1152" w:type="dxa"/>
          </w:tcPr>
          <w:p w14:paraId="7781358A" w14:textId="77777777" w:rsidR="00177E79" w:rsidRPr="0009354D" w:rsidRDefault="00177E79" w:rsidP="002741E2">
            <w:pPr>
              <w:tabs>
                <w:tab w:val="right" w:pos="9180"/>
              </w:tabs>
              <w:ind w:right="-46"/>
              <w:jc w:val="center"/>
            </w:pPr>
          </w:p>
        </w:tc>
        <w:tc>
          <w:tcPr>
            <w:tcW w:w="3168" w:type="dxa"/>
            <w:gridSpan w:val="2"/>
            <w:tcBorders>
              <w:bottom w:val="single" w:sz="4" w:space="0" w:color="auto"/>
            </w:tcBorders>
          </w:tcPr>
          <w:p w14:paraId="32EFF5DB" w14:textId="64D69818" w:rsidR="00177E79" w:rsidRPr="0009354D" w:rsidRDefault="00177E79" w:rsidP="002741E2">
            <w:pPr>
              <w:tabs>
                <w:tab w:val="right" w:pos="9180"/>
              </w:tabs>
              <w:ind w:right="-18"/>
              <w:jc w:val="center"/>
            </w:pPr>
            <w:r w:rsidRPr="0009354D">
              <w:t xml:space="preserve">Three Months Ended </w:t>
            </w:r>
            <w:r w:rsidR="001F2E8C">
              <w:t>March</w:t>
            </w:r>
            <w:r w:rsidRPr="0009354D">
              <w:t xml:space="preserve"> 3</w:t>
            </w:r>
            <w:r w:rsidR="001F2E8C">
              <w:t>1</w:t>
            </w:r>
            <w:r w:rsidRPr="0009354D">
              <w:t>,</w:t>
            </w:r>
          </w:p>
        </w:tc>
        <w:tc>
          <w:tcPr>
            <w:tcW w:w="1530" w:type="dxa"/>
          </w:tcPr>
          <w:p w14:paraId="3AB79CD0" w14:textId="77777777" w:rsidR="00177E79" w:rsidRPr="0009354D" w:rsidRDefault="00177E79" w:rsidP="002741E2">
            <w:pPr>
              <w:tabs>
                <w:tab w:val="right" w:pos="9180"/>
              </w:tabs>
              <w:ind w:right="-18"/>
              <w:jc w:val="center"/>
            </w:pPr>
          </w:p>
        </w:tc>
      </w:tr>
      <w:bookmarkEnd w:id="17"/>
      <w:tr w:rsidR="00177E79" w:rsidRPr="0009354D" w14:paraId="37758165" w14:textId="77777777" w:rsidTr="002741E2">
        <w:tc>
          <w:tcPr>
            <w:tcW w:w="378" w:type="dxa"/>
          </w:tcPr>
          <w:p w14:paraId="0F362DB5" w14:textId="77777777" w:rsidR="00177E79" w:rsidRPr="0009354D" w:rsidRDefault="00177E79" w:rsidP="002741E2">
            <w:pPr>
              <w:ind w:right="-360"/>
            </w:pPr>
          </w:p>
        </w:tc>
        <w:tc>
          <w:tcPr>
            <w:tcW w:w="450" w:type="dxa"/>
          </w:tcPr>
          <w:p w14:paraId="2C841F6B" w14:textId="77777777" w:rsidR="00177E79" w:rsidRPr="0009354D" w:rsidRDefault="00177E79" w:rsidP="002741E2">
            <w:pPr>
              <w:ind w:right="-360"/>
            </w:pPr>
          </w:p>
        </w:tc>
        <w:tc>
          <w:tcPr>
            <w:tcW w:w="450" w:type="dxa"/>
          </w:tcPr>
          <w:p w14:paraId="63B61B38" w14:textId="77777777" w:rsidR="00177E79" w:rsidRPr="0009354D" w:rsidRDefault="00177E79" w:rsidP="002741E2">
            <w:pPr>
              <w:ind w:right="-360"/>
            </w:pPr>
          </w:p>
        </w:tc>
        <w:tc>
          <w:tcPr>
            <w:tcW w:w="2160" w:type="dxa"/>
          </w:tcPr>
          <w:p w14:paraId="5C3F1AE5" w14:textId="77777777" w:rsidR="00177E79" w:rsidRPr="0009354D" w:rsidRDefault="00177E79" w:rsidP="002741E2">
            <w:pPr>
              <w:tabs>
                <w:tab w:val="right" w:pos="9180"/>
              </w:tabs>
              <w:ind w:right="-360"/>
            </w:pPr>
          </w:p>
        </w:tc>
        <w:tc>
          <w:tcPr>
            <w:tcW w:w="1152" w:type="dxa"/>
          </w:tcPr>
          <w:p w14:paraId="7BF79E13" w14:textId="77777777" w:rsidR="00177E79" w:rsidRPr="0009354D" w:rsidRDefault="00177E79" w:rsidP="002741E2">
            <w:pPr>
              <w:tabs>
                <w:tab w:val="right" w:pos="9180"/>
              </w:tabs>
              <w:ind w:right="-46"/>
              <w:jc w:val="center"/>
            </w:pPr>
          </w:p>
        </w:tc>
        <w:tc>
          <w:tcPr>
            <w:tcW w:w="1530" w:type="dxa"/>
            <w:tcBorders>
              <w:bottom w:val="single" w:sz="4" w:space="0" w:color="auto"/>
            </w:tcBorders>
          </w:tcPr>
          <w:p w14:paraId="65784BC4" w14:textId="11BC2FDE" w:rsidR="00177E79" w:rsidRPr="0009354D" w:rsidRDefault="00177E79" w:rsidP="002741E2">
            <w:pPr>
              <w:tabs>
                <w:tab w:val="right" w:pos="9180"/>
              </w:tabs>
              <w:ind w:right="-46"/>
              <w:jc w:val="center"/>
            </w:pPr>
            <w:r w:rsidRPr="0009354D">
              <w:t>202</w:t>
            </w:r>
            <w:r w:rsidR="003A1755">
              <w:t>4</w:t>
            </w:r>
          </w:p>
        </w:tc>
        <w:tc>
          <w:tcPr>
            <w:tcW w:w="1638" w:type="dxa"/>
            <w:tcBorders>
              <w:bottom w:val="single" w:sz="4" w:space="0" w:color="auto"/>
            </w:tcBorders>
          </w:tcPr>
          <w:p w14:paraId="52FF8AA0" w14:textId="6311538B" w:rsidR="00177E79" w:rsidRPr="0009354D" w:rsidRDefault="00177E79" w:rsidP="002741E2">
            <w:pPr>
              <w:tabs>
                <w:tab w:val="right" w:pos="9180"/>
              </w:tabs>
              <w:ind w:right="-18"/>
              <w:jc w:val="center"/>
            </w:pPr>
            <w:r w:rsidRPr="0009354D">
              <w:t>202</w:t>
            </w:r>
            <w:r w:rsidR="003A1755">
              <w:t>3</w:t>
            </w:r>
          </w:p>
        </w:tc>
        <w:tc>
          <w:tcPr>
            <w:tcW w:w="1530" w:type="dxa"/>
            <w:tcBorders>
              <w:bottom w:val="single" w:sz="4" w:space="0" w:color="auto"/>
            </w:tcBorders>
          </w:tcPr>
          <w:p w14:paraId="3075EF99" w14:textId="77777777" w:rsidR="00177E79" w:rsidRPr="0009354D" w:rsidRDefault="00177E79" w:rsidP="002741E2">
            <w:pPr>
              <w:tabs>
                <w:tab w:val="right" w:pos="9180"/>
              </w:tabs>
              <w:ind w:right="-18"/>
              <w:jc w:val="center"/>
            </w:pPr>
            <w:r w:rsidRPr="0009354D">
              <w:t>Change</w:t>
            </w:r>
          </w:p>
        </w:tc>
      </w:tr>
      <w:tr w:rsidR="00177E79" w:rsidRPr="0009354D" w14:paraId="66BDBF57" w14:textId="77777777" w:rsidTr="002741E2">
        <w:tc>
          <w:tcPr>
            <w:tcW w:w="3438" w:type="dxa"/>
            <w:gridSpan w:val="4"/>
          </w:tcPr>
          <w:p w14:paraId="44C99006" w14:textId="77777777" w:rsidR="00177E79" w:rsidRPr="0009354D" w:rsidRDefault="00177E79" w:rsidP="002741E2">
            <w:pPr>
              <w:tabs>
                <w:tab w:val="right" w:pos="9180"/>
              </w:tabs>
              <w:ind w:right="-360"/>
            </w:pPr>
            <w:r w:rsidRPr="0009354D">
              <w:t>Operating expenses:</w:t>
            </w:r>
          </w:p>
        </w:tc>
        <w:tc>
          <w:tcPr>
            <w:tcW w:w="1152" w:type="dxa"/>
          </w:tcPr>
          <w:p w14:paraId="03A711BF" w14:textId="77777777" w:rsidR="00177E79" w:rsidRPr="0009354D" w:rsidRDefault="00177E79" w:rsidP="002741E2">
            <w:pPr>
              <w:tabs>
                <w:tab w:val="right" w:pos="9180"/>
              </w:tabs>
              <w:ind w:right="-46"/>
            </w:pPr>
          </w:p>
        </w:tc>
        <w:tc>
          <w:tcPr>
            <w:tcW w:w="1530" w:type="dxa"/>
          </w:tcPr>
          <w:p w14:paraId="3B607E84" w14:textId="77777777" w:rsidR="00177E79" w:rsidRPr="0009354D" w:rsidRDefault="00177E79" w:rsidP="002741E2">
            <w:pPr>
              <w:tabs>
                <w:tab w:val="right" w:pos="9180"/>
              </w:tabs>
              <w:ind w:right="-46"/>
            </w:pPr>
          </w:p>
        </w:tc>
        <w:tc>
          <w:tcPr>
            <w:tcW w:w="1638" w:type="dxa"/>
          </w:tcPr>
          <w:p w14:paraId="7FE25548" w14:textId="77777777" w:rsidR="00177E79" w:rsidRPr="0009354D" w:rsidRDefault="00177E79" w:rsidP="002741E2">
            <w:pPr>
              <w:tabs>
                <w:tab w:val="right" w:pos="9180"/>
              </w:tabs>
              <w:ind w:right="-18"/>
            </w:pPr>
          </w:p>
        </w:tc>
        <w:tc>
          <w:tcPr>
            <w:tcW w:w="1530" w:type="dxa"/>
          </w:tcPr>
          <w:p w14:paraId="28EEA85D" w14:textId="77777777" w:rsidR="00177E79" w:rsidRPr="0009354D" w:rsidRDefault="00177E79" w:rsidP="002741E2">
            <w:pPr>
              <w:tabs>
                <w:tab w:val="right" w:pos="9180"/>
              </w:tabs>
              <w:ind w:right="-18"/>
            </w:pPr>
          </w:p>
        </w:tc>
      </w:tr>
      <w:tr w:rsidR="00177E79" w:rsidRPr="0009354D" w14:paraId="4041EE5E" w14:textId="77777777" w:rsidTr="002741E2">
        <w:tc>
          <w:tcPr>
            <w:tcW w:w="378" w:type="dxa"/>
          </w:tcPr>
          <w:p w14:paraId="1862585B" w14:textId="77777777" w:rsidR="00177E79" w:rsidRPr="0009354D" w:rsidRDefault="00177E79" w:rsidP="002741E2">
            <w:pPr>
              <w:ind w:right="-360"/>
            </w:pPr>
          </w:p>
        </w:tc>
        <w:tc>
          <w:tcPr>
            <w:tcW w:w="3060" w:type="dxa"/>
            <w:gridSpan w:val="3"/>
          </w:tcPr>
          <w:p w14:paraId="0FE4562E" w14:textId="77777777" w:rsidR="00177E79" w:rsidRPr="0009354D" w:rsidRDefault="00177E79" w:rsidP="002741E2">
            <w:pPr>
              <w:tabs>
                <w:tab w:val="right" w:pos="9180"/>
              </w:tabs>
              <w:ind w:right="-360"/>
            </w:pPr>
            <w:r w:rsidRPr="0009354D">
              <w:t>Research and development</w:t>
            </w:r>
          </w:p>
        </w:tc>
        <w:tc>
          <w:tcPr>
            <w:tcW w:w="1152" w:type="dxa"/>
          </w:tcPr>
          <w:p w14:paraId="45CAE240" w14:textId="77777777" w:rsidR="00177E79" w:rsidRPr="0009354D" w:rsidRDefault="00177E79" w:rsidP="002741E2">
            <w:pPr>
              <w:tabs>
                <w:tab w:val="decimal" w:pos="1062"/>
                <w:tab w:val="right" w:pos="9180"/>
              </w:tabs>
              <w:ind w:right="-46"/>
            </w:pPr>
          </w:p>
        </w:tc>
        <w:tc>
          <w:tcPr>
            <w:tcW w:w="1530" w:type="dxa"/>
          </w:tcPr>
          <w:p w14:paraId="13568C4A" w14:textId="75C47656" w:rsidR="00177E79" w:rsidRPr="0009354D" w:rsidRDefault="00C67341" w:rsidP="002741E2">
            <w:pPr>
              <w:tabs>
                <w:tab w:val="decimal" w:pos="1062"/>
                <w:tab w:val="right" w:pos="9180"/>
              </w:tabs>
              <w:ind w:right="-46"/>
            </w:pPr>
            <w:r>
              <w:t>$</w:t>
            </w:r>
            <w:r w:rsidR="00177E79" w:rsidRPr="0009354D">
              <w:tab/>
            </w:r>
            <w:r w:rsidR="000F4385">
              <w:t>4,425,728</w:t>
            </w:r>
          </w:p>
        </w:tc>
        <w:tc>
          <w:tcPr>
            <w:tcW w:w="1638" w:type="dxa"/>
          </w:tcPr>
          <w:p w14:paraId="7A50C0F4" w14:textId="0CFCC648" w:rsidR="00177E79" w:rsidRPr="0009354D" w:rsidRDefault="00C67341" w:rsidP="006201DA">
            <w:pPr>
              <w:tabs>
                <w:tab w:val="decimal" w:pos="1157"/>
                <w:tab w:val="right" w:pos="9180"/>
              </w:tabs>
              <w:ind w:right="-18"/>
            </w:pPr>
            <w:r>
              <w:t>$</w:t>
            </w:r>
            <w:r w:rsidR="00177E79" w:rsidRPr="0009354D">
              <w:tab/>
            </w:r>
            <w:r w:rsidR="003A1755">
              <w:t>2,819,189</w:t>
            </w:r>
          </w:p>
        </w:tc>
        <w:tc>
          <w:tcPr>
            <w:tcW w:w="1530" w:type="dxa"/>
          </w:tcPr>
          <w:p w14:paraId="07075B30" w14:textId="584F6BC8" w:rsidR="00177E79" w:rsidRPr="0009354D" w:rsidRDefault="00C67341" w:rsidP="002741E2">
            <w:pPr>
              <w:tabs>
                <w:tab w:val="decimal" w:pos="1152"/>
                <w:tab w:val="right" w:pos="9180"/>
              </w:tabs>
              <w:ind w:right="-18"/>
            </w:pPr>
            <w:r>
              <w:t>$</w:t>
            </w:r>
            <w:r w:rsidR="00177E79" w:rsidRPr="0009354D">
              <w:tab/>
            </w:r>
            <w:r w:rsidR="000F4385">
              <w:t>1,606,539</w:t>
            </w:r>
          </w:p>
        </w:tc>
      </w:tr>
      <w:tr w:rsidR="00177E79" w:rsidRPr="0009354D" w14:paraId="3616694B" w14:textId="77777777" w:rsidTr="002741E2">
        <w:tc>
          <w:tcPr>
            <w:tcW w:w="378" w:type="dxa"/>
          </w:tcPr>
          <w:p w14:paraId="3C627340" w14:textId="77777777" w:rsidR="00177E79" w:rsidRPr="0009354D" w:rsidRDefault="00177E79" w:rsidP="002741E2">
            <w:pPr>
              <w:ind w:right="-360"/>
            </w:pPr>
          </w:p>
        </w:tc>
        <w:tc>
          <w:tcPr>
            <w:tcW w:w="3060" w:type="dxa"/>
            <w:gridSpan w:val="3"/>
          </w:tcPr>
          <w:p w14:paraId="27EC35B1" w14:textId="77777777" w:rsidR="00177E79" w:rsidRPr="0009354D" w:rsidRDefault="00177E79" w:rsidP="002741E2">
            <w:pPr>
              <w:tabs>
                <w:tab w:val="right" w:pos="9180"/>
              </w:tabs>
              <w:ind w:right="-360"/>
            </w:pPr>
            <w:r w:rsidRPr="0009354D">
              <w:t>General and administrative</w:t>
            </w:r>
          </w:p>
        </w:tc>
        <w:tc>
          <w:tcPr>
            <w:tcW w:w="1152" w:type="dxa"/>
          </w:tcPr>
          <w:p w14:paraId="2BD4A02B" w14:textId="77777777" w:rsidR="00177E79" w:rsidRPr="0009354D" w:rsidRDefault="00177E79" w:rsidP="002741E2">
            <w:pPr>
              <w:tabs>
                <w:tab w:val="decimal" w:pos="1062"/>
                <w:tab w:val="right" w:pos="9180"/>
              </w:tabs>
              <w:ind w:right="-46"/>
            </w:pPr>
          </w:p>
        </w:tc>
        <w:tc>
          <w:tcPr>
            <w:tcW w:w="1530" w:type="dxa"/>
          </w:tcPr>
          <w:p w14:paraId="1711556F" w14:textId="1BC79BC2" w:rsidR="00177E79" w:rsidRPr="0009354D" w:rsidRDefault="00177E79" w:rsidP="002741E2">
            <w:pPr>
              <w:tabs>
                <w:tab w:val="decimal" w:pos="1062"/>
                <w:tab w:val="right" w:pos="9180"/>
              </w:tabs>
              <w:ind w:right="-46"/>
            </w:pPr>
            <w:r w:rsidRPr="0009354D">
              <w:tab/>
            </w:r>
            <w:r w:rsidR="000F4385">
              <w:t>1,457,353</w:t>
            </w:r>
          </w:p>
        </w:tc>
        <w:tc>
          <w:tcPr>
            <w:tcW w:w="1638" w:type="dxa"/>
          </w:tcPr>
          <w:p w14:paraId="0F074590" w14:textId="4868C1B6" w:rsidR="00177E79" w:rsidRPr="0009354D" w:rsidRDefault="00177E79" w:rsidP="006201DA">
            <w:pPr>
              <w:tabs>
                <w:tab w:val="decimal" w:pos="1157"/>
                <w:tab w:val="right" w:pos="9180"/>
              </w:tabs>
              <w:ind w:right="-18"/>
            </w:pPr>
            <w:r w:rsidRPr="0009354D">
              <w:tab/>
            </w:r>
            <w:r w:rsidR="006A266A">
              <w:t>1,</w:t>
            </w:r>
            <w:r w:rsidR="003A1755">
              <w:t>451,425</w:t>
            </w:r>
          </w:p>
        </w:tc>
        <w:tc>
          <w:tcPr>
            <w:tcW w:w="1530" w:type="dxa"/>
          </w:tcPr>
          <w:p w14:paraId="25046EAB" w14:textId="6A5AC588" w:rsidR="00177E79" w:rsidRPr="0009354D" w:rsidRDefault="00177E79" w:rsidP="002741E2">
            <w:pPr>
              <w:tabs>
                <w:tab w:val="decimal" w:pos="1152"/>
                <w:tab w:val="right" w:pos="9180"/>
              </w:tabs>
              <w:ind w:right="-18"/>
            </w:pPr>
            <w:r w:rsidRPr="0009354D">
              <w:tab/>
            </w:r>
            <w:r w:rsidR="000F4385">
              <w:t>5,928</w:t>
            </w:r>
          </w:p>
        </w:tc>
      </w:tr>
      <w:tr w:rsidR="00177E79" w:rsidRPr="0009354D" w14:paraId="17930986" w14:textId="77777777" w:rsidTr="002741E2">
        <w:tc>
          <w:tcPr>
            <w:tcW w:w="3438" w:type="dxa"/>
            <w:gridSpan w:val="4"/>
          </w:tcPr>
          <w:p w14:paraId="14D22D8D" w14:textId="77777777" w:rsidR="00177E79" w:rsidRPr="0009354D" w:rsidRDefault="00177E79" w:rsidP="002741E2">
            <w:pPr>
              <w:tabs>
                <w:tab w:val="right" w:pos="9180"/>
              </w:tabs>
              <w:ind w:right="-360"/>
            </w:pPr>
            <w:r w:rsidRPr="0009354D">
              <w:t>Total operating expenses</w:t>
            </w:r>
          </w:p>
        </w:tc>
        <w:tc>
          <w:tcPr>
            <w:tcW w:w="1152" w:type="dxa"/>
          </w:tcPr>
          <w:p w14:paraId="5E2A42C0" w14:textId="77777777" w:rsidR="00177E79" w:rsidRPr="0009354D" w:rsidRDefault="00177E79" w:rsidP="002741E2">
            <w:pPr>
              <w:tabs>
                <w:tab w:val="decimal" w:pos="1062"/>
                <w:tab w:val="right" w:pos="9180"/>
              </w:tabs>
              <w:ind w:right="-46"/>
            </w:pPr>
          </w:p>
        </w:tc>
        <w:tc>
          <w:tcPr>
            <w:tcW w:w="1530" w:type="dxa"/>
            <w:tcBorders>
              <w:top w:val="single" w:sz="4" w:space="0" w:color="auto"/>
              <w:bottom w:val="single" w:sz="4" w:space="0" w:color="auto"/>
            </w:tcBorders>
          </w:tcPr>
          <w:p w14:paraId="164FB95D" w14:textId="70F85BB1" w:rsidR="00177E79" w:rsidRPr="0009354D" w:rsidRDefault="00177E79" w:rsidP="002741E2">
            <w:pPr>
              <w:tabs>
                <w:tab w:val="decimal" w:pos="1062"/>
                <w:tab w:val="right" w:pos="9180"/>
              </w:tabs>
              <w:ind w:right="-46"/>
            </w:pPr>
            <w:r w:rsidRPr="0009354D">
              <w:tab/>
            </w:r>
            <w:r w:rsidR="000F4385">
              <w:t>5,883,081</w:t>
            </w:r>
          </w:p>
        </w:tc>
        <w:tc>
          <w:tcPr>
            <w:tcW w:w="1638" w:type="dxa"/>
            <w:tcBorders>
              <w:top w:val="single" w:sz="4" w:space="0" w:color="auto"/>
              <w:bottom w:val="single" w:sz="4" w:space="0" w:color="auto"/>
            </w:tcBorders>
          </w:tcPr>
          <w:p w14:paraId="0B86D0B2" w14:textId="0DBB7768" w:rsidR="00177E79" w:rsidRPr="0009354D" w:rsidRDefault="00177E79" w:rsidP="006201DA">
            <w:pPr>
              <w:tabs>
                <w:tab w:val="decimal" w:pos="1157"/>
                <w:tab w:val="right" w:pos="9180"/>
              </w:tabs>
              <w:ind w:right="-18"/>
            </w:pPr>
            <w:r w:rsidRPr="0009354D">
              <w:tab/>
            </w:r>
            <w:r w:rsidR="003A1755">
              <w:t>4,270,614</w:t>
            </w:r>
          </w:p>
        </w:tc>
        <w:tc>
          <w:tcPr>
            <w:tcW w:w="1530" w:type="dxa"/>
            <w:tcBorders>
              <w:top w:val="single" w:sz="4" w:space="0" w:color="auto"/>
              <w:bottom w:val="single" w:sz="4" w:space="0" w:color="auto"/>
            </w:tcBorders>
          </w:tcPr>
          <w:p w14:paraId="4E010113" w14:textId="4AC81468" w:rsidR="00177E79" w:rsidRPr="0009354D" w:rsidRDefault="00177E79" w:rsidP="002741E2">
            <w:pPr>
              <w:tabs>
                <w:tab w:val="decimal" w:pos="1152"/>
                <w:tab w:val="right" w:pos="9180"/>
              </w:tabs>
              <w:ind w:right="-18"/>
            </w:pPr>
            <w:r w:rsidRPr="0009354D">
              <w:tab/>
            </w:r>
            <w:r w:rsidR="000F4385">
              <w:t>1,612,467</w:t>
            </w:r>
          </w:p>
        </w:tc>
      </w:tr>
      <w:bookmarkEnd w:id="18"/>
      <w:tr w:rsidR="00177E79" w:rsidRPr="0009354D" w14:paraId="2A8E53C4" w14:textId="77777777" w:rsidTr="002741E2">
        <w:tc>
          <w:tcPr>
            <w:tcW w:w="3438" w:type="dxa"/>
            <w:gridSpan w:val="4"/>
          </w:tcPr>
          <w:p w14:paraId="7EE1286D" w14:textId="77777777" w:rsidR="00177E79" w:rsidRPr="0009354D" w:rsidRDefault="00177E79" w:rsidP="002741E2">
            <w:pPr>
              <w:tabs>
                <w:tab w:val="right" w:pos="9180"/>
              </w:tabs>
              <w:ind w:right="-360"/>
            </w:pPr>
            <w:r w:rsidRPr="0009354D">
              <w:t>Loss from operations</w:t>
            </w:r>
          </w:p>
        </w:tc>
        <w:tc>
          <w:tcPr>
            <w:tcW w:w="1152" w:type="dxa"/>
          </w:tcPr>
          <w:p w14:paraId="1ED8DA21" w14:textId="77777777" w:rsidR="00177E79" w:rsidRPr="0009354D" w:rsidRDefault="00177E79" w:rsidP="002741E2">
            <w:pPr>
              <w:tabs>
                <w:tab w:val="decimal" w:pos="1062"/>
                <w:tab w:val="right" w:pos="9180"/>
              </w:tabs>
              <w:ind w:right="-46"/>
            </w:pPr>
          </w:p>
        </w:tc>
        <w:tc>
          <w:tcPr>
            <w:tcW w:w="1530" w:type="dxa"/>
          </w:tcPr>
          <w:p w14:paraId="0034F9A3" w14:textId="2F83A325" w:rsidR="00177E79" w:rsidRPr="0009354D" w:rsidRDefault="00177E79" w:rsidP="002741E2">
            <w:pPr>
              <w:tabs>
                <w:tab w:val="decimal" w:pos="1062"/>
                <w:tab w:val="right" w:pos="9180"/>
              </w:tabs>
              <w:ind w:right="-46"/>
            </w:pPr>
            <w:r w:rsidRPr="0009354D">
              <w:tab/>
            </w:r>
            <w:r w:rsidR="000F4385">
              <w:t>(5,883,081)</w:t>
            </w:r>
          </w:p>
        </w:tc>
        <w:tc>
          <w:tcPr>
            <w:tcW w:w="1638" w:type="dxa"/>
          </w:tcPr>
          <w:p w14:paraId="0B5986EF" w14:textId="5B842925" w:rsidR="00177E79" w:rsidRPr="0009354D" w:rsidRDefault="00177E79" w:rsidP="006201DA">
            <w:pPr>
              <w:tabs>
                <w:tab w:val="decimal" w:pos="1157"/>
                <w:tab w:val="right" w:pos="9180"/>
              </w:tabs>
              <w:ind w:right="-18"/>
            </w:pPr>
            <w:r w:rsidRPr="0009354D">
              <w:tab/>
            </w:r>
            <w:r w:rsidR="006A266A">
              <w:t>(</w:t>
            </w:r>
            <w:r w:rsidR="003A1755">
              <w:t>4,270,614</w:t>
            </w:r>
            <w:r w:rsidR="006A266A">
              <w:t>)</w:t>
            </w:r>
          </w:p>
        </w:tc>
        <w:tc>
          <w:tcPr>
            <w:tcW w:w="1530" w:type="dxa"/>
          </w:tcPr>
          <w:p w14:paraId="049A3275" w14:textId="66036BB4" w:rsidR="00177E79" w:rsidRPr="0009354D" w:rsidRDefault="00177E79" w:rsidP="002741E2">
            <w:pPr>
              <w:tabs>
                <w:tab w:val="decimal" w:pos="1152"/>
                <w:tab w:val="right" w:pos="9180"/>
              </w:tabs>
              <w:ind w:right="-18"/>
            </w:pPr>
            <w:r w:rsidRPr="0009354D">
              <w:tab/>
            </w:r>
            <w:r w:rsidR="000F4385">
              <w:t>(1,612,467)</w:t>
            </w:r>
          </w:p>
        </w:tc>
      </w:tr>
      <w:tr w:rsidR="00177E79" w:rsidRPr="0009354D" w14:paraId="42BD0B20" w14:textId="77777777" w:rsidTr="002741E2">
        <w:tc>
          <w:tcPr>
            <w:tcW w:w="3438" w:type="dxa"/>
            <w:gridSpan w:val="4"/>
          </w:tcPr>
          <w:p w14:paraId="3130434D" w14:textId="64103CEC" w:rsidR="00177E79" w:rsidRPr="0009354D" w:rsidRDefault="000733A2" w:rsidP="002741E2">
            <w:pPr>
              <w:tabs>
                <w:tab w:val="right" w:pos="9180"/>
              </w:tabs>
              <w:ind w:right="-360"/>
            </w:pPr>
            <w:r>
              <w:t>Interest income</w:t>
            </w:r>
          </w:p>
        </w:tc>
        <w:tc>
          <w:tcPr>
            <w:tcW w:w="1152" w:type="dxa"/>
          </w:tcPr>
          <w:p w14:paraId="23929D4B" w14:textId="77777777" w:rsidR="00177E79" w:rsidRPr="0009354D" w:rsidRDefault="00177E79" w:rsidP="002741E2">
            <w:pPr>
              <w:tabs>
                <w:tab w:val="decimal" w:pos="1062"/>
                <w:tab w:val="right" w:pos="9180"/>
              </w:tabs>
              <w:ind w:right="-46"/>
            </w:pPr>
          </w:p>
        </w:tc>
        <w:tc>
          <w:tcPr>
            <w:tcW w:w="1530" w:type="dxa"/>
            <w:tcBorders>
              <w:bottom w:val="single" w:sz="4" w:space="0" w:color="auto"/>
            </w:tcBorders>
          </w:tcPr>
          <w:p w14:paraId="4AA90230" w14:textId="0A359627" w:rsidR="00177E79" w:rsidRPr="0009354D" w:rsidRDefault="00177E79" w:rsidP="002741E2">
            <w:pPr>
              <w:tabs>
                <w:tab w:val="decimal" w:pos="1062"/>
                <w:tab w:val="right" w:pos="9180"/>
              </w:tabs>
              <w:ind w:right="-46"/>
            </w:pPr>
            <w:r w:rsidRPr="0009354D">
              <w:tab/>
            </w:r>
            <w:r w:rsidR="000F4385">
              <w:t>32,949</w:t>
            </w:r>
          </w:p>
        </w:tc>
        <w:tc>
          <w:tcPr>
            <w:tcW w:w="1638" w:type="dxa"/>
            <w:tcBorders>
              <w:bottom w:val="single" w:sz="4" w:space="0" w:color="auto"/>
            </w:tcBorders>
          </w:tcPr>
          <w:p w14:paraId="50C5D144" w14:textId="3A630A17" w:rsidR="00177E79" w:rsidRPr="0009354D" w:rsidRDefault="00177E79" w:rsidP="006201DA">
            <w:pPr>
              <w:tabs>
                <w:tab w:val="decimal" w:pos="1157"/>
                <w:tab w:val="right" w:pos="9180"/>
              </w:tabs>
              <w:ind w:right="-18"/>
            </w:pPr>
            <w:r w:rsidRPr="0009354D">
              <w:tab/>
            </w:r>
            <w:r w:rsidR="003A1755">
              <w:t>232,698</w:t>
            </w:r>
          </w:p>
        </w:tc>
        <w:tc>
          <w:tcPr>
            <w:tcW w:w="1530" w:type="dxa"/>
            <w:tcBorders>
              <w:bottom w:val="single" w:sz="4" w:space="0" w:color="auto"/>
            </w:tcBorders>
          </w:tcPr>
          <w:p w14:paraId="4FF9F1C6" w14:textId="1058F53A" w:rsidR="00177E79" w:rsidRPr="0009354D" w:rsidRDefault="00177E79" w:rsidP="002741E2">
            <w:pPr>
              <w:tabs>
                <w:tab w:val="decimal" w:pos="1152"/>
                <w:tab w:val="right" w:pos="9180"/>
              </w:tabs>
              <w:ind w:right="-18"/>
            </w:pPr>
            <w:r w:rsidRPr="0009354D">
              <w:tab/>
            </w:r>
            <w:r w:rsidR="000F4385">
              <w:t>(199,749)</w:t>
            </w:r>
          </w:p>
        </w:tc>
      </w:tr>
      <w:tr w:rsidR="00177E79" w:rsidRPr="0009354D" w14:paraId="019E5DBC" w14:textId="77777777" w:rsidTr="002741E2">
        <w:tc>
          <w:tcPr>
            <w:tcW w:w="3438" w:type="dxa"/>
            <w:gridSpan w:val="4"/>
          </w:tcPr>
          <w:p w14:paraId="6960AE6D" w14:textId="77777777" w:rsidR="00177E79" w:rsidRPr="0009354D" w:rsidRDefault="00177E79" w:rsidP="002741E2">
            <w:pPr>
              <w:tabs>
                <w:tab w:val="right" w:pos="9180"/>
              </w:tabs>
              <w:ind w:right="-360"/>
            </w:pPr>
            <w:r w:rsidRPr="0009354D">
              <w:t>Net loss</w:t>
            </w:r>
          </w:p>
        </w:tc>
        <w:tc>
          <w:tcPr>
            <w:tcW w:w="1152" w:type="dxa"/>
          </w:tcPr>
          <w:p w14:paraId="3D1089B4" w14:textId="77777777" w:rsidR="00177E79" w:rsidRPr="0009354D" w:rsidRDefault="00177E79" w:rsidP="002741E2">
            <w:pPr>
              <w:tabs>
                <w:tab w:val="decimal" w:pos="1062"/>
                <w:tab w:val="right" w:pos="9180"/>
              </w:tabs>
              <w:ind w:right="-46"/>
            </w:pPr>
          </w:p>
        </w:tc>
        <w:tc>
          <w:tcPr>
            <w:tcW w:w="1530" w:type="dxa"/>
            <w:tcBorders>
              <w:bottom w:val="double" w:sz="4" w:space="0" w:color="auto"/>
            </w:tcBorders>
          </w:tcPr>
          <w:p w14:paraId="3E7F8CC4" w14:textId="5BB8C6D3" w:rsidR="00177E79" w:rsidRPr="0009354D" w:rsidRDefault="00177E79" w:rsidP="002741E2">
            <w:pPr>
              <w:tabs>
                <w:tab w:val="decimal" w:pos="1062"/>
                <w:tab w:val="right" w:pos="9180"/>
              </w:tabs>
              <w:ind w:right="-46"/>
            </w:pPr>
            <w:r w:rsidRPr="0009354D">
              <w:t>$</w:t>
            </w:r>
            <w:r w:rsidRPr="0009354D">
              <w:tab/>
            </w:r>
            <w:r w:rsidR="000F4385">
              <w:t>(5,850,132)</w:t>
            </w:r>
          </w:p>
        </w:tc>
        <w:tc>
          <w:tcPr>
            <w:tcW w:w="1638" w:type="dxa"/>
            <w:tcBorders>
              <w:top w:val="single" w:sz="4" w:space="0" w:color="auto"/>
              <w:bottom w:val="double" w:sz="4" w:space="0" w:color="auto"/>
            </w:tcBorders>
          </w:tcPr>
          <w:p w14:paraId="3E4814E5" w14:textId="759CC670" w:rsidR="00177E79" w:rsidRPr="0009354D" w:rsidRDefault="00177E79" w:rsidP="006201DA">
            <w:pPr>
              <w:tabs>
                <w:tab w:val="decimal" w:pos="1157"/>
                <w:tab w:val="right" w:pos="9180"/>
              </w:tabs>
              <w:ind w:right="-18"/>
            </w:pPr>
            <w:r w:rsidRPr="0009354D">
              <w:t>$</w:t>
            </w:r>
            <w:r w:rsidRPr="0009354D">
              <w:tab/>
            </w:r>
            <w:r w:rsidR="006A266A">
              <w:t>(</w:t>
            </w:r>
            <w:r w:rsidR="003A1755">
              <w:t>4,037,916</w:t>
            </w:r>
            <w:r w:rsidR="006A266A">
              <w:t>)</w:t>
            </w:r>
          </w:p>
        </w:tc>
        <w:tc>
          <w:tcPr>
            <w:tcW w:w="1530" w:type="dxa"/>
            <w:tcBorders>
              <w:top w:val="single" w:sz="4" w:space="0" w:color="auto"/>
              <w:bottom w:val="double" w:sz="4" w:space="0" w:color="auto"/>
            </w:tcBorders>
          </w:tcPr>
          <w:p w14:paraId="6E5658ED" w14:textId="292C5BAA" w:rsidR="00177E79" w:rsidRPr="0009354D" w:rsidRDefault="00177E79" w:rsidP="002741E2">
            <w:pPr>
              <w:tabs>
                <w:tab w:val="decimal" w:pos="1152"/>
                <w:tab w:val="right" w:pos="9180"/>
              </w:tabs>
              <w:ind w:right="-18"/>
            </w:pPr>
            <w:r w:rsidRPr="0009354D">
              <w:t>$</w:t>
            </w:r>
            <w:r w:rsidRPr="0009354D">
              <w:tab/>
            </w:r>
            <w:r w:rsidR="000F4385">
              <w:t>(1,812,216)</w:t>
            </w:r>
          </w:p>
        </w:tc>
      </w:tr>
    </w:tbl>
    <w:p w14:paraId="228BE27D" w14:textId="77777777" w:rsidR="0061314E" w:rsidRPr="0061314E" w:rsidRDefault="0061314E" w:rsidP="00177E79">
      <w:pPr>
        <w:rPr>
          <w:iCs/>
        </w:rPr>
      </w:pPr>
    </w:p>
    <w:p w14:paraId="3D829912" w14:textId="77777777" w:rsidR="00177E79" w:rsidRPr="0009354D" w:rsidRDefault="00177E79" w:rsidP="00177E79">
      <w:pPr>
        <w:rPr>
          <w:i/>
          <w:iCs/>
        </w:rPr>
      </w:pPr>
      <w:r w:rsidRPr="008F13AC">
        <w:rPr>
          <w:i/>
          <w:iCs/>
        </w:rPr>
        <w:t>Research and Development Expenses</w:t>
      </w:r>
    </w:p>
    <w:p w14:paraId="754F06EE" w14:textId="77777777" w:rsidR="00CE568B" w:rsidRDefault="00CE568B" w:rsidP="00177E79"/>
    <w:p w14:paraId="3A551792" w14:textId="149F0DC7" w:rsidR="00CE568B" w:rsidRDefault="00CE568B" w:rsidP="00177E79">
      <w:bookmarkStart w:id="19" w:name="_Hlk93678405"/>
      <w:r w:rsidRPr="00E55FA4">
        <w:t>Our research and development expenses were $</w:t>
      </w:r>
      <w:r w:rsidR="000F4385">
        <w:t>4,425,728</w:t>
      </w:r>
      <w:r w:rsidRPr="00E55FA4">
        <w:t xml:space="preserve"> for the </w:t>
      </w:r>
      <w:r>
        <w:t>three-month period</w:t>
      </w:r>
      <w:r w:rsidRPr="00E55FA4">
        <w:t xml:space="preserve"> ended </w:t>
      </w:r>
      <w:r>
        <w:t>March</w:t>
      </w:r>
      <w:r w:rsidRPr="00E55FA4">
        <w:t xml:space="preserve"> 31, 202</w:t>
      </w:r>
      <w:r w:rsidR="003A1755">
        <w:t>4</w:t>
      </w:r>
      <w:r w:rsidRPr="00E55FA4">
        <w:t>, as compared to $</w:t>
      </w:r>
      <w:r w:rsidR="003A1755">
        <w:t>2,819,189</w:t>
      </w:r>
      <w:r w:rsidRPr="00E55FA4">
        <w:t xml:space="preserve"> for </w:t>
      </w:r>
      <w:r>
        <w:t xml:space="preserve">the comparable </w:t>
      </w:r>
      <w:r w:rsidRPr="00E55FA4">
        <w:t>202</w:t>
      </w:r>
      <w:r w:rsidR="003A1755">
        <w:t>3</w:t>
      </w:r>
      <w:r>
        <w:t xml:space="preserve"> period</w:t>
      </w:r>
      <w:r w:rsidRPr="00E55FA4">
        <w:t>, representing a</w:t>
      </w:r>
      <w:r>
        <w:t xml:space="preserve">n increase </w:t>
      </w:r>
      <w:r w:rsidRPr="00E55FA4">
        <w:t>of $</w:t>
      </w:r>
      <w:r w:rsidR="000F4385">
        <w:t>1,606,539</w:t>
      </w:r>
      <w:r w:rsidRPr="00E55FA4">
        <w:t xml:space="preserve"> (</w:t>
      </w:r>
      <w:r w:rsidR="000F4385">
        <w:t>57</w:t>
      </w:r>
      <w:r w:rsidRPr="00E55FA4">
        <w:t>%).</w:t>
      </w:r>
      <w:bookmarkEnd w:id="19"/>
      <w:r w:rsidRPr="00E55FA4">
        <w:t xml:space="preserve"> </w:t>
      </w:r>
      <w:r w:rsidR="003A1755" w:rsidRPr="00246876">
        <w:t xml:space="preserve">The increase during </w:t>
      </w:r>
      <w:r w:rsidR="003A1755">
        <w:t>2024</w:t>
      </w:r>
      <w:r w:rsidR="003A1755" w:rsidRPr="00246876">
        <w:t xml:space="preserve"> relates primarily to costs of manufacturing materials for use in our clinical trials</w:t>
      </w:r>
      <w:r w:rsidR="00C67341">
        <w:t xml:space="preserve"> and other </w:t>
      </w:r>
      <w:r w:rsidR="00386AE1">
        <w:t xml:space="preserve">related </w:t>
      </w:r>
      <w:r w:rsidR="00C67341">
        <w:t>costs</w:t>
      </w:r>
      <w:r w:rsidR="003A1755">
        <w:t xml:space="preserve">, personnel costs, </w:t>
      </w:r>
      <w:r w:rsidR="00386AE1">
        <w:t xml:space="preserve">and </w:t>
      </w:r>
      <w:r w:rsidR="003A1755">
        <w:t>costs of preclinical research activities</w:t>
      </w:r>
      <w:r w:rsidR="003A1755" w:rsidRPr="00246876">
        <w:t>.</w:t>
      </w:r>
      <w:r w:rsidR="003A1755">
        <w:t xml:space="preserve"> </w:t>
      </w:r>
      <w:r w:rsidRPr="00E55FA4">
        <w:t>Research and development expense for 202</w:t>
      </w:r>
      <w:r w:rsidR="003A1755">
        <w:t>4</w:t>
      </w:r>
      <w:r w:rsidRPr="00E55FA4">
        <w:t xml:space="preserve"> and 202</w:t>
      </w:r>
      <w:r w:rsidR="003A1755">
        <w:t>3</w:t>
      </w:r>
      <w:r w:rsidRPr="00E55FA4">
        <w:t xml:space="preserve"> includes stock-based compensation expense of </w:t>
      </w:r>
      <w:r w:rsidRPr="008D0D87">
        <w:t>$</w:t>
      </w:r>
      <w:r w:rsidR="00386AE1">
        <w:t>53,099</w:t>
      </w:r>
      <w:r w:rsidRPr="008D0D87">
        <w:t xml:space="preserve"> and $</w:t>
      </w:r>
      <w:r w:rsidR="003A1755">
        <w:t>77,873</w:t>
      </w:r>
      <w:r w:rsidRPr="008D0D87">
        <w:t>, respectively</w:t>
      </w:r>
      <w:r w:rsidRPr="00E55FA4">
        <w:t>, associated with employee stock options.</w:t>
      </w:r>
    </w:p>
    <w:p w14:paraId="54A7F66B" w14:textId="77777777" w:rsidR="00386AE1" w:rsidRDefault="00386AE1" w:rsidP="00177E79"/>
    <w:p w14:paraId="13F00CA6" w14:textId="3B43FD31" w:rsidR="00177E79" w:rsidRPr="0009354D" w:rsidRDefault="00177E79" w:rsidP="00177E79">
      <w:pPr>
        <w:rPr>
          <w:i/>
          <w:iCs/>
        </w:rPr>
      </w:pPr>
      <w:r w:rsidRPr="0009354D">
        <w:rPr>
          <w:i/>
          <w:iCs/>
        </w:rPr>
        <w:lastRenderedPageBreak/>
        <w:t>General and Administrative Expenses</w:t>
      </w:r>
    </w:p>
    <w:p w14:paraId="3FD4DAC0" w14:textId="77777777" w:rsidR="00177E79" w:rsidRDefault="00177E79" w:rsidP="00177E79">
      <w:pPr>
        <w:rPr>
          <w:i/>
          <w:iCs/>
        </w:rPr>
      </w:pPr>
    </w:p>
    <w:p w14:paraId="29C66F09" w14:textId="7518A65F" w:rsidR="008D0D87" w:rsidRPr="00E55FA4" w:rsidRDefault="008D0D87" w:rsidP="008D0D87">
      <w:r w:rsidRPr="00E55FA4">
        <w:t>Our general and administrative expenses were $</w:t>
      </w:r>
      <w:r w:rsidR="000F4385">
        <w:t>1,457,353</w:t>
      </w:r>
      <w:r w:rsidRPr="00E55FA4">
        <w:t xml:space="preserve"> for the </w:t>
      </w:r>
      <w:r>
        <w:t>three-month period</w:t>
      </w:r>
      <w:r w:rsidRPr="00E55FA4">
        <w:t xml:space="preserve"> ended </w:t>
      </w:r>
      <w:r>
        <w:t>March</w:t>
      </w:r>
      <w:r w:rsidRPr="00E55FA4">
        <w:t xml:space="preserve"> 31, 202</w:t>
      </w:r>
      <w:r w:rsidR="003A1755">
        <w:t>4,</w:t>
      </w:r>
      <w:r w:rsidRPr="00E55FA4">
        <w:t xml:space="preserve"> as compared to $</w:t>
      </w:r>
      <w:r w:rsidR="003A1755">
        <w:t>1,451,425</w:t>
      </w:r>
      <w:r w:rsidRPr="00E55FA4">
        <w:t xml:space="preserve"> for </w:t>
      </w:r>
      <w:r>
        <w:t>the comparable 202</w:t>
      </w:r>
      <w:r w:rsidR="003A1755">
        <w:t>3</w:t>
      </w:r>
      <w:r>
        <w:t xml:space="preserve"> period</w:t>
      </w:r>
      <w:r w:rsidRPr="00E55FA4">
        <w:t>, representing an increase of $</w:t>
      </w:r>
      <w:r w:rsidR="000F4385">
        <w:t>5,928</w:t>
      </w:r>
      <w:r w:rsidRPr="00E55FA4">
        <w:t xml:space="preserve"> (</w:t>
      </w:r>
      <w:r w:rsidR="000F4385">
        <w:t>0.4</w:t>
      </w:r>
      <w:r w:rsidRPr="00E55FA4">
        <w:t>%). General and administrative expense for 202</w:t>
      </w:r>
      <w:r w:rsidR="003A1755">
        <w:t>4</w:t>
      </w:r>
      <w:r w:rsidRPr="00E55FA4">
        <w:t xml:space="preserve"> and 202</w:t>
      </w:r>
      <w:r w:rsidR="003A1755">
        <w:t>3</w:t>
      </w:r>
      <w:r w:rsidRPr="00E55FA4">
        <w:t xml:space="preserve"> includes stock-based compensation expense </w:t>
      </w:r>
      <w:r w:rsidRPr="008D0D87">
        <w:t>of $</w:t>
      </w:r>
      <w:r w:rsidR="00386AE1">
        <w:t xml:space="preserve">104,637 </w:t>
      </w:r>
      <w:r w:rsidRPr="008D0D87">
        <w:t>and $</w:t>
      </w:r>
      <w:r w:rsidR="003A1755">
        <w:t>168,166</w:t>
      </w:r>
      <w:r w:rsidRPr="008D0D87">
        <w:t>,</w:t>
      </w:r>
      <w:r w:rsidRPr="00E55FA4">
        <w:t xml:space="preserve"> respectively, associated with employee and consultant stock options and stock awards</w:t>
      </w:r>
      <w:r w:rsidR="00386AE1">
        <w:t>.</w:t>
      </w:r>
    </w:p>
    <w:p w14:paraId="651228BA" w14:textId="77777777" w:rsidR="00945DB9" w:rsidRPr="0009354D" w:rsidRDefault="00945DB9" w:rsidP="00177E79">
      <w:pPr>
        <w:rPr>
          <w:color w:val="000000"/>
        </w:rPr>
      </w:pPr>
    </w:p>
    <w:p w14:paraId="00E3DE76" w14:textId="2B35FF59" w:rsidR="00177E79" w:rsidRPr="0009354D" w:rsidRDefault="00177E79" w:rsidP="00177E79">
      <w:pPr>
        <w:rPr>
          <w:i/>
          <w:iCs/>
        </w:rPr>
      </w:pPr>
      <w:r w:rsidRPr="0009354D">
        <w:rPr>
          <w:i/>
          <w:iCs/>
        </w:rPr>
        <w:t>Other Income</w:t>
      </w:r>
    </w:p>
    <w:p w14:paraId="40DA0665" w14:textId="04ED979B" w:rsidR="00177E79" w:rsidRDefault="00177E79" w:rsidP="00177E79"/>
    <w:p w14:paraId="7E6FF04A" w14:textId="7DA56742" w:rsidR="00177E79" w:rsidRPr="0009354D" w:rsidRDefault="00B91E17" w:rsidP="008D0D87">
      <w:pPr>
        <w:pStyle w:val="BodyText"/>
        <w:spacing w:after="0"/>
      </w:pPr>
      <w:r w:rsidRPr="00F11B56">
        <w:t xml:space="preserve">Interest income for the three-month periods ended March 31, </w:t>
      </w:r>
      <w:proofErr w:type="gramStart"/>
      <w:r w:rsidRPr="00F11B56">
        <w:t>20</w:t>
      </w:r>
      <w:r>
        <w:t>2</w:t>
      </w:r>
      <w:r w:rsidR="003A1755">
        <w:t>4</w:t>
      </w:r>
      <w:proofErr w:type="gramEnd"/>
      <w:r w:rsidRPr="00F11B56">
        <w:t xml:space="preserve"> and 20</w:t>
      </w:r>
      <w:r>
        <w:t>2</w:t>
      </w:r>
      <w:r w:rsidR="003A1755">
        <w:t>3</w:t>
      </w:r>
      <w:r w:rsidRPr="00F11B56">
        <w:t xml:space="preserve"> was $</w:t>
      </w:r>
      <w:r w:rsidR="000F4385">
        <w:t>32,949</w:t>
      </w:r>
      <w:r w:rsidRPr="00F11B56">
        <w:t xml:space="preserve"> and $</w:t>
      </w:r>
      <w:r w:rsidR="003A1755">
        <w:t>232,698</w:t>
      </w:r>
      <w:r w:rsidRPr="00F11B56">
        <w:t xml:space="preserve">, respectively. </w:t>
      </w:r>
      <w:r w:rsidR="008D0D87">
        <w:t xml:space="preserve">The </w:t>
      </w:r>
      <w:r w:rsidR="003A1755">
        <w:t>decrease</w:t>
      </w:r>
      <w:r w:rsidR="008D0D87">
        <w:t xml:space="preserve"> during 202</w:t>
      </w:r>
      <w:r w:rsidR="003A1755">
        <w:t>4</w:t>
      </w:r>
      <w:r w:rsidR="008D0D87">
        <w:t xml:space="preserve"> is attributable to </w:t>
      </w:r>
      <w:r w:rsidR="003A1755">
        <w:t>lower</w:t>
      </w:r>
      <w:r w:rsidR="008D0D87">
        <w:t xml:space="preserve"> cash balances.</w:t>
      </w:r>
    </w:p>
    <w:p w14:paraId="12E55A47" w14:textId="77777777" w:rsidR="00177E79" w:rsidRPr="0009354D" w:rsidRDefault="00177E79" w:rsidP="00177E79"/>
    <w:p w14:paraId="03C5151D" w14:textId="77777777" w:rsidR="00177E79" w:rsidRPr="0009354D" w:rsidRDefault="00177E79" w:rsidP="00177E79">
      <w:pPr>
        <w:rPr>
          <w:rFonts w:eastAsia="????"/>
          <w:b/>
        </w:rPr>
      </w:pPr>
      <w:r w:rsidRPr="00F442E3">
        <w:rPr>
          <w:rFonts w:eastAsia="????"/>
          <w:b/>
        </w:rPr>
        <w:t>Liquidity and Capital Resources</w:t>
      </w:r>
    </w:p>
    <w:p w14:paraId="413CD1FC" w14:textId="77777777" w:rsidR="00177E79" w:rsidRPr="0009354D" w:rsidRDefault="00177E79" w:rsidP="00177E79"/>
    <w:p w14:paraId="55508F55" w14:textId="77CAC223" w:rsidR="00177E79" w:rsidRPr="0009354D" w:rsidRDefault="00177E79" w:rsidP="00177E79">
      <w:r w:rsidRPr="0009354D">
        <w:t xml:space="preserve">The following tables summarize our liquidity and capital resources as of </w:t>
      </w:r>
      <w:r w:rsidR="00224660">
        <w:t>March</w:t>
      </w:r>
      <w:r w:rsidRPr="0009354D">
        <w:t xml:space="preserve"> 3</w:t>
      </w:r>
      <w:r w:rsidR="00224660">
        <w:t>1,</w:t>
      </w:r>
      <w:r w:rsidRPr="0009354D">
        <w:t xml:space="preserve"> </w:t>
      </w:r>
      <w:proofErr w:type="gramStart"/>
      <w:r w:rsidRPr="0009354D">
        <w:t>202</w:t>
      </w:r>
      <w:r w:rsidR="003A1755">
        <w:t>4</w:t>
      </w:r>
      <w:proofErr w:type="gramEnd"/>
      <w:r w:rsidRPr="0009354D">
        <w:t xml:space="preserve"> and December 31, 202</w:t>
      </w:r>
      <w:r w:rsidR="003A1755">
        <w:t>3</w:t>
      </w:r>
      <w:r w:rsidRPr="0009354D">
        <w:t xml:space="preserve">, and our cash flows for the </w:t>
      </w:r>
      <w:r w:rsidR="00224660">
        <w:t>three</w:t>
      </w:r>
      <w:r w:rsidRPr="0009354D">
        <w:t xml:space="preserve">-month periods ended </w:t>
      </w:r>
      <w:r w:rsidR="00224660">
        <w:t>March</w:t>
      </w:r>
      <w:r w:rsidRPr="0009354D">
        <w:t xml:space="preserve"> 3</w:t>
      </w:r>
      <w:r w:rsidR="00224660">
        <w:t>1</w:t>
      </w:r>
      <w:r w:rsidRPr="0009354D">
        <w:t>, 202</w:t>
      </w:r>
      <w:r w:rsidR="003A1755">
        <w:t>4</w:t>
      </w:r>
      <w:r w:rsidRPr="0009354D">
        <w:t xml:space="preserve"> and 202</w:t>
      </w:r>
      <w:r w:rsidR="003A1755">
        <w:t>3</w:t>
      </w:r>
      <w:r w:rsidRPr="0009354D">
        <w:t>:</w:t>
      </w:r>
    </w:p>
    <w:p w14:paraId="0E97811B" w14:textId="77777777" w:rsidR="00177E79" w:rsidRPr="0009354D"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75EC65FA" w14:textId="77777777" w:rsidTr="002741E2">
        <w:tc>
          <w:tcPr>
            <w:tcW w:w="3870" w:type="dxa"/>
            <w:tcBorders>
              <w:bottom w:val="single" w:sz="4" w:space="0" w:color="auto"/>
            </w:tcBorders>
          </w:tcPr>
          <w:p w14:paraId="65409863" w14:textId="77777777" w:rsidR="00177E79" w:rsidRPr="0009354D" w:rsidRDefault="00177E79" w:rsidP="002741E2">
            <w:pPr>
              <w:tabs>
                <w:tab w:val="right" w:pos="9180"/>
              </w:tabs>
              <w:ind w:right="-360"/>
            </w:pPr>
            <w:r w:rsidRPr="0009354D">
              <w:t>Liquidity and Capital Resources</w:t>
            </w:r>
          </w:p>
        </w:tc>
        <w:tc>
          <w:tcPr>
            <w:tcW w:w="1008" w:type="dxa"/>
            <w:tcBorders>
              <w:bottom w:val="single" w:sz="4" w:space="0" w:color="auto"/>
            </w:tcBorders>
          </w:tcPr>
          <w:p w14:paraId="7A22F4EA"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2A1AA4E1" w14:textId="2511AE4B" w:rsidR="00177E79" w:rsidRPr="0009354D" w:rsidRDefault="00224660" w:rsidP="002741E2">
            <w:pPr>
              <w:tabs>
                <w:tab w:val="right" w:pos="9180"/>
              </w:tabs>
              <w:ind w:right="-18"/>
              <w:jc w:val="center"/>
            </w:pPr>
            <w:r>
              <w:t>March</w:t>
            </w:r>
            <w:r w:rsidR="00177E79" w:rsidRPr="0009354D">
              <w:t xml:space="preserve"> 3</w:t>
            </w:r>
            <w:r>
              <w:t>1</w:t>
            </w:r>
            <w:r w:rsidR="00177E79" w:rsidRPr="0009354D">
              <w:t>, 202</w:t>
            </w:r>
            <w:r w:rsidR="003A1755">
              <w:t>4</w:t>
            </w:r>
          </w:p>
        </w:tc>
        <w:tc>
          <w:tcPr>
            <w:tcW w:w="1836" w:type="dxa"/>
            <w:tcBorders>
              <w:bottom w:val="single" w:sz="4" w:space="0" w:color="auto"/>
            </w:tcBorders>
          </w:tcPr>
          <w:p w14:paraId="5B34068E" w14:textId="6925BA7C" w:rsidR="00177E79" w:rsidRPr="0009354D" w:rsidRDefault="00177E79" w:rsidP="002741E2">
            <w:pPr>
              <w:tabs>
                <w:tab w:val="right" w:pos="9180"/>
              </w:tabs>
              <w:ind w:right="-18"/>
              <w:jc w:val="center"/>
            </w:pPr>
            <w:r w:rsidRPr="0009354D">
              <w:t>December 31, 202</w:t>
            </w:r>
            <w:r w:rsidR="003A1755">
              <w:t>3</w:t>
            </w:r>
          </w:p>
        </w:tc>
      </w:tr>
      <w:tr w:rsidR="00177E79" w:rsidRPr="0009354D" w14:paraId="601A43B2" w14:textId="77777777" w:rsidTr="002741E2">
        <w:tc>
          <w:tcPr>
            <w:tcW w:w="3870" w:type="dxa"/>
            <w:tcBorders>
              <w:top w:val="single" w:sz="4" w:space="0" w:color="auto"/>
            </w:tcBorders>
          </w:tcPr>
          <w:p w14:paraId="09111359" w14:textId="77777777" w:rsidR="00177E79" w:rsidRPr="0009354D" w:rsidRDefault="00177E79" w:rsidP="002741E2">
            <w:pPr>
              <w:tabs>
                <w:tab w:val="right" w:pos="9180"/>
              </w:tabs>
              <w:ind w:right="-360"/>
            </w:pPr>
            <w:r w:rsidRPr="0009354D">
              <w:t>Cash and cash equivalents</w:t>
            </w:r>
          </w:p>
        </w:tc>
        <w:tc>
          <w:tcPr>
            <w:tcW w:w="1008" w:type="dxa"/>
            <w:tcBorders>
              <w:top w:val="single" w:sz="4" w:space="0" w:color="auto"/>
            </w:tcBorders>
          </w:tcPr>
          <w:p w14:paraId="6F1FE39E" w14:textId="77777777" w:rsidR="00177E79" w:rsidRPr="0009354D" w:rsidRDefault="00177E79" w:rsidP="002741E2">
            <w:pPr>
              <w:tabs>
                <w:tab w:val="decimal" w:pos="1062"/>
                <w:tab w:val="right" w:pos="9180"/>
              </w:tabs>
              <w:ind w:right="-18"/>
            </w:pPr>
          </w:p>
        </w:tc>
        <w:tc>
          <w:tcPr>
            <w:tcW w:w="1836" w:type="dxa"/>
            <w:tcBorders>
              <w:top w:val="single" w:sz="4" w:space="0" w:color="auto"/>
            </w:tcBorders>
          </w:tcPr>
          <w:p w14:paraId="356C1DA2" w14:textId="7B0CA083" w:rsidR="00177E79" w:rsidRPr="0009354D" w:rsidRDefault="00177E79" w:rsidP="002741E2">
            <w:pPr>
              <w:tabs>
                <w:tab w:val="decimal" w:pos="1317"/>
                <w:tab w:val="right" w:pos="9180"/>
              </w:tabs>
              <w:ind w:right="-18"/>
            </w:pPr>
            <w:r w:rsidRPr="0009354D">
              <w:t>$</w:t>
            </w:r>
            <w:r w:rsidRPr="0009354D">
              <w:tab/>
            </w:r>
            <w:r w:rsidR="000F4385">
              <w:t>768,859</w:t>
            </w:r>
          </w:p>
        </w:tc>
        <w:tc>
          <w:tcPr>
            <w:tcW w:w="1836" w:type="dxa"/>
            <w:tcBorders>
              <w:top w:val="single" w:sz="4" w:space="0" w:color="auto"/>
            </w:tcBorders>
          </w:tcPr>
          <w:p w14:paraId="0FB9A5CC" w14:textId="55ADC949" w:rsidR="00177E79" w:rsidRPr="0009354D" w:rsidRDefault="00177E79" w:rsidP="002741E2">
            <w:pPr>
              <w:tabs>
                <w:tab w:val="decimal" w:pos="1545"/>
                <w:tab w:val="right" w:pos="9180"/>
              </w:tabs>
              <w:ind w:right="-18"/>
            </w:pPr>
            <w:r w:rsidRPr="0009354D">
              <w:t>$</w:t>
            </w:r>
            <w:r w:rsidRPr="0009354D">
              <w:tab/>
            </w:r>
            <w:r w:rsidR="003A1755">
              <w:t>6,452,589</w:t>
            </w:r>
          </w:p>
        </w:tc>
      </w:tr>
      <w:tr w:rsidR="00177E79" w:rsidRPr="0009354D" w14:paraId="439262A6" w14:textId="77777777" w:rsidTr="002741E2">
        <w:tc>
          <w:tcPr>
            <w:tcW w:w="3870" w:type="dxa"/>
          </w:tcPr>
          <w:p w14:paraId="6AA3F388" w14:textId="5679F63D" w:rsidR="00177E79" w:rsidRPr="0009354D" w:rsidRDefault="00177E79" w:rsidP="002741E2">
            <w:pPr>
              <w:tabs>
                <w:tab w:val="right" w:pos="9180"/>
              </w:tabs>
              <w:ind w:right="-360"/>
            </w:pPr>
            <w:r w:rsidRPr="0009354D">
              <w:t>Working capital</w:t>
            </w:r>
            <w:r w:rsidR="000F4385">
              <w:t xml:space="preserve"> (deficit)</w:t>
            </w:r>
          </w:p>
        </w:tc>
        <w:tc>
          <w:tcPr>
            <w:tcW w:w="1008" w:type="dxa"/>
          </w:tcPr>
          <w:p w14:paraId="2EC28984" w14:textId="77777777" w:rsidR="00177E79" w:rsidRPr="0009354D" w:rsidRDefault="00177E79" w:rsidP="002741E2">
            <w:pPr>
              <w:tabs>
                <w:tab w:val="decimal" w:pos="1062"/>
                <w:tab w:val="right" w:pos="9180"/>
              </w:tabs>
              <w:ind w:right="-18"/>
            </w:pPr>
          </w:p>
        </w:tc>
        <w:tc>
          <w:tcPr>
            <w:tcW w:w="1836" w:type="dxa"/>
          </w:tcPr>
          <w:p w14:paraId="78225003" w14:textId="74013B75" w:rsidR="00177E79" w:rsidRPr="0009354D" w:rsidRDefault="00177E79" w:rsidP="002741E2">
            <w:pPr>
              <w:tabs>
                <w:tab w:val="decimal" w:pos="1317"/>
                <w:tab w:val="right" w:pos="9180"/>
              </w:tabs>
              <w:ind w:right="-18"/>
            </w:pPr>
            <w:r w:rsidRPr="0009354D">
              <w:tab/>
            </w:r>
            <w:r w:rsidR="000F4385">
              <w:t>(441,529)</w:t>
            </w:r>
          </w:p>
        </w:tc>
        <w:tc>
          <w:tcPr>
            <w:tcW w:w="1836" w:type="dxa"/>
          </w:tcPr>
          <w:p w14:paraId="576472BB" w14:textId="4D7C3256" w:rsidR="00177E79" w:rsidRPr="0009354D" w:rsidRDefault="00177E79" w:rsidP="002741E2">
            <w:pPr>
              <w:tabs>
                <w:tab w:val="decimal" w:pos="1545"/>
                <w:tab w:val="right" w:pos="9180"/>
              </w:tabs>
              <w:ind w:right="-18"/>
            </w:pPr>
            <w:r w:rsidRPr="0009354D">
              <w:tab/>
            </w:r>
            <w:r w:rsidR="003A1755">
              <w:t>4,365,861</w:t>
            </w:r>
          </w:p>
        </w:tc>
      </w:tr>
    </w:tbl>
    <w:p w14:paraId="61DF57AA" w14:textId="77777777" w:rsidR="00177E79"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292A6E40" w14:textId="77777777" w:rsidTr="002741E2">
        <w:tc>
          <w:tcPr>
            <w:tcW w:w="3870" w:type="dxa"/>
          </w:tcPr>
          <w:p w14:paraId="5032FB09" w14:textId="77777777" w:rsidR="00177E79" w:rsidRPr="0009354D" w:rsidRDefault="00177E79" w:rsidP="002741E2">
            <w:pPr>
              <w:tabs>
                <w:tab w:val="right" w:pos="9180"/>
              </w:tabs>
              <w:ind w:right="-360"/>
            </w:pPr>
          </w:p>
        </w:tc>
        <w:tc>
          <w:tcPr>
            <w:tcW w:w="1008" w:type="dxa"/>
          </w:tcPr>
          <w:p w14:paraId="4ED55FC9" w14:textId="77777777" w:rsidR="00177E79" w:rsidRPr="0009354D" w:rsidRDefault="00177E79" w:rsidP="002741E2">
            <w:pPr>
              <w:tabs>
                <w:tab w:val="right" w:pos="9180"/>
              </w:tabs>
              <w:ind w:right="-18"/>
              <w:jc w:val="center"/>
            </w:pPr>
          </w:p>
        </w:tc>
        <w:tc>
          <w:tcPr>
            <w:tcW w:w="3672" w:type="dxa"/>
            <w:gridSpan w:val="2"/>
            <w:tcBorders>
              <w:bottom w:val="single" w:sz="4" w:space="0" w:color="auto"/>
            </w:tcBorders>
          </w:tcPr>
          <w:p w14:paraId="6AC881DA" w14:textId="5B3CFCA4" w:rsidR="00177E79" w:rsidRPr="0009354D" w:rsidRDefault="00224660" w:rsidP="002741E2">
            <w:pPr>
              <w:tabs>
                <w:tab w:val="right" w:pos="9180"/>
              </w:tabs>
              <w:ind w:right="-18"/>
              <w:jc w:val="center"/>
            </w:pPr>
            <w:r>
              <w:t>Three</w:t>
            </w:r>
            <w:r w:rsidR="00177E79" w:rsidRPr="0009354D">
              <w:t xml:space="preserve"> Months Ended </w:t>
            </w:r>
            <w:r>
              <w:t>March</w:t>
            </w:r>
            <w:r w:rsidR="00177E79" w:rsidRPr="0009354D">
              <w:t xml:space="preserve"> 3</w:t>
            </w:r>
            <w:r>
              <w:t>1</w:t>
            </w:r>
            <w:r w:rsidR="00177E79" w:rsidRPr="0009354D">
              <w:t>,</w:t>
            </w:r>
          </w:p>
        </w:tc>
      </w:tr>
      <w:tr w:rsidR="00177E79" w:rsidRPr="0009354D" w14:paraId="2B167BC6" w14:textId="77777777" w:rsidTr="002741E2">
        <w:tc>
          <w:tcPr>
            <w:tcW w:w="3870" w:type="dxa"/>
            <w:tcBorders>
              <w:bottom w:val="single" w:sz="4" w:space="0" w:color="auto"/>
            </w:tcBorders>
          </w:tcPr>
          <w:p w14:paraId="5BD45002" w14:textId="77777777" w:rsidR="00177E79" w:rsidRPr="0009354D" w:rsidRDefault="00177E79" w:rsidP="002741E2">
            <w:pPr>
              <w:tabs>
                <w:tab w:val="right" w:pos="9180"/>
              </w:tabs>
              <w:ind w:right="-360"/>
            </w:pPr>
            <w:r w:rsidRPr="0009354D">
              <w:t>Cash Flow Data</w:t>
            </w:r>
          </w:p>
        </w:tc>
        <w:tc>
          <w:tcPr>
            <w:tcW w:w="1008" w:type="dxa"/>
            <w:tcBorders>
              <w:bottom w:val="single" w:sz="4" w:space="0" w:color="auto"/>
            </w:tcBorders>
          </w:tcPr>
          <w:p w14:paraId="7B0E56DB"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7027129B" w14:textId="370E2210" w:rsidR="00177E79" w:rsidRPr="0009354D" w:rsidRDefault="00177E79" w:rsidP="002741E2">
            <w:pPr>
              <w:tabs>
                <w:tab w:val="right" w:pos="9180"/>
              </w:tabs>
              <w:ind w:right="-18"/>
              <w:jc w:val="center"/>
            </w:pPr>
            <w:r w:rsidRPr="0009354D">
              <w:t>202</w:t>
            </w:r>
            <w:r w:rsidR="003A1755">
              <w:t>4</w:t>
            </w:r>
          </w:p>
        </w:tc>
        <w:tc>
          <w:tcPr>
            <w:tcW w:w="1836" w:type="dxa"/>
            <w:tcBorders>
              <w:bottom w:val="single" w:sz="4" w:space="0" w:color="auto"/>
            </w:tcBorders>
          </w:tcPr>
          <w:p w14:paraId="2601B8AD" w14:textId="17E9627E" w:rsidR="00177E79" w:rsidRPr="0009354D" w:rsidRDefault="00177E79" w:rsidP="002741E2">
            <w:pPr>
              <w:tabs>
                <w:tab w:val="right" w:pos="9180"/>
              </w:tabs>
              <w:ind w:right="-18"/>
              <w:jc w:val="center"/>
            </w:pPr>
            <w:r w:rsidRPr="0009354D">
              <w:t>202</w:t>
            </w:r>
            <w:r w:rsidR="003A1755">
              <w:t>3</w:t>
            </w:r>
          </w:p>
        </w:tc>
      </w:tr>
      <w:tr w:rsidR="00177E79" w:rsidRPr="0009354D" w14:paraId="1F561349" w14:textId="77777777" w:rsidTr="002741E2">
        <w:tc>
          <w:tcPr>
            <w:tcW w:w="3870" w:type="dxa"/>
          </w:tcPr>
          <w:p w14:paraId="189713E1" w14:textId="77777777" w:rsidR="00177E79" w:rsidRPr="0009354D" w:rsidRDefault="00177E79" w:rsidP="002741E2">
            <w:pPr>
              <w:tabs>
                <w:tab w:val="right" w:pos="9180"/>
              </w:tabs>
              <w:ind w:right="-360"/>
            </w:pPr>
            <w:r w:rsidRPr="0009354D">
              <w:t>Net cash provided by (used in):</w:t>
            </w:r>
          </w:p>
        </w:tc>
        <w:tc>
          <w:tcPr>
            <w:tcW w:w="1008" w:type="dxa"/>
          </w:tcPr>
          <w:p w14:paraId="76E25402" w14:textId="77777777" w:rsidR="00177E79" w:rsidRPr="0009354D" w:rsidRDefault="00177E79" w:rsidP="002741E2">
            <w:pPr>
              <w:tabs>
                <w:tab w:val="right" w:pos="9180"/>
              </w:tabs>
              <w:ind w:right="-18"/>
              <w:jc w:val="center"/>
            </w:pPr>
          </w:p>
        </w:tc>
        <w:tc>
          <w:tcPr>
            <w:tcW w:w="1836" w:type="dxa"/>
          </w:tcPr>
          <w:p w14:paraId="63BDD68C" w14:textId="77777777" w:rsidR="00177E79" w:rsidRPr="0009354D" w:rsidRDefault="00177E79" w:rsidP="002741E2">
            <w:pPr>
              <w:tabs>
                <w:tab w:val="right" w:pos="9180"/>
              </w:tabs>
              <w:ind w:right="-18"/>
              <w:jc w:val="center"/>
            </w:pPr>
          </w:p>
        </w:tc>
        <w:tc>
          <w:tcPr>
            <w:tcW w:w="1836" w:type="dxa"/>
          </w:tcPr>
          <w:p w14:paraId="04DCA296" w14:textId="77777777" w:rsidR="00177E79" w:rsidRPr="0009354D" w:rsidRDefault="00177E79" w:rsidP="002741E2">
            <w:pPr>
              <w:tabs>
                <w:tab w:val="right" w:pos="9180"/>
              </w:tabs>
              <w:ind w:right="-18"/>
              <w:jc w:val="center"/>
            </w:pPr>
          </w:p>
        </w:tc>
      </w:tr>
      <w:tr w:rsidR="00177E79" w:rsidRPr="0009354D" w14:paraId="24BCEC79" w14:textId="77777777" w:rsidTr="002741E2">
        <w:tc>
          <w:tcPr>
            <w:tcW w:w="3870" w:type="dxa"/>
          </w:tcPr>
          <w:p w14:paraId="442E933D" w14:textId="77777777" w:rsidR="00177E79" w:rsidRPr="0009354D" w:rsidRDefault="00177E79" w:rsidP="002741E2">
            <w:pPr>
              <w:tabs>
                <w:tab w:val="right" w:pos="9180"/>
              </w:tabs>
              <w:ind w:right="-360"/>
            </w:pPr>
            <w:r w:rsidRPr="0009354D">
              <w:t xml:space="preserve">     Operating activities</w:t>
            </w:r>
          </w:p>
        </w:tc>
        <w:tc>
          <w:tcPr>
            <w:tcW w:w="1008" w:type="dxa"/>
          </w:tcPr>
          <w:p w14:paraId="49D35C15" w14:textId="77777777" w:rsidR="00177E79" w:rsidRPr="0009354D" w:rsidRDefault="00177E79" w:rsidP="002741E2">
            <w:pPr>
              <w:tabs>
                <w:tab w:val="decimal" w:pos="1062"/>
                <w:tab w:val="right" w:pos="9180"/>
              </w:tabs>
              <w:ind w:right="-18"/>
            </w:pPr>
          </w:p>
        </w:tc>
        <w:tc>
          <w:tcPr>
            <w:tcW w:w="1836" w:type="dxa"/>
          </w:tcPr>
          <w:p w14:paraId="4C807210" w14:textId="0E4181FB" w:rsidR="00177E79" w:rsidRPr="0009354D" w:rsidRDefault="00177E79" w:rsidP="002741E2">
            <w:pPr>
              <w:tabs>
                <w:tab w:val="decimal" w:pos="1317"/>
                <w:tab w:val="right" w:pos="9180"/>
              </w:tabs>
              <w:ind w:right="-18"/>
            </w:pPr>
            <w:r w:rsidRPr="0009354D">
              <w:t>$</w:t>
            </w:r>
            <w:r w:rsidRPr="0009354D">
              <w:tab/>
            </w:r>
            <w:r w:rsidR="000F4385">
              <w:t>(5,683,730)</w:t>
            </w:r>
          </w:p>
        </w:tc>
        <w:tc>
          <w:tcPr>
            <w:tcW w:w="1836" w:type="dxa"/>
          </w:tcPr>
          <w:p w14:paraId="76A4A0E2" w14:textId="0C643FCE" w:rsidR="00177E79" w:rsidRPr="0009354D" w:rsidRDefault="00177E79" w:rsidP="002741E2">
            <w:pPr>
              <w:tabs>
                <w:tab w:val="decimal" w:pos="1545"/>
                <w:tab w:val="right" w:pos="9180"/>
              </w:tabs>
              <w:ind w:right="-18"/>
            </w:pPr>
            <w:r w:rsidRPr="0009354D">
              <w:t>$</w:t>
            </w:r>
            <w:r w:rsidRPr="0009354D">
              <w:tab/>
            </w:r>
            <w:r w:rsidR="00E13787">
              <w:t>(</w:t>
            </w:r>
            <w:r w:rsidR="003A1755">
              <w:t>3,762,872</w:t>
            </w:r>
            <w:r w:rsidR="00E13787">
              <w:t>)</w:t>
            </w:r>
          </w:p>
        </w:tc>
      </w:tr>
      <w:tr w:rsidR="00177E79" w:rsidRPr="0009354D" w14:paraId="09AA2EBA" w14:textId="77777777" w:rsidTr="002741E2">
        <w:tc>
          <w:tcPr>
            <w:tcW w:w="3870" w:type="dxa"/>
          </w:tcPr>
          <w:p w14:paraId="7EC8A6DC" w14:textId="77777777" w:rsidR="00177E79" w:rsidRPr="0009354D" w:rsidRDefault="00177E79" w:rsidP="002741E2">
            <w:pPr>
              <w:tabs>
                <w:tab w:val="right" w:pos="9180"/>
              </w:tabs>
              <w:ind w:right="-360"/>
            </w:pPr>
            <w:r w:rsidRPr="0009354D">
              <w:t xml:space="preserve">     Investing activities</w:t>
            </w:r>
          </w:p>
        </w:tc>
        <w:tc>
          <w:tcPr>
            <w:tcW w:w="1008" w:type="dxa"/>
          </w:tcPr>
          <w:p w14:paraId="72B63C02" w14:textId="77777777" w:rsidR="00177E79" w:rsidRPr="0009354D" w:rsidRDefault="00177E79" w:rsidP="002741E2">
            <w:pPr>
              <w:tabs>
                <w:tab w:val="decimal" w:pos="1062"/>
                <w:tab w:val="right" w:pos="9180"/>
              </w:tabs>
              <w:ind w:right="-18"/>
            </w:pPr>
          </w:p>
        </w:tc>
        <w:tc>
          <w:tcPr>
            <w:tcW w:w="1836" w:type="dxa"/>
          </w:tcPr>
          <w:p w14:paraId="5428FCC1" w14:textId="02242160" w:rsidR="00177E79" w:rsidRPr="0009354D" w:rsidRDefault="00177E79" w:rsidP="002741E2">
            <w:pPr>
              <w:tabs>
                <w:tab w:val="decimal" w:pos="1317"/>
                <w:tab w:val="right" w:pos="9180"/>
              </w:tabs>
              <w:ind w:right="-18"/>
            </w:pPr>
            <w:r w:rsidRPr="0009354D">
              <w:tab/>
            </w:r>
            <w:r w:rsidR="000F4385">
              <w:t>-</w:t>
            </w:r>
          </w:p>
        </w:tc>
        <w:tc>
          <w:tcPr>
            <w:tcW w:w="1836" w:type="dxa"/>
          </w:tcPr>
          <w:p w14:paraId="437564D6" w14:textId="48E1C4A2" w:rsidR="00177E79" w:rsidRPr="0009354D" w:rsidRDefault="00177E79" w:rsidP="002741E2">
            <w:pPr>
              <w:tabs>
                <w:tab w:val="decimal" w:pos="1545"/>
                <w:tab w:val="right" w:pos="9180"/>
              </w:tabs>
              <w:ind w:right="-18"/>
            </w:pPr>
            <w:r w:rsidRPr="0009354D">
              <w:tab/>
            </w:r>
            <w:r w:rsidR="003A1755">
              <w:t>-</w:t>
            </w:r>
          </w:p>
        </w:tc>
      </w:tr>
      <w:tr w:rsidR="00177E79" w:rsidRPr="0009354D" w14:paraId="410F6FFF" w14:textId="77777777" w:rsidTr="002741E2">
        <w:tc>
          <w:tcPr>
            <w:tcW w:w="3870" w:type="dxa"/>
          </w:tcPr>
          <w:p w14:paraId="60CF45E6" w14:textId="77777777" w:rsidR="00177E79" w:rsidRPr="0009354D" w:rsidRDefault="00177E79" w:rsidP="002741E2">
            <w:pPr>
              <w:tabs>
                <w:tab w:val="right" w:pos="9180"/>
              </w:tabs>
              <w:ind w:right="-360"/>
            </w:pPr>
            <w:r w:rsidRPr="0009354D">
              <w:t xml:space="preserve">     Financing activities</w:t>
            </w:r>
          </w:p>
        </w:tc>
        <w:tc>
          <w:tcPr>
            <w:tcW w:w="1008" w:type="dxa"/>
          </w:tcPr>
          <w:p w14:paraId="0AB96877" w14:textId="77777777" w:rsidR="00177E79" w:rsidRPr="0009354D" w:rsidRDefault="00177E79" w:rsidP="002741E2">
            <w:pPr>
              <w:tabs>
                <w:tab w:val="decimal" w:pos="1044"/>
                <w:tab w:val="right" w:pos="9180"/>
              </w:tabs>
              <w:ind w:right="-18"/>
            </w:pPr>
          </w:p>
        </w:tc>
        <w:tc>
          <w:tcPr>
            <w:tcW w:w="1836" w:type="dxa"/>
            <w:tcBorders>
              <w:bottom w:val="single" w:sz="4" w:space="0" w:color="auto"/>
            </w:tcBorders>
          </w:tcPr>
          <w:p w14:paraId="05E963E4" w14:textId="15F5DDA7" w:rsidR="00177E79" w:rsidRPr="0009354D" w:rsidRDefault="00177E79" w:rsidP="002741E2">
            <w:pPr>
              <w:tabs>
                <w:tab w:val="decimal" w:pos="1317"/>
                <w:tab w:val="right" w:pos="9180"/>
              </w:tabs>
              <w:ind w:right="-18"/>
            </w:pPr>
            <w:r w:rsidRPr="0009354D">
              <w:tab/>
            </w:r>
            <w:r w:rsidR="000F4385">
              <w:t>-</w:t>
            </w:r>
          </w:p>
        </w:tc>
        <w:tc>
          <w:tcPr>
            <w:tcW w:w="1836" w:type="dxa"/>
            <w:tcBorders>
              <w:bottom w:val="single" w:sz="4" w:space="0" w:color="auto"/>
            </w:tcBorders>
          </w:tcPr>
          <w:p w14:paraId="65A9E051" w14:textId="1D89AF2B" w:rsidR="00177E79" w:rsidRPr="0009354D" w:rsidRDefault="00177E79" w:rsidP="002741E2">
            <w:pPr>
              <w:tabs>
                <w:tab w:val="decimal" w:pos="1545"/>
                <w:tab w:val="right" w:pos="9180"/>
              </w:tabs>
              <w:ind w:right="-18"/>
            </w:pPr>
            <w:r w:rsidRPr="0009354D">
              <w:tab/>
            </w:r>
            <w:r w:rsidR="003A1755">
              <w:t>-</w:t>
            </w:r>
          </w:p>
        </w:tc>
      </w:tr>
      <w:tr w:rsidR="00177E79" w:rsidRPr="0009354D" w14:paraId="3D289392" w14:textId="77777777" w:rsidTr="002741E2">
        <w:tc>
          <w:tcPr>
            <w:tcW w:w="3870" w:type="dxa"/>
          </w:tcPr>
          <w:p w14:paraId="08486B0C" w14:textId="15FDF90C" w:rsidR="00177E79" w:rsidRPr="0009354D" w:rsidRDefault="00177E79" w:rsidP="002741E2">
            <w:pPr>
              <w:tabs>
                <w:tab w:val="right" w:pos="9180"/>
              </w:tabs>
              <w:ind w:right="-360"/>
            </w:pPr>
            <w:r w:rsidRPr="0009354D">
              <w:t xml:space="preserve">Net </w:t>
            </w:r>
            <w:r w:rsidR="00902A7C">
              <w:t>decrease</w:t>
            </w:r>
            <w:r w:rsidR="00902A7C" w:rsidRPr="0009354D">
              <w:t xml:space="preserve"> </w:t>
            </w:r>
            <w:r w:rsidRPr="0009354D">
              <w:t>in cash and cash equivalents</w:t>
            </w:r>
          </w:p>
        </w:tc>
        <w:tc>
          <w:tcPr>
            <w:tcW w:w="1008" w:type="dxa"/>
          </w:tcPr>
          <w:p w14:paraId="5D3F63EE" w14:textId="77777777" w:rsidR="00177E79" w:rsidRPr="0009354D" w:rsidRDefault="00177E79" w:rsidP="002741E2">
            <w:pPr>
              <w:tabs>
                <w:tab w:val="decimal" w:pos="1044"/>
                <w:tab w:val="right" w:pos="9180"/>
              </w:tabs>
              <w:ind w:right="-18"/>
            </w:pPr>
          </w:p>
        </w:tc>
        <w:tc>
          <w:tcPr>
            <w:tcW w:w="1836" w:type="dxa"/>
            <w:tcBorders>
              <w:top w:val="single" w:sz="4" w:space="0" w:color="auto"/>
              <w:bottom w:val="double" w:sz="4" w:space="0" w:color="auto"/>
            </w:tcBorders>
          </w:tcPr>
          <w:p w14:paraId="63E9809E" w14:textId="556D40C0" w:rsidR="00177E79" w:rsidRPr="0009354D" w:rsidRDefault="00177E79" w:rsidP="002741E2">
            <w:pPr>
              <w:tabs>
                <w:tab w:val="decimal" w:pos="1317"/>
                <w:tab w:val="right" w:pos="9180"/>
              </w:tabs>
              <w:ind w:right="-18"/>
            </w:pPr>
            <w:r w:rsidRPr="0009354D">
              <w:t>$</w:t>
            </w:r>
            <w:r w:rsidRPr="0009354D">
              <w:tab/>
            </w:r>
            <w:r w:rsidR="000F4385">
              <w:t>(5,683,730)</w:t>
            </w:r>
          </w:p>
        </w:tc>
        <w:tc>
          <w:tcPr>
            <w:tcW w:w="1836" w:type="dxa"/>
            <w:tcBorders>
              <w:top w:val="single" w:sz="4" w:space="0" w:color="auto"/>
              <w:bottom w:val="double" w:sz="4" w:space="0" w:color="auto"/>
            </w:tcBorders>
          </w:tcPr>
          <w:p w14:paraId="0FF82177" w14:textId="734B1485" w:rsidR="00177E79" w:rsidRPr="0009354D" w:rsidRDefault="00177E79" w:rsidP="002741E2">
            <w:pPr>
              <w:tabs>
                <w:tab w:val="decimal" w:pos="1545"/>
                <w:tab w:val="right" w:pos="9180"/>
              </w:tabs>
              <w:ind w:right="-18"/>
            </w:pPr>
            <w:r w:rsidRPr="0009354D">
              <w:t>$</w:t>
            </w:r>
            <w:r w:rsidRPr="0009354D">
              <w:tab/>
            </w:r>
            <w:r w:rsidR="003A1755">
              <w:t>(3,762,872)</w:t>
            </w:r>
          </w:p>
        </w:tc>
      </w:tr>
    </w:tbl>
    <w:p w14:paraId="58B20A80" w14:textId="77777777" w:rsidR="00177E79" w:rsidRPr="0009354D" w:rsidRDefault="00177E79" w:rsidP="00177E79"/>
    <w:p w14:paraId="4149AEC3" w14:textId="62213C18" w:rsidR="00177E79" w:rsidRPr="0009354D" w:rsidRDefault="00177E79" w:rsidP="00177E79">
      <w:r w:rsidRPr="0009354D">
        <w:rPr>
          <w:i/>
          <w:iCs/>
        </w:rPr>
        <w:t>Operating Activities</w:t>
      </w:r>
      <w:r w:rsidRPr="0009354D">
        <w:t xml:space="preserve"> – </w:t>
      </w:r>
      <w:r w:rsidR="00A8079E" w:rsidRPr="0009354D">
        <w:t>Net cash used in operating activities of $</w:t>
      </w:r>
      <w:r w:rsidR="000F4385">
        <w:t xml:space="preserve">5,683,730 </w:t>
      </w:r>
      <w:r w:rsidR="00A8079E" w:rsidRPr="0009354D">
        <w:t xml:space="preserve">for the </w:t>
      </w:r>
      <w:r w:rsidR="00A8079E">
        <w:t>three</w:t>
      </w:r>
      <w:r w:rsidR="00A8079E" w:rsidRPr="0009354D">
        <w:t xml:space="preserve"> months ended </w:t>
      </w:r>
      <w:r w:rsidR="00A8079E">
        <w:t>March</w:t>
      </w:r>
      <w:r w:rsidR="00A8079E" w:rsidRPr="0009354D">
        <w:t xml:space="preserve"> 3</w:t>
      </w:r>
      <w:r w:rsidR="00A8079E">
        <w:t>1</w:t>
      </w:r>
      <w:r w:rsidR="00A8079E" w:rsidRPr="0009354D">
        <w:t xml:space="preserve">, </w:t>
      </w:r>
      <w:proofErr w:type="gramStart"/>
      <w:r w:rsidR="00A8079E" w:rsidRPr="0009354D">
        <w:t>202</w:t>
      </w:r>
      <w:r w:rsidR="00E440EA">
        <w:t>4</w:t>
      </w:r>
      <w:proofErr w:type="gramEnd"/>
      <w:r w:rsidR="00A8079E" w:rsidRPr="0009354D">
        <w:t xml:space="preserve"> was primarily due to our net loss of $</w:t>
      </w:r>
      <w:r w:rsidR="000F4385">
        <w:t>5,850,132</w:t>
      </w:r>
      <w:r w:rsidR="00A8079E" w:rsidRPr="0009354D">
        <w:t>, offset by non-cash charges such as depreciation and stock-based compensation expense, and by changes in our working capital accounts</w:t>
      </w:r>
      <w:r w:rsidR="00A8079E">
        <w:t xml:space="preserve">.  </w:t>
      </w:r>
      <w:r w:rsidR="00E440EA" w:rsidRPr="0009354D">
        <w:t>Net cash used in operating activities of $</w:t>
      </w:r>
      <w:r w:rsidR="00E440EA">
        <w:t xml:space="preserve">3,762,872 </w:t>
      </w:r>
      <w:r w:rsidR="00E440EA" w:rsidRPr="0009354D">
        <w:t xml:space="preserve">for the </w:t>
      </w:r>
      <w:r w:rsidR="00E440EA">
        <w:t>three</w:t>
      </w:r>
      <w:r w:rsidR="00E440EA" w:rsidRPr="0009354D">
        <w:t xml:space="preserve"> months ended </w:t>
      </w:r>
      <w:r w:rsidR="00E440EA">
        <w:t>March</w:t>
      </w:r>
      <w:r w:rsidR="00E440EA" w:rsidRPr="0009354D">
        <w:t xml:space="preserve"> 3</w:t>
      </w:r>
      <w:r w:rsidR="00E440EA">
        <w:t>1</w:t>
      </w:r>
      <w:r w:rsidR="00E440EA" w:rsidRPr="0009354D">
        <w:t xml:space="preserve">, </w:t>
      </w:r>
      <w:proofErr w:type="gramStart"/>
      <w:r w:rsidR="00E440EA" w:rsidRPr="0009354D">
        <w:t>202</w:t>
      </w:r>
      <w:r w:rsidR="00E440EA">
        <w:t>3</w:t>
      </w:r>
      <w:proofErr w:type="gramEnd"/>
      <w:r w:rsidR="00E440EA" w:rsidRPr="0009354D">
        <w:t xml:space="preserve"> was primarily due to our net loss of $</w:t>
      </w:r>
      <w:r w:rsidR="00E440EA">
        <w:t>4,037,916</w:t>
      </w:r>
      <w:r w:rsidR="00E440EA" w:rsidRPr="0009354D">
        <w:t>, offset by non-cash charges such as depreciation and stock-based compensation expense, and by changes in our working capital accounts</w:t>
      </w:r>
      <w:r w:rsidR="00E440EA">
        <w:t xml:space="preserve">.  </w:t>
      </w:r>
    </w:p>
    <w:p w14:paraId="42C235A6" w14:textId="77777777" w:rsidR="00177E79" w:rsidRPr="0009354D" w:rsidRDefault="00177E79" w:rsidP="00177E79"/>
    <w:p w14:paraId="57A8DA01" w14:textId="7CCB88BF" w:rsidR="00177E79" w:rsidRPr="00A57C79" w:rsidRDefault="00177E79" w:rsidP="00386AE1">
      <w:r w:rsidRPr="0009354D">
        <w:rPr>
          <w:i/>
          <w:iCs/>
        </w:rPr>
        <w:t xml:space="preserve">Investing </w:t>
      </w:r>
      <w:r w:rsidR="00386AE1">
        <w:rPr>
          <w:i/>
          <w:iCs/>
        </w:rPr>
        <w:t xml:space="preserve">and Financing </w:t>
      </w:r>
      <w:r w:rsidRPr="0009354D">
        <w:rPr>
          <w:i/>
          <w:iCs/>
        </w:rPr>
        <w:t>Activities</w:t>
      </w:r>
      <w:r w:rsidRPr="0009354D">
        <w:t xml:space="preserve"> – </w:t>
      </w:r>
      <w:r w:rsidR="00386AE1">
        <w:t>There were no cash flows from investing or financing activities</w:t>
      </w:r>
      <w:r>
        <w:t xml:space="preserve"> </w:t>
      </w:r>
      <w:r w:rsidRPr="0009354D">
        <w:t xml:space="preserve">for the </w:t>
      </w:r>
      <w:r w:rsidR="00224660">
        <w:t>three</w:t>
      </w:r>
      <w:r w:rsidRPr="0009354D">
        <w:t>-month period</w:t>
      </w:r>
      <w:r>
        <w:t>s</w:t>
      </w:r>
      <w:r w:rsidRPr="0009354D">
        <w:t xml:space="preserve"> ended </w:t>
      </w:r>
      <w:r w:rsidR="00224660">
        <w:t>March</w:t>
      </w:r>
      <w:r w:rsidRPr="0009354D">
        <w:t> 3</w:t>
      </w:r>
      <w:r w:rsidR="00224660">
        <w:t>1</w:t>
      </w:r>
      <w:r w:rsidRPr="0009354D">
        <w:t xml:space="preserve">, </w:t>
      </w:r>
      <w:proofErr w:type="gramStart"/>
      <w:r w:rsidRPr="0009354D">
        <w:t>202</w:t>
      </w:r>
      <w:r w:rsidR="00E440EA">
        <w:t>4</w:t>
      </w:r>
      <w:proofErr w:type="gramEnd"/>
      <w:r>
        <w:t xml:space="preserve"> </w:t>
      </w:r>
      <w:r w:rsidR="00386AE1">
        <w:t>and</w:t>
      </w:r>
      <w:r>
        <w:t xml:space="preserve"> 202</w:t>
      </w:r>
      <w:r w:rsidR="00E440EA">
        <w:t>3</w:t>
      </w:r>
      <w:r w:rsidR="00386AE1">
        <w:t>.</w:t>
      </w:r>
    </w:p>
    <w:p w14:paraId="6E46420B" w14:textId="77777777" w:rsidR="00A57C79" w:rsidRPr="0009354D" w:rsidRDefault="00A57C79" w:rsidP="00177E79"/>
    <w:p w14:paraId="03C04337" w14:textId="77777777" w:rsidR="00177E79" w:rsidRPr="00491EB6" w:rsidRDefault="00177E79" w:rsidP="00177E79">
      <w:pPr>
        <w:rPr>
          <w:b/>
          <w:bCs/>
        </w:rPr>
      </w:pPr>
      <w:r w:rsidRPr="00530123">
        <w:rPr>
          <w:b/>
          <w:bCs/>
        </w:rPr>
        <w:t>Funding Requirements and Sources of Capital</w:t>
      </w:r>
    </w:p>
    <w:p w14:paraId="01DF4936" w14:textId="77777777" w:rsidR="00177E79" w:rsidRPr="0009354D" w:rsidRDefault="00177E79" w:rsidP="00177E79"/>
    <w:p w14:paraId="43853A75" w14:textId="77777777" w:rsidR="00551ADE" w:rsidRDefault="00551ADE" w:rsidP="00551ADE">
      <w:pPr>
        <w:pStyle w:val="BodyText"/>
        <w:spacing w:after="0"/>
      </w:pPr>
      <w:r>
        <w:t xml:space="preserve">To date, we have not generated any product revenue. We do not know when, or if, we will generate any product revenue and we do not expect to generate significant product revenue unless and until we obtain regulatory approval and commercialize one of our current or future product candidates. We anticipate that we will continue to generate losses for the foreseeable future, and we expect the losses to increase as we continue the development of, and seek regulatory approvals for, our product candidates, and begin to commercialize any approved products. We are subject to all of the </w:t>
      </w:r>
      <w:proofErr w:type="gramStart"/>
      <w:r>
        <w:t>risks</w:t>
      </w:r>
      <w:proofErr w:type="gramEnd"/>
      <w:r>
        <w:t xml:space="preserve"> incident to the development of </w:t>
      </w:r>
      <w:r>
        <w:rPr>
          <w:color w:val="000000"/>
        </w:rPr>
        <w:t>new</w:t>
      </w:r>
      <w:r>
        <w:t xml:space="preserve"> products, and may encounter unforeseen expenses, difficulties, complications, delays and other unknown factors that may harm our business. We anticipate that we will need substantial additional funding in connection with our continuing operations. We have funded our operations to date primarily from sales of our equity securities and from government grants and clinical trial assistance.</w:t>
      </w:r>
    </w:p>
    <w:p w14:paraId="7079DB1B" w14:textId="77777777" w:rsidR="00386AE1" w:rsidRDefault="00386AE1" w:rsidP="00ED1E26"/>
    <w:p w14:paraId="6AB50A98" w14:textId="724A448C" w:rsidR="00FE1869" w:rsidRPr="004640B2" w:rsidRDefault="00FE1869" w:rsidP="00FE1869">
      <w:pPr>
        <w:pStyle w:val="BodyText"/>
        <w:spacing w:after="0"/>
      </w:pPr>
      <w:r>
        <w:t xml:space="preserve">On May 10, 2024, we conducted a bridge financing through the issuance and sale of 10% Original Issue Discount </w:t>
      </w:r>
      <w:r w:rsidRPr="004640B2">
        <w:t>Promissory Notes (the “Notes”) with an aggregate principal amount of $</w:t>
      </w:r>
      <w:r w:rsidR="005F365B" w:rsidRPr="004640B2">
        <w:t>150,000</w:t>
      </w:r>
      <w:r w:rsidRPr="004640B2">
        <w:t xml:space="preserve"> to members of our Board of Directors and senior management. The Notes are unsecured, bear interest at a rate of 15% per annum, and mature upon the earlier of (i) six months from the issue date o</w:t>
      </w:r>
      <w:r w:rsidR="000969EB" w:rsidRPr="004640B2">
        <w:t>r</w:t>
      </w:r>
      <w:r w:rsidRPr="004640B2">
        <w:t xml:space="preserve"> (ii) three days following the date the Company completes an offering of its common stock with gross proceeds of not less than $5 million.</w:t>
      </w:r>
    </w:p>
    <w:p w14:paraId="7029B02D" w14:textId="77777777" w:rsidR="00FE1869" w:rsidRPr="004640B2" w:rsidRDefault="00FE1869" w:rsidP="00ED1E26"/>
    <w:p w14:paraId="6AF00C1D" w14:textId="754767C8" w:rsidR="00D61E1C" w:rsidRPr="004640B2" w:rsidRDefault="00D61E1C" w:rsidP="00D61E1C">
      <w:r w:rsidRPr="004640B2">
        <w:t xml:space="preserve">As of the date of this Quarterly Report, our existing cash and cash equivalents are insufficient to fund our operations beyond the second quarter of 2024 without </w:t>
      </w:r>
      <w:r w:rsidR="000969EB" w:rsidRPr="004640B2">
        <w:t>additional funding</w:t>
      </w:r>
      <w:r w:rsidRPr="004640B2">
        <w:t xml:space="preserve">, which we are actively pursuing. We plan to pursue additional cash resources through public or private equity or debt financings, government grants/contracts, arrangements </w:t>
      </w:r>
      <w:r w:rsidRPr="004640B2">
        <w:lastRenderedPageBreak/>
        <w:t xml:space="preserve">with strategic partners, or from other sources.  We also continue to be in </w:t>
      </w:r>
      <w:r w:rsidR="004640B2">
        <w:t xml:space="preserve">advanced </w:t>
      </w:r>
      <w:r w:rsidRPr="004640B2">
        <w:t>discussions with the Biomedical Advanced Research and Development Authority (BARDA), part of the Administration for Strategic Preparedness and Response</w:t>
      </w:r>
      <w:r w:rsidR="004640B2">
        <w:t xml:space="preserve"> (ASPR)</w:t>
      </w:r>
      <w:r w:rsidRPr="004640B2">
        <w:t xml:space="preserve"> in the U.S. Department of Health and Human Services</w:t>
      </w:r>
      <w:r w:rsidR="004640B2">
        <w:t xml:space="preserve"> (HHS)</w:t>
      </w:r>
      <w:r w:rsidRPr="004640B2">
        <w:t xml:space="preserve">, for a potential award </w:t>
      </w:r>
      <w:r w:rsidRPr="004640B2">
        <w:rPr>
          <w:color w:val="000000"/>
        </w:rPr>
        <w:t xml:space="preserve">as part of Project NextGen, an initiative to advance a pipeline of new, innovative vaccines and therapeutics providing broader and more durable protection for COVID-19. </w:t>
      </w:r>
      <w:r w:rsidR="004640B2">
        <w:rPr>
          <w:color w:val="000000"/>
        </w:rPr>
        <w:t xml:space="preserve">We are highly encouraged by the </w:t>
      </w:r>
      <w:r w:rsidR="00940957">
        <w:rPr>
          <w:color w:val="000000"/>
        </w:rPr>
        <w:t>negotiations with BARDA thus far, but t</w:t>
      </w:r>
      <w:r w:rsidRPr="004640B2">
        <w:rPr>
          <w:color w:val="000000"/>
        </w:rPr>
        <w:t>here is no assurance that such an award may be made.</w:t>
      </w:r>
    </w:p>
    <w:p w14:paraId="01BFA4BE" w14:textId="77777777" w:rsidR="00D61E1C" w:rsidRPr="004640B2" w:rsidRDefault="00D61E1C" w:rsidP="00D61E1C"/>
    <w:p w14:paraId="6A5AB0F2" w14:textId="6B63EA97" w:rsidR="00D61E1C" w:rsidRDefault="00D61E1C" w:rsidP="00D61E1C">
      <w:r w:rsidRPr="004640B2">
        <w:t xml:space="preserve">There can be no assurance that </w:t>
      </w:r>
      <w:r w:rsidR="003F46F7">
        <w:t>necessary</w:t>
      </w:r>
      <w:r w:rsidR="003F46F7" w:rsidRPr="004640B2">
        <w:t xml:space="preserve"> </w:t>
      </w:r>
      <w:r w:rsidRPr="004640B2">
        <w:t>funding will be available on favorable terms or at all. These factors collectively raise substantial doubt</w:t>
      </w:r>
      <w:r w:rsidRPr="00770EA9">
        <w:t xml:space="preserve">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w:t>
      </w:r>
    </w:p>
    <w:p w14:paraId="2A83D237" w14:textId="77777777" w:rsidR="00D61E1C" w:rsidRDefault="00D61E1C" w:rsidP="00D61E1C"/>
    <w:p w14:paraId="31D40181" w14:textId="49ACD0A0" w:rsidR="00D61E1C" w:rsidRDefault="00E6483E" w:rsidP="00ED1E26">
      <w:r w:rsidRPr="00E55FA4">
        <w:t xml:space="preserve">We will need to continue to raise additional capital to support our future operating activities, including progression of our development programs, preparation for commercialization, and other operating costs. </w:t>
      </w:r>
      <w:r w:rsidRPr="00E6483E">
        <w:t>We may fund a significant portion of our ongoing operations through partnering and collaboration agreements</w:t>
      </w:r>
      <w:r>
        <w:t xml:space="preserve"> </w:t>
      </w:r>
      <w:r w:rsidRPr="00E6483E">
        <w:t xml:space="preserve">which, while reducing our risks and extending our cash runway, will also reduce our share of eventual revenues, if any, from our vaccine candidates. We may be able to fund certain activities with assistance from government programs. </w:t>
      </w:r>
    </w:p>
    <w:p w14:paraId="2779A1DB" w14:textId="77777777" w:rsidR="00D61E1C" w:rsidRDefault="00D61E1C" w:rsidP="00ED1E26"/>
    <w:p w14:paraId="10F62DE5" w14:textId="0F4BB393" w:rsidR="00E6483E" w:rsidRDefault="00E6483E" w:rsidP="00ED1E26">
      <w:r w:rsidRPr="00E6483E">
        <w:t>The sale of additional equity would result in additional dilution to our stockholders. We may also fund our operations through debt financing, which would result in debt service obligations, and the instruments governing such debt could provide for operating and financing covenants that would restrict our operations. If we are unable to raise additional capital in sufficient amounts or on acceptable terms, we may be required to delay, limit, reduce, or terminate our product development or future commercialization efforts or grant rights to develop and market vaccine candidates that we would otherwise prefer to develop and market ourselves. Any of these actions could harm our business, results of operations and prospects.</w:t>
      </w:r>
    </w:p>
    <w:p w14:paraId="2929E33D" w14:textId="77777777" w:rsidR="00E6483E" w:rsidRDefault="00E6483E" w:rsidP="00ED1E26"/>
    <w:p w14:paraId="6D1DC233" w14:textId="294A9319" w:rsidR="00ED1E26" w:rsidRPr="00ED1E26" w:rsidRDefault="00D61E1C" w:rsidP="00ED1E26">
      <w:r w:rsidRPr="00D61E1C">
        <w:t>Our forecast of the period of time through which our financial resources will be adequate to support our operations is a forward-looking statement that involves risks and uncertainties and is based on assumptions that may prove to be wrong; actual results could vary materially.</w:t>
      </w:r>
      <w:r>
        <w:t xml:space="preserve"> Our </w:t>
      </w:r>
      <w:r w:rsidR="00551ADE">
        <w:t>projection takes into consideration contractual commitments we have made, and expect to make, in the normal course of operating our business, which include (i) obligations to our employees, (ii) our lease obligations, (iii) payments due under license agreements for various technologies and patent rights associated with our product development activities, (iv) arrangements with contract research organizations (“CROs”), contract manufacturing organizations (“CMOs”), and other third-party vendors for clinical trials services and production of materials for use in our clinical trials, and (v) other various firm purchase commitments and contractual obligations related to production and testing of our product candidates and the general operation of our business</w:t>
      </w:r>
      <w:r w:rsidR="00ED1E26" w:rsidRPr="00ED1E26">
        <w:t>.</w:t>
      </w:r>
    </w:p>
    <w:p w14:paraId="0B610615" w14:textId="77777777" w:rsidR="00ED1E26" w:rsidRPr="00ED1E26" w:rsidRDefault="00ED1E26" w:rsidP="00ED1E26"/>
    <w:p w14:paraId="2433030F" w14:textId="77777777" w:rsidR="00ED1E26" w:rsidRPr="00ED1E26" w:rsidRDefault="00ED1E26" w:rsidP="00ED1E26">
      <w:r w:rsidRPr="00ED1E26">
        <w:t>We have based our projections of operating capital requirements on assumptions that may prove to be incorrect, and we may use our available capital resources sooner than we expect. Our future capital requirements will depend on many factors, which include but are not limited to:</w:t>
      </w:r>
    </w:p>
    <w:p w14:paraId="54092F77" w14:textId="77777777" w:rsidR="00ED1E26" w:rsidRPr="00ED1E26" w:rsidRDefault="00ED1E26" w:rsidP="00ED1E26">
      <w:pPr>
        <w:numPr>
          <w:ilvl w:val="0"/>
          <w:numId w:val="13"/>
        </w:numPr>
      </w:pPr>
      <w:r w:rsidRPr="00ED1E26">
        <w:t xml:space="preserve">the timing and costs of our ongoing and planned clinical </w:t>
      </w:r>
      <w:proofErr w:type="gramStart"/>
      <w:r w:rsidRPr="00ED1E26">
        <w:t>trials;</w:t>
      </w:r>
      <w:proofErr w:type="gramEnd"/>
    </w:p>
    <w:p w14:paraId="7F6EB9F9" w14:textId="77777777" w:rsidR="00ED1E26" w:rsidRPr="00ED1E26" w:rsidRDefault="00ED1E26" w:rsidP="00ED1E26">
      <w:pPr>
        <w:numPr>
          <w:ilvl w:val="0"/>
          <w:numId w:val="13"/>
        </w:numPr>
      </w:pPr>
      <w:r w:rsidRPr="00ED1E26">
        <w:t xml:space="preserve">the timing and costs of manufacturing material for use in clinical </w:t>
      </w:r>
      <w:proofErr w:type="gramStart"/>
      <w:r w:rsidRPr="00ED1E26">
        <w:t>trials;</w:t>
      </w:r>
      <w:proofErr w:type="gramEnd"/>
    </w:p>
    <w:p w14:paraId="55E18C2D" w14:textId="77777777" w:rsidR="00ED1E26" w:rsidRPr="00ED1E26" w:rsidRDefault="00ED1E26" w:rsidP="00ED1E26">
      <w:pPr>
        <w:numPr>
          <w:ilvl w:val="0"/>
          <w:numId w:val="13"/>
        </w:numPr>
      </w:pPr>
      <w:r w:rsidRPr="00ED1E26">
        <w:t xml:space="preserve">the number and scope of our research programs and the speed at which they are </w:t>
      </w:r>
      <w:proofErr w:type="gramStart"/>
      <w:r w:rsidRPr="00ED1E26">
        <w:t>advanced;</w:t>
      </w:r>
      <w:proofErr w:type="gramEnd"/>
      <w:r w:rsidRPr="00ED1E26">
        <w:t xml:space="preserve"> </w:t>
      </w:r>
    </w:p>
    <w:p w14:paraId="48CB8AF7" w14:textId="77777777" w:rsidR="00ED1E26" w:rsidRPr="00ED1E26" w:rsidRDefault="00ED1E26" w:rsidP="00ED1E26">
      <w:pPr>
        <w:numPr>
          <w:ilvl w:val="0"/>
          <w:numId w:val="13"/>
        </w:numPr>
      </w:pPr>
      <w:r w:rsidRPr="00ED1E26">
        <w:t xml:space="preserve">the progress and success of our preclinical and clinical development </w:t>
      </w:r>
      <w:proofErr w:type="gramStart"/>
      <w:r w:rsidRPr="00ED1E26">
        <w:t>activities;</w:t>
      </w:r>
      <w:proofErr w:type="gramEnd"/>
      <w:r w:rsidRPr="00ED1E26">
        <w:t xml:space="preserve"> </w:t>
      </w:r>
    </w:p>
    <w:p w14:paraId="439EFFCB" w14:textId="77777777" w:rsidR="00ED1E26" w:rsidRPr="00ED1E26" w:rsidRDefault="00ED1E26" w:rsidP="00ED1E26">
      <w:pPr>
        <w:numPr>
          <w:ilvl w:val="0"/>
          <w:numId w:val="13"/>
        </w:numPr>
      </w:pPr>
      <w:r w:rsidRPr="00ED1E26">
        <w:t xml:space="preserve">the costs involved in prosecuting and enforcing patent claims and other intellectual property </w:t>
      </w:r>
      <w:proofErr w:type="gramStart"/>
      <w:r w:rsidRPr="00ED1E26">
        <w:t>rights;</w:t>
      </w:r>
      <w:proofErr w:type="gramEnd"/>
      <w:r w:rsidRPr="00ED1E26">
        <w:t xml:space="preserve"> </w:t>
      </w:r>
    </w:p>
    <w:p w14:paraId="45C7F553" w14:textId="77777777" w:rsidR="00ED1E26" w:rsidRPr="00ED1E26" w:rsidRDefault="00ED1E26" w:rsidP="00ED1E26">
      <w:pPr>
        <w:numPr>
          <w:ilvl w:val="0"/>
          <w:numId w:val="13"/>
        </w:numPr>
      </w:pPr>
      <w:r w:rsidRPr="00ED1E26">
        <w:t xml:space="preserve">the costs to attract and retain skilled </w:t>
      </w:r>
      <w:proofErr w:type="gramStart"/>
      <w:r w:rsidRPr="00ED1E26">
        <w:t>personnel;</w:t>
      </w:r>
      <w:proofErr w:type="gramEnd"/>
    </w:p>
    <w:p w14:paraId="231B3E2E" w14:textId="77777777" w:rsidR="00ED1E26" w:rsidRPr="00ED1E26" w:rsidRDefault="00ED1E26" w:rsidP="00ED1E26">
      <w:pPr>
        <w:numPr>
          <w:ilvl w:val="0"/>
          <w:numId w:val="13"/>
        </w:numPr>
      </w:pPr>
      <w:r w:rsidRPr="00ED1E26">
        <w:t xml:space="preserve">the costs to maintain and expand our infrastructure to support our operations, our product development, and planned future commercialization </w:t>
      </w:r>
      <w:proofErr w:type="gramStart"/>
      <w:r w:rsidRPr="00ED1E26">
        <w:t>efforts;</w:t>
      </w:r>
      <w:proofErr w:type="gramEnd"/>
    </w:p>
    <w:p w14:paraId="672D3A0F" w14:textId="77777777" w:rsidR="00ED1E26" w:rsidRPr="00ED1E26" w:rsidRDefault="00ED1E26" w:rsidP="00ED1E26">
      <w:pPr>
        <w:numPr>
          <w:ilvl w:val="0"/>
          <w:numId w:val="13"/>
        </w:numPr>
      </w:pPr>
      <w:r w:rsidRPr="00ED1E26">
        <w:t xml:space="preserve">the terms and timing of establishing and maintaining collaborations, licenses and other similar </w:t>
      </w:r>
      <w:proofErr w:type="gramStart"/>
      <w:r w:rsidRPr="00ED1E26">
        <w:t>arrangements;</w:t>
      </w:r>
      <w:proofErr w:type="gramEnd"/>
      <w:r w:rsidRPr="00ED1E26">
        <w:t xml:space="preserve"> </w:t>
      </w:r>
    </w:p>
    <w:p w14:paraId="4D193900" w14:textId="77777777" w:rsidR="00ED1E26" w:rsidRPr="00ED1E26" w:rsidRDefault="00ED1E26" w:rsidP="00ED1E26">
      <w:pPr>
        <w:numPr>
          <w:ilvl w:val="0"/>
          <w:numId w:val="13"/>
        </w:numPr>
      </w:pPr>
      <w:r w:rsidRPr="00ED1E26">
        <w:t xml:space="preserve">the costs associated with any products or technologies that we may in-license or acquire; and </w:t>
      </w:r>
    </w:p>
    <w:p w14:paraId="5BAC8FE3" w14:textId="77777777" w:rsidR="00ED1E26" w:rsidRPr="00ED1E26" w:rsidRDefault="00ED1E26" w:rsidP="00ED1E26">
      <w:pPr>
        <w:numPr>
          <w:ilvl w:val="0"/>
          <w:numId w:val="13"/>
        </w:numPr>
      </w:pPr>
      <w:r w:rsidRPr="00ED1E26">
        <w:t>the costs and timing of regulatory approvals.</w:t>
      </w:r>
    </w:p>
    <w:p w14:paraId="7DFDBEEF" w14:textId="77777777" w:rsidR="00151FDA" w:rsidRDefault="00151FDA" w:rsidP="00ED1E26"/>
    <w:p w14:paraId="286AE781" w14:textId="77777777" w:rsidR="00151FDA" w:rsidRDefault="00151FDA" w:rsidP="00ED1E26"/>
    <w:p w14:paraId="4D3B69D2" w14:textId="77777777" w:rsidR="00151FDA" w:rsidRPr="00ED1E26" w:rsidRDefault="00151FDA" w:rsidP="00ED1E26"/>
    <w:p w14:paraId="7020D5CF" w14:textId="3B28A08B" w:rsidR="00417E8A" w:rsidRDefault="00417E8A">
      <w:pPr>
        <w:rPr>
          <w:color w:val="000000"/>
          <w:sz w:val="2"/>
          <w:szCs w:val="2"/>
        </w:rPr>
      </w:pPr>
      <w:r>
        <w:rPr>
          <w:color w:val="000000"/>
          <w:sz w:val="2"/>
          <w:szCs w:val="2"/>
        </w:rPr>
        <w:br w:type="page"/>
      </w:r>
    </w:p>
    <w:p w14:paraId="4067366E" w14:textId="62067C5A" w:rsidR="00182CF3" w:rsidRPr="001C6303" w:rsidRDefault="0054260E" w:rsidP="000A55AE">
      <w:pPr>
        <w:pStyle w:val="Heading2"/>
        <w:numPr>
          <w:ilvl w:val="0"/>
          <w:numId w:val="0"/>
        </w:numPr>
        <w:tabs>
          <w:tab w:val="left" w:pos="1080"/>
        </w:tabs>
        <w:spacing w:after="0"/>
      </w:pPr>
      <w:bookmarkStart w:id="20" w:name="_Toc197922411"/>
      <w:r w:rsidRPr="001C6303">
        <w:rPr>
          <w:u w:val="none"/>
        </w:rPr>
        <w:lastRenderedPageBreak/>
        <w:t>Item 3</w:t>
      </w:r>
      <w:r w:rsidRPr="001C6303">
        <w:rPr>
          <w:u w:val="none"/>
        </w:rPr>
        <w:tab/>
      </w:r>
      <w:r w:rsidR="0035003D" w:rsidRPr="001C6303">
        <w:t>Quantitative and Qualitative Disclosures About Market Risk</w:t>
      </w:r>
      <w:bookmarkEnd w:id="20"/>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21" w:name="_Toc197922412"/>
      <w:bookmarkStart w:id="22" w:name="_Hlk165276886"/>
      <w:r w:rsidRPr="001C6303">
        <w:rPr>
          <w:u w:val="none"/>
        </w:rPr>
        <w:t>Item 4</w:t>
      </w:r>
      <w:r w:rsidRPr="001C6303">
        <w:rPr>
          <w:u w:val="none"/>
        </w:rPr>
        <w:tab/>
      </w:r>
      <w:r w:rsidR="00BD6BBE" w:rsidRPr="001C6303">
        <w:t>Controls and Procedures</w:t>
      </w:r>
      <w:bookmarkEnd w:id="21"/>
    </w:p>
    <w:bookmarkEnd w:id="22"/>
    <w:p w14:paraId="5A74D2A9" w14:textId="1A625506"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C27EE65" w:rsidR="00A920D8"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w:t>
      </w:r>
      <w:r w:rsidR="00925C68">
        <w:t>or</w:t>
      </w:r>
      <w:r w:rsidR="003467A5">
        <w:t xml:space="preserve">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52F17A3F" w14:textId="77777777" w:rsidR="00C33214" w:rsidRPr="001C6303" w:rsidRDefault="00C33214" w:rsidP="000A55AE">
      <w:pPr>
        <w:pStyle w:val="BodyText"/>
        <w:spacing w:after="0"/>
      </w:pPr>
    </w:p>
    <w:p w14:paraId="067FB94C" w14:textId="77777777" w:rsidR="00C33214" w:rsidRPr="001C6303" w:rsidRDefault="00C33214" w:rsidP="00C33214">
      <w:pPr>
        <w:pStyle w:val="BodySubtitle"/>
      </w:pPr>
      <w:bookmarkStart w:id="23" w:name="_Toc197922413"/>
      <w:r w:rsidRPr="001C6303">
        <w:t>Changes in internal control over financial reporting</w:t>
      </w:r>
    </w:p>
    <w:p w14:paraId="6CF4403E" w14:textId="77777777" w:rsidR="00C33214" w:rsidRDefault="00C33214" w:rsidP="00C33214">
      <w:pPr>
        <w:pStyle w:val="BodyText"/>
        <w:spacing w:after="0"/>
      </w:pPr>
    </w:p>
    <w:p w14:paraId="71518E18" w14:textId="73B79B64" w:rsidR="00C33214" w:rsidRPr="00665E82" w:rsidRDefault="00C33214" w:rsidP="00C33214">
      <w:pPr>
        <w:pStyle w:val="BodyText"/>
        <w:spacing w:after="0"/>
        <w:rPr>
          <w:bCs/>
        </w:rPr>
      </w:pPr>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t xml:space="preserve">March 31, </w:t>
      </w:r>
      <w:proofErr w:type="gramStart"/>
      <w:r>
        <w:t>202</w:t>
      </w:r>
      <w:r w:rsidR="001B6113">
        <w:t>4</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60C52D6C" w14:textId="77777777" w:rsidR="00C33214" w:rsidRDefault="00C33214" w:rsidP="00C33214"/>
    <w:p w14:paraId="076C6812" w14:textId="547E4F41" w:rsidR="00C33214" w:rsidRPr="00374DEE" w:rsidRDefault="00C33214" w:rsidP="00C33214">
      <w:pPr>
        <w:rPr>
          <w:i/>
        </w:rPr>
      </w:pPr>
      <w:r w:rsidRPr="00374DEE">
        <w:rPr>
          <w:i/>
        </w:rPr>
        <w:t>Limitations on Controls</w:t>
      </w:r>
    </w:p>
    <w:p w14:paraId="64E13A3A" w14:textId="77777777" w:rsidR="00C33214" w:rsidRDefault="00C33214" w:rsidP="00C33214"/>
    <w:p w14:paraId="2F83AC0C" w14:textId="77777777" w:rsidR="00C33214" w:rsidRPr="00024863" w:rsidRDefault="00C33214" w:rsidP="00C33214">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4DB84DC9" w:rsidR="00D9086D" w:rsidRDefault="00D9086D" w:rsidP="000A55AE"/>
    <w:p w14:paraId="2CD1CD28" w14:textId="77777777" w:rsidR="00B74BA5" w:rsidRPr="00D9086D" w:rsidRDefault="00B74BA5" w:rsidP="000A55AE"/>
    <w:p w14:paraId="6C1F719A" w14:textId="77777777" w:rsidR="00417E8A" w:rsidRDefault="00417E8A">
      <w:pPr>
        <w:rPr>
          <w:b/>
        </w:rPr>
      </w:pPr>
      <w:r>
        <w:br w:type="page"/>
      </w:r>
    </w:p>
    <w:p w14:paraId="5CF04708" w14:textId="487FDBC8" w:rsidR="00BD6BBE" w:rsidRDefault="004E3374" w:rsidP="000A55AE">
      <w:pPr>
        <w:pStyle w:val="Heading1"/>
        <w:numPr>
          <w:ilvl w:val="0"/>
          <w:numId w:val="0"/>
        </w:numPr>
      </w:pPr>
      <w:r>
        <w:lastRenderedPageBreak/>
        <w:t>PART</w:t>
      </w:r>
      <w:r w:rsidR="002D50D9">
        <w:t xml:space="preserve"> II -- </w:t>
      </w:r>
      <w:r w:rsidR="00BD6BBE" w:rsidRPr="001C6303">
        <w:t>OTHER INFORMATION</w:t>
      </w:r>
      <w:bookmarkEnd w:id="23"/>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24" w:name="_Toc197922414"/>
      <w:r w:rsidRPr="001C6303">
        <w:t>Legal Proceedings</w:t>
      </w:r>
      <w:bookmarkEnd w:id="24"/>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25" w:name="_Toc197922415"/>
      <w:r w:rsidRPr="001C6303">
        <w:t>Risk Factors</w:t>
      </w:r>
      <w:bookmarkEnd w:id="25"/>
    </w:p>
    <w:p w14:paraId="2421EF43" w14:textId="77777777" w:rsidR="000A55AE" w:rsidRDefault="000A55AE" w:rsidP="000A55AE">
      <w:pPr>
        <w:pStyle w:val="BodyText"/>
        <w:spacing w:after="0"/>
      </w:pPr>
    </w:p>
    <w:p w14:paraId="36DCD36A" w14:textId="0BC44C6A" w:rsidR="00C33214" w:rsidRDefault="00C33214" w:rsidP="00C33214">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w:t>
      </w:r>
      <w:r w:rsidR="00DF1678">
        <w:noBreakHyphen/>
      </w:r>
      <w:r>
        <w:t>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26" w:name="_Toc197922416"/>
      <w:r w:rsidRPr="001C6303">
        <w:t>Unregistered Sale</w:t>
      </w:r>
      <w:r w:rsidR="00A63414" w:rsidRPr="001C6303">
        <w:t>s</w:t>
      </w:r>
      <w:r w:rsidRPr="001C6303">
        <w:t xml:space="preserve"> of Equity Securities and Use of Proceeds</w:t>
      </w:r>
      <w:bookmarkEnd w:id="26"/>
    </w:p>
    <w:p w14:paraId="12D60E19" w14:textId="77777777" w:rsidR="000A55AE" w:rsidRDefault="000A55AE" w:rsidP="000A55AE">
      <w:pPr>
        <w:pStyle w:val="BodyText"/>
        <w:spacing w:after="0"/>
      </w:pPr>
      <w:bookmarkStart w:id="27" w:name="_Toc197922417"/>
    </w:p>
    <w:p w14:paraId="1D4ADCA2" w14:textId="732BA11B" w:rsidR="00C6018F" w:rsidRDefault="00C6018F" w:rsidP="00C6018F">
      <w:pPr>
        <w:pStyle w:val="BodyText"/>
        <w:spacing w:after="0"/>
      </w:pPr>
      <w:r>
        <w:t xml:space="preserve">On </w:t>
      </w:r>
      <w:r w:rsidR="001B6113">
        <w:t>January</w:t>
      </w:r>
      <w:r>
        <w:t xml:space="preserve"> </w:t>
      </w:r>
      <w:r w:rsidR="00D93D3B">
        <w:t>2</w:t>
      </w:r>
      <w:r>
        <w:t>, 202</w:t>
      </w:r>
      <w:r w:rsidR="001B6113">
        <w:t>4</w:t>
      </w:r>
      <w:r>
        <w:t xml:space="preserve">, we issued </w:t>
      </w:r>
      <w:r w:rsidR="00D93D3B">
        <w:t>6,703</w:t>
      </w:r>
      <w:r>
        <w:t xml:space="preserve"> shares of our restricted common stock to Acorn Management Partners, LLC pursuant to a professional relations and consulting agreement. The Company relied on an exemption from the registration requirements of the Securities Act afforded by Section 4(a)(2) thereof and Rule 506 of Regulation D. </w:t>
      </w:r>
    </w:p>
    <w:p w14:paraId="3CCD0E14" w14:textId="77777777" w:rsidR="00C6018F" w:rsidRDefault="00C6018F" w:rsidP="000A55AE">
      <w:pPr>
        <w:pStyle w:val="BodyText"/>
        <w:spacing w:after="0"/>
      </w:pPr>
    </w:p>
    <w:p w14:paraId="5A111FD7" w14:textId="73656821" w:rsidR="00052C14" w:rsidRDefault="00052C14" w:rsidP="00052C14">
      <w:r w:rsidRPr="00C16143">
        <w:t>There were no</w:t>
      </w:r>
      <w:r w:rsidR="00C6018F">
        <w:t xml:space="preserve"> other</w:t>
      </w:r>
      <w:r w:rsidRPr="00C16143">
        <w:t xml:space="preserve"> sales of unregistered securities during the period covered by this report that have not previously been reported on Form 8-K.</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27"/>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77777777" w:rsidR="00025C72" w:rsidRPr="001C6303" w:rsidRDefault="00C07C60" w:rsidP="000A55AE">
      <w:pPr>
        <w:pStyle w:val="Heading2"/>
        <w:spacing w:after="0"/>
      </w:pPr>
      <w:bookmarkStart w:id="28" w:name="_Toc197922419"/>
      <w:r>
        <w:t>Other Information</w:t>
      </w:r>
      <w:r w:rsidR="00025C72" w:rsidRPr="001C6303">
        <w:t xml:space="preserve"> </w:t>
      </w:r>
    </w:p>
    <w:p w14:paraId="72A27140" w14:textId="77777777" w:rsidR="000A55AE" w:rsidRDefault="000A55AE" w:rsidP="000A55AE"/>
    <w:p w14:paraId="629A3779" w14:textId="29A3F2CD" w:rsidR="00551ADE" w:rsidRPr="00551ADE" w:rsidRDefault="00551ADE" w:rsidP="00551ADE">
      <w:pPr>
        <w:rPr>
          <w:color w:val="000000"/>
        </w:rPr>
      </w:pPr>
      <w:r>
        <w:rPr>
          <w:color w:val="000000"/>
        </w:rPr>
        <w:t xml:space="preserve">During the period covered by this report, none of our directors or executive officers </w:t>
      </w:r>
      <w:r>
        <w:t>adopted</w:t>
      </w:r>
      <w:r>
        <w:rPr>
          <w:color w:val="000000"/>
        </w:rPr>
        <w:t xml:space="preserve"> or </w:t>
      </w:r>
      <w:r>
        <w:t>terminated</w:t>
      </w:r>
      <w:r>
        <w:rPr>
          <w:color w:val="000000"/>
        </w:rPr>
        <w:t> any “Rule 10b5-1 trading arrangement” or “non-Rule 10b5-1 trading arrangement” (as each term is defined in Item 408(a) of Regulation S-K).</w:t>
      </w:r>
    </w:p>
    <w:p w14:paraId="61BA0F9A" w14:textId="77777777" w:rsidR="00551ADE" w:rsidRDefault="00551ADE" w:rsidP="00551ADE"/>
    <w:p w14:paraId="427B8C1F" w14:textId="514F13DE" w:rsidR="00001C8D" w:rsidRDefault="003467A5" w:rsidP="00551ADE">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28"/>
      <w:r w:rsidR="00001C8D">
        <w:br w:type="page"/>
      </w:r>
    </w:p>
    <w:p w14:paraId="513F7D6F" w14:textId="77777777" w:rsidR="00A17B7E" w:rsidRDefault="00A17B7E" w:rsidP="000C50EF"/>
    <w:p w14:paraId="3B899785" w14:textId="07B843E3" w:rsidR="00717940" w:rsidRDefault="005E7A32" w:rsidP="00742E05">
      <w:pPr>
        <w:pStyle w:val="Heading2"/>
        <w:numPr>
          <w:ilvl w:val="0"/>
          <w:numId w:val="0"/>
        </w:numPr>
        <w:tabs>
          <w:tab w:val="left" w:pos="1000"/>
        </w:tabs>
        <w:spacing w:after="0"/>
      </w:pPr>
      <w:bookmarkStart w:id="29" w:name="_Toc197922420"/>
      <w:r w:rsidRPr="001C6303">
        <w:rPr>
          <w:u w:val="none"/>
        </w:rPr>
        <w:t>Item 6</w:t>
      </w:r>
      <w:r w:rsidRPr="001C6303">
        <w:rPr>
          <w:u w:val="none"/>
        </w:rPr>
        <w:tab/>
      </w:r>
      <w:r w:rsidR="00BD6BBE" w:rsidRPr="001C6303">
        <w:t>Exhibits</w:t>
      </w:r>
      <w:bookmarkEnd w:id="29"/>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D07464">
      <w:pPr>
        <w:keepNext/>
        <w:tabs>
          <w:tab w:val="left" w:pos="900"/>
        </w:tabs>
        <w:spacing w:after="60"/>
        <w:rPr>
          <w:u w:val="single"/>
        </w:rPr>
      </w:pPr>
      <w:r w:rsidRPr="001C6303">
        <w:rPr>
          <w:u w:val="single"/>
        </w:rPr>
        <w:t>Number</w:t>
      </w:r>
      <w:r w:rsidRPr="001C6303">
        <w:tab/>
      </w:r>
      <w:r w:rsidRPr="001C6303">
        <w:rPr>
          <w:u w:val="single"/>
        </w:rPr>
        <w:t>Description</w:t>
      </w:r>
    </w:p>
    <w:p w14:paraId="0BB9381C" w14:textId="4C2F3150" w:rsidR="00D93D3B" w:rsidRDefault="00D93D3B" w:rsidP="00D07464">
      <w:pPr>
        <w:ind w:left="900" w:hanging="900"/>
      </w:pPr>
      <w:r w:rsidRPr="00386AE1">
        <w:t>3.1*</w:t>
      </w:r>
      <w:r w:rsidRPr="00386AE1">
        <w:tab/>
      </w:r>
      <w:r w:rsidR="003F46F7">
        <w:t xml:space="preserve">Restated </w:t>
      </w:r>
      <w:r w:rsidRPr="00386AE1">
        <w:t>Certificate of Incorporation</w:t>
      </w:r>
      <w:r w:rsidR="00412246" w:rsidRPr="00386AE1">
        <w:t xml:space="preserve">, as </w:t>
      </w:r>
      <w:r w:rsidR="003F46F7">
        <w:t>filed with the Secretary of State of the State of Delaware on April 12, 2024</w:t>
      </w:r>
    </w:p>
    <w:p w14:paraId="769D58A4" w14:textId="47B2E361" w:rsidR="00717940" w:rsidRPr="001C6303" w:rsidRDefault="00717940" w:rsidP="00D07464">
      <w:pPr>
        <w:ind w:left="900" w:hanging="900"/>
      </w:pPr>
      <w:r w:rsidRPr="001C6303">
        <w:t>31.1*</w:t>
      </w:r>
      <w:r w:rsidRPr="001C6303">
        <w:tab/>
        <w:t xml:space="preserve">Certification pursuant to Rule 13a-14(a) or 15d-14(a) of the Securities Exchange Act of 1934 </w:t>
      </w:r>
    </w:p>
    <w:p w14:paraId="0D5E8471" w14:textId="77777777" w:rsidR="00717940" w:rsidRPr="001C6303" w:rsidRDefault="00717940" w:rsidP="00D07464">
      <w:pPr>
        <w:ind w:left="900" w:hanging="900"/>
      </w:pPr>
      <w:r w:rsidRPr="001C6303">
        <w:t>31.2*</w:t>
      </w:r>
      <w:r w:rsidRPr="001C6303">
        <w:tab/>
        <w:t xml:space="preserve">Certification pursuant to Rule 13a-14(a) or 15d-14(a) of the Securities Exchange Act of 1934 </w:t>
      </w:r>
    </w:p>
    <w:p w14:paraId="7E0B9613" w14:textId="77777777" w:rsidR="00717940" w:rsidRPr="001C6303" w:rsidRDefault="00717940" w:rsidP="00D07464">
      <w:pPr>
        <w:ind w:left="900" w:hanging="90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D07464">
      <w:pPr>
        <w:tabs>
          <w:tab w:val="left" w:pos="2340"/>
          <w:tab w:val="left" w:pos="3600"/>
          <w:tab w:val="left" w:pos="7920"/>
        </w:tabs>
        <w:ind w:left="900" w:hanging="900"/>
      </w:pPr>
      <w:r w:rsidRPr="001C6303">
        <w:t>32.2*</w:t>
      </w:r>
      <w:r w:rsidRPr="001C6303">
        <w:tab/>
        <w:t xml:space="preserve">Certification pursuant to 18 U.S.C. Section 1350, as adopted by Section 906 of the Sarbanes-Oxley Act of 2002 </w:t>
      </w:r>
    </w:p>
    <w:p w14:paraId="6B43401B" w14:textId="1E52B498" w:rsidR="00277C53" w:rsidRDefault="00277C53" w:rsidP="00D07464">
      <w:pPr>
        <w:ind w:left="900" w:hanging="900"/>
      </w:pPr>
      <w:r>
        <w:t>101.INS</w:t>
      </w:r>
      <w:r>
        <w:tab/>
      </w:r>
      <w:r w:rsidR="001427A0">
        <w:t xml:space="preserve">Inline </w:t>
      </w:r>
      <w:r>
        <w:t>XBRL Instance Document</w:t>
      </w:r>
      <w:r w:rsidR="001427A0">
        <w:t xml:space="preserve"> (1)</w:t>
      </w:r>
    </w:p>
    <w:p w14:paraId="0DFF493E" w14:textId="681380A4" w:rsidR="00277C53" w:rsidRDefault="00277C53" w:rsidP="00D07464">
      <w:pPr>
        <w:ind w:left="900" w:hanging="900"/>
      </w:pPr>
      <w:r>
        <w:t>101.SCH</w:t>
      </w:r>
      <w:r>
        <w:tab/>
      </w:r>
      <w:r w:rsidR="001427A0">
        <w:t xml:space="preserve">Inline </w:t>
      </w:r>
      <w:r>
        <w:t>XBRL Taxonomy Extension Schema Document</w:t>
      </w:r>
      <w:r w:rsidR="001427A0">
        <w:t xml:space="preserve"> (1)</w:t>
      </w:r>
    </w:p>
    <w:p w14:paraId="15A985B3" w14:textId="24A71D0B" w:rsidR="00277C53" w:rsidRDefault="00277C53" w:rsidP="00D07464">
      <w:pPr>
        <w:ind w:left="900" w:hanging="900"/>
      </w:pPr>
      <w:r>
        <w:t>101.CAL</w:t>
      </w:r>
      <w:r>
        <w:tab/>
      </w:r>
      <w:r w:rsidR="001427A0">
        <w:t xml:space="preserve">Inline </w:t>
      </w:r>
      <w:r>
        <w:t xml:space="preserve">XBRL Taxonomy Extension Calculation </w:t>
      </w:r>
      <w:proofErr w:type="spellStart"/>
      <w:r>
        <w:t>Linkbase</w:t>
      </w:r>
      <w:proofErr w:type="spellEnd"/>
      <w:r>
        <w:t xml:space="preserve"> Document</w:t>
      </w:r>
      <w:r w:rsidR="001427A0">
        <w:t xml:space="preserve"> (1)</w:t>
      </w:r>
    </w:p>
    <w:p w14:paraId="237AE405" w14:textId="5CDEF9F8" w:rsidR="00277C53" w:rsidRDefault="00277C53" w:rsidP="00D07464">
      <w:pPr>
        <w:ind w:left="900" w:hanging="900"/>
      </w:pPr>
      <w:r>
        <w:t>101.DEF</w:t>
      </w:r>
      <w:r>
        <w:tab/>
      </w:r>
      <w:r w:rsidR="001427A0">
        <w:t xml:space="preserve">Inline </w:t>
      </w:r>
      <w:r>
        <w:t xml:space="preserve">XBRL Taxonomy Extension Definition </w:t>
      </w:r>
      <w:proofErr w:type="spellStart"/>
      <w:r>
        <w:t>Linkbase</w:t>
      </w:r>
      <w:proofErr w:type="spellEnd"/>
      <w:r>
        <w:t xml:space="preserve"> Document</w:t>
      </w:r>
      <w:r w:rsidR="001427A0">
        <w:t xml:space="preserve"> (1)</w:t>
      </w:r>
    </w:p>
    <w:p w14:paraId="3C8A4BF0" w14:textId="3C7FCEC9" w:rsidR="00277C53" w:rsidRDefault="00277C53" w:rsidP="00D07464">
      <w:pPr>
        <w:ind w:left="900" w:hanging="900"/>
      </w:pPr>
      <w:r>
        <w:t>101.LAB</w:t>
      </w:r>
      <w:r>
        <w:tab/>
      </w:r>
      <w:r w:rsidR="001427A0">
        <w:t xml:space="preserve">Inline </w:t>
      </w:r>
      <w:r>
        <w:t xml:space="preserve">XBRL Taxonomy Extension Label </w:t>
      </w:r>
      <w:proofErr w:type="spellStart"/>
      <w:r>
        <w:t>Linkbase</w:t>
      </w:r>
      <w:proofErr w:type="spellEnd"/>
      <w:r>
        <w:t xml:space="preserve"> Document</w:t>
      </w:r>
      <w:r w:rsidR="001427A0">
        <w:t xml:space="preserve"> (1)</w:t>
      </w:r>
    </w:p>
    <w:p w14:paraId="209011E7" w14:textId="6B684223" w:rsidR="00277C53" w:rsidRPr="001C6303" w:rsidRDefault="00277C53" w:rsidP="00D07464">
      <w:pPr>
        <w:ind w:left="900" w:hanging="900"/>
      </w:pPr>
      <w:r>
        <w:t>101.PR</w:t>
      </w:r>
      <w:r w:rsidR="001427A0">
        <w:t>E</w:t>
      </w:r>
      <w:r>
        <w:tab/>
      </w:r>
      <w:r w:rsidR="001427A0">
        <w:t xml:space="preserve">Inline </w:t>
      </w:r>
      <w:r>
        <w:t xml:space="preserve">XBRL Taxonomy Extension Presentation </w:t>
      </w:r>
      <w:proofErr w:type="spellStart"/>
      <w:r>
        <w:t>Linkbase</w:t>
      </w:r>
      <w:proofErr w:type="spellEnd"/>
      <w:r>
        <w:t xml:space="preserve"> Document</w:t>
      </w:r>
      <w:r w:rsidR="001427A0">
        <w:t xml:space="preserve"> (1)</w:t>
      </w:r>
    </w:p>
    <w:p w14:paraId="6920DFEF" w14:textId="77777777" w:rsidR="001427A0" w:rsidRPr="001C6303" w:rsidRDefault="001427A0" w:rsidP="00D07464">
      <w:pPr>
        <w:ind w:left="900" w:hanging="900"/>
      </w:pPr>
      <w:r>
        <w:t>104</w:t>
      </w:r>
      <w:r>
        <w:tab/>
        <w:t>Inline XBRL for the cover page of this Quarterly Report on Form 10-Q and included in the Exhibit 101 Inline XBRL Document Set (1)</w:t>
      </w:r>
    </w:p>
    <w:p w14:paraId="45F577B3" w14:textId="77777777" w:rsidR="00717940" w:rsidRDefault="00717940" w:rsidP="00717940">
      <w:r>
        <w:t>_____________________</w:t>
      </w:r>
    </w:p>
    <w:p w14:paraId="74FDE28B" w14:textId="77777777" w:rsidR="00717940" w:rsidRDefault="00717940" w:rsidP="00717940">
      <w:r w:rsidRPr="001C6303">
        <w:t>*</w:t>
      </w:r>
      <w:r w:rsidRPr="001C6303">
        <w:tab/>
        <w:t>Filed herewith</w:t>
      </w:r>
    </w:p>
    <w:p w14:paraId="4382E3E7" w14:textId="77777777" w:rsidR="00462D62" w:rsidRDefault="00462D62" w:rsidP="00277C53"/>
    <w:p w14:paraId="4EF68649" w14:textId="77777777" w:rsidR="001427A0" w:rsidRDefault="00277C53" w:rsidP="001427A0">
      <w:pPr>
        <w:ind w:left="720" w:hanging="720"/>
      </w:pPr>
      <w:r>
        <w:t>(1)</w:t>
      </w:r>
      <w:r>
        <w:tab/>
      </w:r>
      <w:r w:rsidR="001427A0">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0CA1CF67" w14:textId="369E5D3D" w:rsidR="00717940" w:rsidRDefault="00717940" w:rsidP="000A55AE"/>
    <w:p w14:paraId="43880258" w14:textId="77777777" w:rsidR="001B6113" w:rsidRDefault="001B6113" w:rsidP="000A55AE"/>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47B854CF" w:rsidR="00BD6BBE" w:rsidRPr="001C6303" w:rsidRDefault="005277CB">
      <w:pPr>
        <w:tabs>
          <w:tab w:val="left" w:pos="720"/>
          <w:tab w:val="left" w:pos="5400"/>
          <w:tab w:val="center" w:pos="7380"/>
        </w:tabs>
      </w:pPr>
      <w:r w:rsidRPr="001C6303">
        <w:t>Date:</w:t>
      </w:r>
      <w:r w:rsidRPr="001C6303">
        <w:tab/>
      </w:r>
      <w:r w:rsidR="00E619F8">
        <w:t xml:space="preserve">May </w:t>
      </w:r>
      <w:r w:rsidR="00372F5C">
        <w:t>14</w:t>
      </w:r>
      <w:r w:rsidR="006B43ED" w:rsidRPr="00CD5558">
        <w:t xml:space="preserve">, </w:t>
      </w:r>
      <w:proofErr w:type="gramStart"/>
      <w:r w:rsidR="006B43ED" w:rsidRPr="00CD5558">
        <w:t>20</w:t>
      </w:r>
      <w:r w:rsidR="00717940">
        <w:t>2</w:t>
      </w:r>
      <w:r w:rsidR="001B6113">
        <w:t>4</w:t>
      </w:r>
      <w:proofErr w:type="gramEnd"/>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2"/>
      <w:headerReference w:type="default" r:id="rId23"/>
      <w:footerReference w:type="even" r:id="rId24"/>
      <w:footerReference w:type="default" r:id="rId25"/>
      <w:headerReference w:type="first" r:id="rId26"/>
      <w:footerReference w:type="first" r:id="rId2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A1124" w14:textId="77777777" w:rsidR="002F4127" w:rsidRDefault="002F4127">
      <w:r>
        <w:separator/>
      </w:r>
    </w:p>
  </w:endnote>
  <w:endnote w:type="continuationSeparator" w:id="0">
    <w:p w14:paraId="4D57E4E2" w14:textId="77777777" w:rsidR="002F4127" w:rsidRDefault="002F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66B8440F" w:rsidR="005F4662" w:rsidRDefault="00623151" w:rsidP="003A5897">
    <w:pPr>
      <w:pStyle w:val="Footer"/>
    </w:pPr>
    <w:fldSimple w:instr=" DOCPROPERTY &quot;SWDocID&quot;  \* MERGEFORMAT ">
      <w:r w:rsidR="00246FB4" w:rsidRPr="00246FB4">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1B1CD6B2" w:rsidR="005F4662" w:rsidRDefault="00623151" w:rsidP="003A5897">
    <w:pPr>
      <w:pStyle w:val="Footer"/>
    </w:pPr>
    <w:fldSimple w:instr=" DOCPROPERTY &quot;SWDocID&quot;  \* MERGEFORMAT ">
      <w:r w:rsidR="00246FB4" w:rsidRPr="00246FB4">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FB99B" w14:textId="77777777" w:rsidR="002F4127" w:rsidRDefault="002F4127">
      <w:r>
        <w:separator/>
      </w:r>
    </w:p>
  </w:footnote>
  <w:footnote w:type="continuationSeparator" w:id="0">
    <w:p w14:paraId="5010A0BC" w14:textId="77777777" w:rsidR="002F4127" w:rsidRDefault="002F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11E542"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905381"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097812">
    <w:abstractNumId w:val="3"/>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6"/>
  </w:num>
  <w:num w:numId="4" w16cid:durableId="31922999">
    <w:abstractNumId w:val="4"/>
  </w:num>
  <w:num w:numId="5" w16cid:durableId="583146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1"/>
  </w:num>
  <w:num w:numId="7" w16cid:durableId="918561998">
    <w:abstractNumId w:val="2"/>
  </w:num>
  <w:num w:numId="8" w16cid:durableId="1966542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5"/>
  </w:num>
  <w:num w:numId="10" w16cid:durableId="1547378558">
    <w:abstractNumId w:val="10"/>
  </w:num>
  <w:num w:numId="11" w16cid:durableId="623535316">
    <w:abstractNumId w:val="8"/>
  </w:num>
  <w:num w:numId="12" w16cid:durableId="163017238">
    <w:abstractNumId w:val="9"/>
  </w:num>
  <w:num w:numId="13" w16cid:durableId="5083003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1C8D"/>
    <w:rsid w:val="00003127"/>
    <w:rsid w:val="000031AA"/>
    <w:rsid w:val="000034E0"/>
    <w:rsid w:val="00003985"/>
    <w:rsid w:val="00003B72"/>
    <w:rsid w:val="000045A2"/>
    <w:rsid w:val="00004976"/>
    <w:rsid w:val="00006146"/>
    <w:rsid w:val="00006D2A"/>
    <w:rsid w:val="0001029F"/>
    <w:rsid w:val="00010534"/>
    <w:rsid w:val="000108EF"/>
    <w:rsid w:val="00010CDD"/>
    <w:rsid w:val="00011002"/>
    <w:rsid w:val="00011BEF"/>
    <w:rsid w:val="00012345"/>
    <w:rsid w:val="000128C9"/>
    <w:rsid w:val="00012E6B"/>
    <w:rsid w:val="000162CE"/>
    <w:rsid w:val="00016B44"/>
    <w:rsid w:val="00017A17"/>
    <w:rsid w:val="000206F1"/>
    <w:rsid w:val="00021A09"/>
    <w:rsid w:val="000237DB"/>
    <w:rsid w:val="00023FEB"/>
    <w:rsid w:val="0002455D"/>
    <w:rsid w:val="000251EA"/>
    <w:rsid w:val="000253FD"/>
    <w:rsid w:val="00025C72"/>
    <w:rsid w:val="00025E86"/>
    <w:rsid w:val="000267C2"/>
    <w:rsid w:val="000311C2"/>
    <w:rsid w:val="00031A17"/>
    <w:rsid w:val="0003218D"/>
    <w:rsid w:val="00032EFE"/>
    <w:rsid w:val="00033091"/>
    <w:rsid w:val="00033560"/>
    <w:rsid w:val="00033723"/>
    <w:rsid w:val="00036C2E"/>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512"/>
    <w:rsid w:val="0005266E"/>
    <w:rsid w:val="00052BD0"/>
    <w:rsid w:val="00052C14"/>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810"/>
    <w:rsid w:val="000733A2"/>
    <w:rsid w:val="00074805"/>
    <w:rsid w:val="00075378"/>
    <w:rsid w:val="0007631A"/>
    <w:rsid w:val="00076ACC"/>
    <w:rsid w:val="00082209"/>
    <w:rsid w:val="0008274C"/>
    <w:rsid w:val="00085927"/>
    <w:rsid w:val="00086188"/>
    <w:rsid w:val="0008634B"/>
    <w:rsid w:val="00086A2F"/>
    <w:rsid w:val="000871E0"/>
    <w:rsid w:val="00087841"/>
    <w:rsid w:val="00087E6E"/>
    <w:rsid w:val="00087F53"/>
    <w:rsid w:val="00090FF4"/>
    <w:rsid w:val="00094012"/>
    <w:rsid w:val="0009462E"/>
    <w:rsid w:val="000947D0"/>
    <w:rsid w:val="00095DD7"/>
    <w:rsid w:val="000969EB"/>
    <w:rsid w:val="00096B1B"/>
    <w:rsid w:val="00096E33"/>
    <w:rsid w:val="00097B30"/>
    <w:rsid w:val="000A3522"/>
    <w:rsid w:val="000A437C"/>
    <w:rsid w:val="000A49BE"/>
    <w:rsid w:val="000A4CB0"/>
    <w:rsid w:val="000A4DF8"/>
    <w:rsid w:val="000A5148"/>
    <w:rsid w:val="000A55AE"/>
    <w:rsid w:val="000A58BB"/>
    <w:rsid w:val="000A6576"/>
    <w:rsid w:val="000B0FD9"/>
    <w:rsid w:val="000B12B0"/>
    <w:rsid w:val="000B1892"/>
    <w:rsid w:val="000B19B2"/>
    <w:rsid w:val="000B33FC"/>
    <w:rsid w:val="000B4A80"/>
    <w:rsid w:val="000B5975"/>
    <w:rsid w:val="000B5C24"/>
    <w:rsid w:val="000B648E"/>
    <w:rsid w:val="000B712F"/>
    <w:rsid w:val="000B7596"/>
    <w:rsid w:val="000B7D9B"/>
    <w:rsid w:val="000C0100"/>
    <w:rsid w:val="000C085D"/>
    <w:rsid w:val="000C18B5"/>
    <w:rsid w:val="000C4495"/>
    <w:rsid w:val="000C47BC"/>
    <w:rsid w:val="000C50EF"/>
    <w:rsid w:val="000C6372"/>
    <w:rsid w:val="000C6642"/>
    <w:rsid w:val="000C6697"/>
    <w:rsid w:val="000C70FD"/>
    <w:rsid w:val="000D0077"/>
    <w:rsid w:val="000D1244"/>
    <w:rsid w:val="000D15F1"/>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F0D"/>
    <w:rsid w:val="000F202C"/>
    <w:rsid w:val="000F3A7C"/>
    <w:rsid w:val="000F3D82"/>
    <w:rsid w:val="000F4385"/>
    <w:rsid w:val="000F4B4D"/>
    <w:rsid w:val="000F57EC"/>
    <w:rsid w:val="000F5A92"/>
    <w:rsid w:val="000F6610"/>
    <w:rsid w:val="000F7274"/>
    <w:rsid w:val="000F74E2"/>
    <w:rsid w:val="001000F4"/>
    <w:rsid w:val="00103160"/>
    <w:rsid w:val="00103750"/>
    <w:rsid w:val="001046B1"/>
    <w:rsid w:val="00105589"/>
    <w:rsid w:val="00105666"/>
    <w:rsid w:val="00105905"/>
    <w:rsid w:val="00106DDC"/>
    <w:rsid w:val="00106E6F"/>
    <w:rsid w:val="0011067F"/>
    <w:rsid w:val="00110954"/>
    <w:rsid w:val="00110E4D"/>
    <w:rsid w:val="00110F05"/>
    <w:rsid w:val="001113CE"/>
    <w:rsid w:val="0011183F"/>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343B"/>
    <w:rsid w:val="0013596C"/>
    <w:rsid w:val="00135F87"/>
    <w:rsid w:val="00136153"/>
    <w:rsid w:val="001362F2"/>
    <w:rsid w:val="00137307"/>
    <w:rsid w:val="001373A9"/>
    <w:rsid w:val="001376F5"/>
    <w:rsid w:val="00137D87"/>
    <w:rsid w:val="00140C57"/>
    <w:rsid w:val="0014178D"/>
    <w:rsid w:val="00141A8D"/>
    <w:rsid w:val="001426C2"/>
    <w:rsid w:val="001427A0"/>
    <w:rsid w:val="001435F4"/>
    <w:rsid w:val="001436ED"/>
    <w:rsid w:val="00143709"/>
    <w:rsid w:val="00143716"/>
    <w:rsid w:val="001451E8"/>
    <w:rsid w:val="00146008"/>
    <w:rsid w:val="00147AF4"/>
    <w:rsid w:val="00150DA7"/>
    <w:rsid w:val="00150FE9"/>
    <w:rsid w:val="00151AA7"/>
    <w:rsid w:val="00151FDA"/>
    <w:rsid w:val="00152824"/>
    <w:rsid w:val="00154A23"/>
    <w:rsid w:val="00155130"/>
    <w:rsid w:val="001568E0"/>
    <w:rsid w:val="0016039E"/>
    <w:rsid w:val="001608A4"/>
    <w:rsid w:val="00161492"/>
    <w:rsid w:val="001615D5"/>
    <w:rsid w:val="00161A28"/>
    <w:rsid w:val="0016206A"/>
    <w:rsid w:val="00162B50"/>
    <w:rsid w:val="001630D7"/>
    <w:rsid w:val="0016377E"/>
    <w:rsid w:val="00163782"/>
    <w:rsid w:val="001653A6"/>
    <w:rsid w:val="0016579D"/>
    <w:rsid w:val="00165DE5"/>
    <w:rsid w:val="001664F3"/>
    <w:rsid w:val="00166A4A"/>
    <w:rsid w:val="00170256"/>
    <w:rsid w:val="00171251"/>
    <w:rsid w:val="00172748"/>
    <w:rsid w:val="0017287E"/>
    <w:rsid w:val="00172BE4"/>
    <w:rsid w:val="00174B2B"/>
    <w:rsid w:val="00175858"/>
    <w:rsid w:val="00175951"/>
    <w:rsid w:val="00175A7C"/>
    <w:rsid w:val="001768F7"/>
    <w:rsid w:val="0017772C"/>
    <w:rsid w:val="00177E79"/>
    <w:rsid w:val="0018023D"/>
    <w:rsid w:val="00180540"/>
    <w:rsid w:val="00180ACB"/>
    <w:rsid w:val="00181108"/>
    <w:rsid w:val="0018122B"/>
    <w:rsid w:val="00181C13"/>
    <w:rsid w:val="00182773"/>
    <w:rsid w:val="00182A2E"/>
    <w:rsid w:val="00182CF3"/>
    <w:rsid w:val="00182EC3"/>
    <w:rsid w:val="001837B1"/>
    <w:rsid w:val="00183E9F"/>
    <w:rsid w:val="00184417"/>
    <w:rsid w:val="00186618"/>
    <w:rsid w:val="0018668A"/>
    <w:rsid w:val="00186BCA"/>
    <w:rsid w:val="0018726D"/>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178D"/>
    <w:rsid w:val="001A204D"/>
    <w:rsid w:val="001A3767"/>
    <w:rsid w:val="001A3916"/>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113"/>
    <w:rsid w:val="001B615D"/>
    <w:rsid w:val="001B694B"/>
    <w:rsid w:val="001B7BD8"/>
    <w:rsid w:val="001C006E"/>
    <w:rsid w:val="001C0E17"/>
    <w:rsid w:val="001C32F6"/>
    <w:rsid w:val="001C3695"/>
    <w:rsid w:val="001C37F3"/>
    <w:rsid w:val="001C3AC6"/>
    <w:rsid w:val="001C4BA5"/>
    <w:rsid w:val="001C4F8F"/>
    <w:rsid w:val="001C5077"/>
    <w:rsid w:val="001C62BA"/>
    <w:rsid w:val="001C6303"/>
    <w:rsid w:val="001C6599"/>
    <w:rsid w:val="001C6718"/>
    <w:rsid w:val="001C7065"/>
    <w:rsid w:val="001C7C53"/>
    <w:rsid w:val="001D44D7"/>
    <w:rsid w:val="001D4A52"/>
    <w:rsid w:val="001D6731"/>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0A16"/>
    <w:rsid w:val="001F2008"/>
    <w:rsid w:val="001F251F"/>
    <w:rsid w:val="001F2E8C"/>
    <w:rsid w:val="001F62EC"/>
    <w:rsid w:val="001F6F90"/>
    <w:rsid w:val="001F7F86"/>
    <w:rsid w:val="002024CE"/>
    <w:rsid w:val="002025C3"/>
    <w:rsid w:val="00202BAB"/>
    <w:rsid w:val="0020331B"/>
    <w:rsid w:val="002048CA"/>
    <w:rsid w:val="00205913"/>
    <w:rsid w:val="002059C0"/>
    <w:rsid w:val="00205B29"/>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39C8"/>
    <w:rsid w:val="00223A0E"/>
    <w:rsid w:val="0022458D"/>
    <w:rsid w:val="00224660"/>
    <w:rsid w:val="0022515F"/>
    <w:rsid w:val="002254C4"/>
    <w:rsid w:val="002259F1"/>
    <w:rsid w:val="002260F6"/>
    <w:rsid w:val="00226729"/>
    <w:rsid w:val="002300D1"/>
    <w:rsid w:val="00231346"/>
    <w:rsid w:val="00231AD7"/>
    <w:rsid w:val="00234F72"/>
    <w:rsid w:val="00235CCA"/>
    <w:rsid w:val="00236AFC"/>
    <w:rsid w:val="00237166"/>
    <w:rsid w:val="00237A64"/>
    <w:rsid w:val="00237AEE"/>
    <w:rsid w:val="002401F7"/>
    <w:rsid w:val="00240B57"/>
    <w:rsid w:val="00241293"/>
    <w:rsid w:val="00243245"/>
    <w:rsid w:val="0024365D"/>
    <w:rsid w:val="0024386A"/>
    <w:rsid w:val="00243F27"/>
    <w:rsid w:val="00244A54"/>
    <w:rsid w:val="00244F17"/>
    <w:rsid w:val="00245CAF"/>
    <w:rsid w:val="00245E4D"/>
    <w:rsid w:val="00246D74"/>
    <w:rsid w:val="00246F1D"/>
    <w:rsid w:val="00246F50"/>
    <w:rsid w:val="00246FB4"/>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3DE8"/>
    <w:rsid w:val="00263E8F"/>
    <w:rsid w:val="00263F3A"/>
    <w:rsid w:val="00264164"/>
    <w:rsid w:val="00264347"/>
    <w:rsid w:val="002648E3"/>
    <w:rsid w:val="00264F2B"/>
    <w:rsid w:val="00265232"/>
    <w:rsid w:val="00265917"/>
    <w:rsid w:val="00265FE0"/>
    <w:rsid w:val="002703B5"/>
    <w:rsid w:val="00270616"/>
    <w:rsid w:val="00270FAD"/>
    <w:rsid w:val="0027114F"/>
    <w:rsid w:val="00271E59"/>
    <w:rsid w:val="00272B03"/>
    <w:rsid w:val="00272B87"/>
    <w:rsid w:val="00272D9F"/>
    <w:rsid w:val="00273176"/>
    <w:rsid w:val="00273F9E"/>
    <w:rsid w:val="002747DD"/>
    <w:rsid w:val="00276836"/>
    <w:rsid w:val="00276CF2"/>
    <w:rsid w:val="00277679"/>
    <w:rsid w:val="00277C53"/>
    <w:rsid w:val="00277F5A"/>
    <w:rsid w:val="00280782"/>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18"/>
    <w:rsid w:val="002916DB"/>
    <w:rsid w:val="002924FD"/>
    <w:rsid w:val="00292DA5"/>
    <w:rsid w:val="002940C2"/>
    <w:rsid w:val="00294C62"/>
    <w:rsid w:val="002953C2"/>
    <w:rsid w:val="00296B9C"/>
    <w:rsid w:val="00297C39"/>
    <w:rsid w:val="002A0849"/>
    <w:rsid w:val="002A0FA6"/>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C064C"/>
    <w:rsid w:val="002C15DA"/>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10BA"/>
    <w:rsid w:val="002E3CAF"/>
    <w:rsid w:val="002E449A"/>
    <w:rsid w:val="002E4A22"/>
    <w:rsid w:val="002E4FAF"/>
    <w:rsid w:val="002E5D06"/>
    <w:rsid w:val="002E74EF"/>
    <w:rsid w:val="002E7E14"/>
    <w:rsid w:val="002F05B7"/>
    <w:rsid w:val="002F0916"/>
    <w:rsid w:val="002F1439"/>
    <w:rsid w:val="002F1B97"/>
    <w:rsid w:val="002F1FB3"/>
    <w:rsid w:val="002F3AA2"/>
    <w:rsid w:val="002F3BEB"/>
    <w:rsid w:val="002F4127"/>
    <w:rsid w:val="002F53D1"/>
    <w:rsid w:val="00300507"/>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5051"/>
    <w:rsid w:val="003161F3"/>
    <w:rsid w:val="00316ABB"/>
    <w:rsid w:val="003179B8"/>
    <w:rsid w:val="00317F50"/>
    <w:rsid w:val="00320832"/>
    <w:rsid w:val="00320C55"/>
    <w:rsid w:val="0032202F"/>
    <w:rsid w:val="00323150"/>
    <w:rsid w:val="00324708"/>
    <w:rsid w:val="0032570B"/>
    <w:rsid w:val="003268F2"/>
    <w:rsid w:val="00330817"/>
    <w:rsid w:val="00330A8F"/>
    <w:rsid w:val="00330DCA"/>
    <w:rsid w:val="00331503"/>
    <w:rsid w:val="003327BF"/>
    <w:rsid w:val="003329F8"/>
    <w:rsid w:val="00332FB0"/>
    <w:rsid w:val="00333260"/>
    <w:rsid w:val="00333843"/>
    <w:rsid w:val="00333E38"/>
    <w:rsid w:val="00334FCA"/>
    <w:rsid w:val="00335393"/>
    <w:rsid w:val="0033576A"/>
    <w:rsid w:val="00335EFC"/>
    <w:rsid w:val="00335FCC"/>
    <w:rsid w:val="003360CE"/>
    <w:rsid w:val="00337294"/>
    <w:rsid w:val="0034105B"/>
    <w:rsid w:val="0034148D"/>
    <w:rsid w:val="00341598"/>
    <w:rsid w:val="00342196"/>
    <w:rsid w:val="00343765"/>
    <w:rsid w:val="003441A0"/>
    <w:rsid w:val="00344350"/>
    <w:rsid w:val="00344595"/>
    <w:rsid w:val="00344EA6"/>
    <w:rsid w:val="003467A5"/>
    <w:rsid w:val="00346823"/>
    <w:rsid w:val="0034697D"/>
    <w:rsid w:val="0034732B"/>
    <w:rsid w:val="0034752F"/>
    <w:rsid w:val="0035003D"/>
    <w:rsid w:val="00350671"/>
    <w:rsid w:val="0035085F"/>
    <w:rsid w:val="00350D62"/>
    <w:rsid w:val="003513DB"/>
    <w:rsid w:val="00352743"/>
    <w:rsid w:val="003535E6"/>
    <w:rsid w:val="003542D2"/>
    <w:rsid w:val="00354595"/>
    <w:rsid w:val="00356734"/>
    <w:rsid w:val="003567C7"/>
    <w:rsid w:val="00356AD1"/>
    <w:rsid w:val="003576A1"/>
    <w:rsid w:val="0035777C"/>
    <w:rsid w:val="00357DC8"/>
    <w:rsid w:val="00357E0B"/>
    <w:rsid w:val="00361012"/>
    <w:rsid w:val="003615B2"/>
    <w:rsid w:val="00361F10"/>
    <w:rsid w:val="00363680"/>
    <w:rsid w:val="0036411A"/>
    <w:rsid w:val="00365F57"/>
    <w:rsid w:val="003669F6"/>
    <w:rsid w:val="003675C8"/>
    <w:rsid w:val="003705E9"/>
    <w:rsid w:val="00372D41"/>
    <w:rsid w:val="00372F5C"/>
    <w:rsid w:val="003737BF"/>
    <w:rsid w:val="00373C76"/>
    <w:rsid w:val="00374DEE"/>
    <w:rsid w:val="00374EE5"/>
    <w:rsid w:val="00374FE3"/>
    <w:rsid w:val="0037516F"/>
    <w:rsid w:val="00376BB7"/>
    <w:rsid w:val="00380C40"/>
    <w:rsid w:val="00381705"/>
    <w:rsid w:val="003818AF"/>
    <w:rsid w:val="00382323"/>
    <w:rsid w:val="003832D9"/>
    <w:rsid w:val="00383F3E"/>
    <w:rsid w:val="00384143"/>
    <w:rsid w:val="00384F51"/>
    <w:rsid w:val="00385703"/>
    <w:rsid w:val="00385E2F"/>
    <w:rsid w:val="00386021"/>
    <w:rsid w:val="00386760"/>
    <w:rsid w:val="00386AE1"/>
    <w:rsid w:val="00386CCA"/>
    <w:rsid w:val="00387105"/>
    <w:rsid w:val="00387333"/>
    <w:rsid w:val="00391F19"/>
    <w:rsid w:val="0039222C"/>
    <w:rsid w:val="0039241A"/>
    <w:rsid w:val="003927C1"/>
    <w:rsid w:val="0039294F"/>
    <w:rsid w:val="00394451"/>
    <w:rsid w:val="003944F2"/>
    <w:rsid w:val="0039467E"/>
    <w:rsid w:val="00395F83"/>
    <w:rsid w:val="00396286"/>
    <w:rsid w:val="003963E0"/>
    <w:rsid w:val="003A0C0D"/>
    <w:rsid w:val="003A1755"/>
    <w:rsid w:val="003A21F9"/>
    <w:rsid w:val="003A2390"/>
    <w:rsid w:val="003A50B1"/>
    <w:rsid w:val="003A5897"/>
    <w:rsid w:val="003A6A7C"/>
    <w:rsid w:val="003A79FC"/>
    <w:rsid w:val="003A7B9B"/>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1B70"/>
    <w:rsid w:val="003C2408"/>
    <w:rsid w:val="003C4542"/>
    <w:rsid w:val="003C4668"/>
    <w:rsid w:val="003C5305"/>
    <w:rsid w:val="003C6B64"/>
    <w:rsid w:val="003C6B8A"/>
    <w:rsid w:val="003C73D3"/>
    <w:rsid w:val="003C7AF0"/>
    <w:rsid w:val="003D0372"/>
    <w:rsid w:val="003D0FFF"/>
    <w:rsid w:val="003D173F"/>
    <w:rsid w:val="003D2CA5"/>
    <w:rsid w:val="003D3EA8"/>
    <w:rsid w:val="003D5252"/>
    <w:rsid w:val="003D663A"/>
    <w:rsid w:val="003D6A75"/>
    <w:rsid w:val="003D719E"/>
    <w:rsid w:val="003D7886"/>
    <w:rsid w:val="003E2267"/>
    <w:rsid w:val="003E2B17"/>
    <w:rsid w:val="003E425C"/>
    <w:rsid w:val="003E4563"/>
    <w:rsid w:val="003E4B17"/>
    <w:rsid w:val="003E4BC5"/>
    <w:rsid w:val="003E5086"/>
    <w:rsid w:val="003E6788"/>
    <w:rsid w:val="003E67B3"/>
    <w:rsid w:val="003E7124"/>
    <w:rsid w:val="003E7450"/>
    <w:rsid w:val="003F3C5A"/>
    <w:rsid w:val="003F3F98"/>
    <w:rsid w:val="003F46F7"/>
    <w:rsid w:val="003F4F6C"/>
    <w:rsid w:val="003F5257"/>
    <w:rsid w:val="003F664C"/>
    <w:rsid w:val="003F6C32"/>
    <w:rsid w:val="003F7E05"/>
    <w:rsid w:val="00400247"/>
    <w:rsid w:val="004008BE"/>
    <w:rsid w:val="004008E8"/>
    <w:rsid w:val="00400AFE"/>
    <w:rsid w:val="00400D6F"/>
    <w:rsid w:val="0040231A"/>
    <w:rsid w:val="00403122"/>
    <w:rsid w:val="004034E9"/>
    <w:rsid w:val="00404CBC"/>
    <w:rsid w:val="00405129"/>
    <w:rsid w:val="0040627F"/>
    <w:rsid w:val="00407464"/>
    <w:rsid w:val="004075BE"/>
    <w:rsid w:val="0041180F"/>
    <w:rsid w:val="00411BD1"/>
    <w:rsid w:val="00412246"/>
    <w:rsid w:val="004140BF"/>
    <w:rsid w:val="00414ADC"/>
    <w:rsid w:val="00416889"/>
    <w:rsid w:val="00417E8A"/>
    <w:rsid w:val="004203C0"/>
    <w:rsid w:val="00420D59"/>
    <w:rsid w:val="004223D8"/>
    <w:rsid w:val="00423C1B"/>
    <w:rsid w:val="00425B36"/>
    <w:rsid w:val="00425BBF"/>
    <w:rsid w:val="00427848"/>
    <w:rsid w:val="00427CB9"/>
    <w:rsid w:val="004332CF"/>
    <w:rsid w:val="00433E3C"/>
    <w:rsid w:val="0043475C"/>
    <w:rsid w:val="004351C7"/>
    <w:rsid w:val="00435288"/>
    <w:rsid w:val="004357D8"/>
    <w:rsid w:val="00435BCD"/>
    <w:rsid w:val="00435FCE"/>
    <w:rsid w:val="00436318"/>
    <w:rsid w:val="00436B74"/>
    <w:rsid w:val="00437A00"/>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4D03"/>
    <w:rsid w:val="00456E9A"/>
    <w:rsid w:val="00457098"/>
    <w:rsid w:val="00457C00"/>
    <w:rsid w:val="00460775"/>
    <w:rsid w:val="004612F7"/>
    <w:rsid w:val="0046257C"/>
    <w:rsid w:val="0046273F"/>
    <w:rsid w:val="0046286C"/>
    <w:rsid w:val="00462D62"/>
    <w:rsid w:val="00463064"/>
    <w:rsid w:val="00463FB7"/>
    <w:rsid w:val="004640B2"/>
    <w:rsid w:val="004640D8"/>
    <w:rsid w:val="00464893"/>
    <w:rsid w:val="00466C11"/>
    <w:rsid w:val="00467265"/>
    <w:rsid w:val="00470774"/>
    <w:rsid w:val="0047335B"/>
    <w:rsid w:val="00474127"/>
    <w:rsid w:val="00474962"/>
    <w:rsid w:val="0048157D"/>
    <w:rsid w:val="00482106"/>
    <w:rsid w:val="004821FA"/>
    <w:rsid w:val="0048252D"/>
    <w:rsid w:val="00483834"/>
    <w:rsid w:val="00483B91"/>
    <w:rsid w:val="00483E00"/>
    <w:rsid w:val="00484A73"/>
    <w:rsid w:val="00484BB3"/>
    <w:rsid w:val="00484BB9"/>
    <w:rsid w:val="00485558"/>
    <w:rsid w:val="0048591D"/>
    <w:rsid w:val="00486466"/>
    <w:rsid w:val="00486728"/>
    <w:rsid w:val="00487CAB"/>
    <w:rsid w:val="004901C9"/>
    <w:rsid w:val="004905B9"/>
    <w:rsid w:val="00491083"/>
    <w:rsid w:val="00493BB7"/>
    <w:rsid w:val="00493E48"/>
    <w:rsid w:val="00494731"/>
    <w:rsid w:val="00495FB2"/>
    <w:rsid w:val="0049614B"/>
    <w:rsid w:val="00496902"/>
    <w:rsid w:val="004A028C"/>
    <w:rsid w:val="004A05A5"/>
    <w:rsid w:val="004A06DF"/>
    <w:rsid w:val="004A3014"/>
    <w:rsid w:val="004A3A49"/>
    <w:rsid w:val="004A4DC6"/>
    <w:rsid w:val="004A5665"/>
    <w:rsid w:val="004A5874"/>
    <w:rsid w:val="004A5F4E"/>
    <w:rsid w:val="004B0174"/>
    <w:rsid w:val="004B063C"/>
    <w:rsid w:val="004B2EEB"/>
    <w:rsid w:val="004B3413"/>
    <w:rsid w:val="004B43AC"/>
    <w:rsid w:val="004B5102"/>
    <w:rsid w:val="004B5435"/>
    <w:rsid w:val="004B5B77"/>
    <w:rsid w:val="004B5DC9"/>
    <w:rsid w:val="004B5DF1"/>
    <w:rsid w:val="004B6E93"/>
    <w:rsid w:val="004B7205"/>
    <w:rsid w:val="004B7AC9"/>
    <w:rsid w:val="004C3FBC"/>
    <w:rsid w:val="004C5060"/>
    <w:rsid w:val="004C570D"/>
    <w:rsid w:val="004C6488"/>
    <w:rsid w:val="004C77EE"/>
    <w:rsid w:val="004D1CA5"/>
    <w:rsid w:val="004D1CDF"/>
    <w:rsid w:val="004D2502"/>
    <w:rsid w:val="004D27B4"/>
    <w:rsid w:val="004D285A"/>
    <w:rsid w:val="004D2A78"/>
    <w:rsid w:val="004D2E2F"/>
    <w:rsid w:val="004D312D"/>
    <w:rsid w:val="004D40D8"/>
    <w:rsid w:val="004D5228"/>
    <w:rsid w:val="004D5835"/>
    <w:rsid w:val="004D58F1"/>
    <w:rsid w:val="004D5F4F"/>
    <w:rsid w:val="004D61A5"/>
    <w:rsid w:val="004D6825"/>
    <w:rsid w:val="004D6F0F"/>
    <w:rsid w:val="004D6F55"/>
    <w:rsid w:val="004D78A3"/>
    <w:rsid w:val="004E07F6"/>
    <w:rsid w:val="004E11CB"/>
    <w:rsid w:val="004E21C8"/>
    <w:rsid w:val="004E3374"/>
    <w:rsid w:val="004E3B36"/>
    <w:rsid w:val="004E564C"/>
    <w:rsid w:val="004E5BEA"/>
    <w:rsid w:val="004E5E4C"/>
    <w:rsid w:val="004F2FF4"/>
    <w:rsid w:val="004F479E"/>
    <w:rsid w:val="004F529E"/>
    <w:rsid w:val="004F596C"/>
    <w:rsid w:val="004F6699"/>
    <w:rsid w:val="004F6B5D"/>
    <w:rsid w:val="004F7572"/>
    <w:rsid w:val="005003DA"/>
    <w:rsid w:val="0050175E"/>
    <w:rsid w:val="00501EEA"/>
    <w:rsid w:val="005024A5"/>
    <w:rsid w:val="005024F5"/>
    <w:rsid w:val="00502870"/>
    <w:rsid w:val="005036D4"/>
    <w:rsid w:val="00504189"/>
    <w:rsid w:val="00504E21"/>
    <w:rsid w:val="00506C8E"/>
    <w:rsid w:val="00507645"/>
    <w:rsid w:val="00507DB9"/>
    <w:rsid w:val="00507FFA"/>
    <w:rsid w:val="005105AA"/>
    <w:rsid w:val="005105D4"/>
    <w:rsid w:val="00511410"/>
    <w:rsid w:val="0051605E"/>
    <w:rsid w:val="0051714D"/>
    <w:rsid w:val="0051766F"/>
    <w:rsid w:val="005177BD"/>
    <w:rsid w:val="005213AC"/>
    <w:rsid w:val="00521F32"/>
    <w:rsid w:val="005220EF"/>
    <w:rsid w:val="00522582"/>
    <w:rsid w:val="0052366F"/>
    <w:rsid w:val="00523C32"/>
    <w:rsid w:val="00524636"/>
    <w:rsid w:val="005268FE"/>
    <w:rsid w:val="005277CB"/>
    <w:rsid w:val="00527F02"/>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ADE"/>
    <w:rsid w:val="00551B36"/>
    <w:rsid w:val="00552064"/>
    <w:rsid w:val="00553221"/>
    <w:rsid w:val="00553AEA"/>
    <w:rsid w:val="00554371"/>
    <w:rsid w:val="0055467E"/>
    <w:rsid w:val="00557049"/>
    <w:rsid w:val="00557438"/>
    <w:rsid w:val="00560065"/>
    <w:rsid w:val="00561271"/>
    <w:rsid w:val="0056383C"/>
    <w:rsid w:val="005641C0"/>
    <w:rsid w:val="00565257"/>
    <w:rsid w:val="005652BD"/>
    <w:rsid w:val="00565650"/>
    <w:rsid w:val="0056581D"/>
    <w:rsid w:val="00565A68"/>
    <w:rsid w:val="005661A8"/>
    <w:rsid w:val="0057050B"/>
    <w:rsid w:val="005731CC"/>
    <w:rsid w:val="005737C3"/>
    <w:rsid w:val="00574A25"/>
    <w:rsid w:val="0057563D"/>
    <w:rsid w:val="0057572B"/>
    <w:rsid w:val="00576C19"/>
    <w:rsid w:val="0057743A"/>
    <w:rsid w:val="005776D5"/>
    <w:rsid w:val="00577A08"/>
    <w:rsid w:val="00580F8A"/>
    <w:rsid w:val="0058175D"/>
    <w:rsid w:val="00581EE6"/>
    <w:rsid w:val="00582294"/>
    <w:rsid w:val="0058293D"/>
    <w:rsid w:val="00583B2A"/>
    <w:rsid w:val="00583F67"/>
    <w:rsid w:val="0058507E"/>
    <w:rsid w:val="00585725"/>
    <w:rsid w:val="00585E89"/>
    <w:rsid w:val="00586B72"/>
    <w:rsid w:val="00587925"/>
    <w:rsid w:val="005879BD"/>
    <w:rsid w:val="005903E6"/>
    <w:rsid w:val="00590AFC"/>
    <w:rsid w:val="00590DBA"/>
    <w:rsid w:val="005916C0"/>
    <w:rsid w:val="005922F5"/>
    <w:rsid w:val="00593889"/>
    <w:rsid w:val="00593EB6"/>
    <w:rsid w:val="00594438"/>
    <w:rsid w:val="00594A72"/>
    <w:rsid w:val="00595E6C"/>
    <w:rsid w:val="005A0080"/>
    <w:rsid w:val="005A04E5"/>
    <w:rsid w:val="005A1611"/>
    <w:rsid w:val="005A1716"/>
    <w:rsid w:val="005A2265"/>
    <w:rsid w:val="005A4699"/>
    <w:rsid w:val="005B043B"/>
    <w:rsid w:val="005B092C"/>
    <w:rsid w:val="005B12C6"/>
    <w:rsid w:val="005B1AC2"/>
    <w:rsid w:val="005B3E3F"/>
    <w:rsid w:val="005B4AEA"/>
    <w:rsid w:val="005B4FAC"/>
    <w:rsid w:val="005B58B3"/>
    <w:rsid w:val="005B61C4"/>
    <w:rsid w:val="005B6CD8"/>
    <w:rsid w:val="005B6EF5"/>
    <w:rsid w:val="005B70E8"/>
    <w:rsid w:val="005B7AA7"/>
    <w:rsid w:val="005B7D6F"/>
    <w:rsid w:val="005B7DF8"/>
    <w:rsid w:val="005B7E33"/>
    <w:rsid w:val="005C048B"/>
    <w:rsid w:val="005C04A2"/>
    <w:rsid w:val="005C1072"/>
    <w:rsid w:val="005C1E20"/>
    <w:rsid w:val="005C202D"/>
    <w:rsid w:val="005C3311"/>
    <w:rsid w:val="005C5025"/>
    <w:rsid w:val="005C6958"/>
    <w:rsid w:val="005D0043"/>
    <w:rsid w:val="005D043E"/>
    <w:rsid w:val="005D2328"/>
    <w:rsid w:val="005D2491"/>
    <w:rsid w:val="005D2500"/>
    <w:rsid w:val="005D2DB8"/>
    <w:rsid w:val="005D2DE8"/>
    <w:rsid w:val="005D347D"/>
    <w:rsid w:val="005D4939"/>
    <w:rsid w:val="005D52D0"/>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7A32"/>
    <w:rsid w:val="005F0563"/>
    <w:rsid w:val="005F06F0"/>
    <w:rsid w:val="005F0851"/>
    <w:rsid w:val="005F0CB8"/>
    <w:rsid w:val="005F2FFB"/>
    <w:rsid w:val="005F365B"/>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C7"/>
    <w:rsid w:val="0060682C"/>
    <w:rsid w:val="00607593"/>
    <w:rsid w:val="006079E6"/>
    <w:rsid w:val="00610322"/>
    <w:rsid w:val="00611672"/>
    <w:rsid w:val="006118A2"/>
    <w:rsid w:val="00611AB1"/>
    <w:rsid w:val="00611DD6"/>
    <w:rsid w:val="006125DE"/>
    <w:rsid w:val="00612B10"/>
    <w:rsid w:val="00612DF9"/>
    <w:rsid w:val="0061314E"/>
    <w:rsid w:val="006156EA"/>
    <w:rsid w:val="00616ABC"/>
    <w:rsid w:val="00616C12"/>
    <w:rsid w:val="00617734"/>
    <w:rsid w:val="006201DA"/>
    <w:rsid w:val="006201F3"/>
    <w:rsid w:val="00620992"/>
    <w:rsid w:val="00620B3E"/>
    <w:rsid w:val="0062287A"/>
    <w:rsid w:val="00623151"/>
    <w:rsid w:val="00623265"/>
    <w:rsid w:val="00623804"/>
    <w:rsid w:val="00623BBF"/>
    <w:rsid w:val="00626A6C"/>
    <w:rsid w:val="00626E7D"/>
    <w:rsid w:val="00630044"/>
    <w:rsid w:val="006303A1"/>
    <w:rsid w:val="00631B52"/>
    <w:rsid w:val="00632AC8"/>
    <w:rsid w:val="0063349C"/>
    <w:rsid w:val="00633723"/>
    <w:rsid w:val="00636396"/>
    <w:rsid w:val="00636549"/>
    <w:rsid w:val="00636763"/>
    <w:rsid w:val="00640348"/>
    <w:rsid w:val="00643C50"/>
    <w:rsid w:val="00643C84"/>
    <w:rsid w:val="00643DFF"/>
    <w:rsid w:val="00644067"/>
    <w:rsid w:val="00644156"/>
    <w:rsid w:val="006446F0"/>
    <w:rsid w:val="006449CF"/>
    <w:rsid w:val="00644AFF"/>
    <w:rsid w:val="00645F0E"/>
    <w:rsid w:val="00646219"/>
    <w:rsid w:val="00646565"/>
    <w:rsid w:val="00646E48"/>
    <w:rsid w:val="00647403"/>
    <w:rsid w:val="00647548"/>
    <w:rsid w:val="00647C06"/>
    <w:rsid w:val="00647C66"/>
    <w:rsid w:val="00650E77"/>
    <w:rsid w:val="006537DA"/>
    <w:rsid w:val="00653E5F"/>
    <w:rsid w:val="006546CE"/>
    <w:rsid w:val="006567BB"/>
    <w:rsid w:val="0065681E"/>
    <w:rsid w:val="00657F33"/>
    <w:rsid w:val="00662C05"/>
    <w:rsid w:val="00663CBB"/>
    <w:rsid w:val="00664EEA"/>
    <w:rsid w:val="00665232"/>
    <w:rsid w:val="00665612"/>
    <w:rsid w:val="0066567A"/>
    <w:rsid w:val="00665E82"/>
    <w:rsid w:val="006660DA"/>
    <w:rsid w:val="00666C4F"/>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7B4"/>
    <w:rsid w:val="00680BC1"/>
    <w:rsid w:val="00680EF7"/>
    <w:rsid w:val="006813FC"/>
    <w:rsid w:val="006816F3"/>
    <w:rsid w:val="00681E0D"/>
    <w:rsid w:val="0068236C"/>
    <w:rsid w:val="0068375E"/>
    <w:rsid w:val="00683FD1"/>
    <w:rsid w:val="00684452"/>
    <w:rsid w:val="00684966"/>
    <w:rsid w:val="00685606"/>
    <w:rsid w:val="00686BC1"/>
    <w:rsid w:val="006874E2"/>
    <w:rsid w:val="00690CED"/>
    <w:rsid w:val="00690D70"/>
    <w:rsid w:val="00691987"/>
    <w:rsid w:val="00691CC0"/>
    <w:rsid w:val="00692504"/>
    <w:rsid w:val="00693185"/>
    <w:rsid w:val="0069349B"/>
    <w:rsid w:val="00694EA1"/>
    <w:rsid w:val="00695515"/>
    <w:rsid w:val="00695B83"/>
    <w:rsid w:val="0069739C"/>
    <w:rsid w:val="00697B51"/>
    <w:rsid w:val="00697D16"/>
    <w:rsid w:val="006A0191"/>
    <w:rsid w:val="006A0F15"/>
    <w:rsid w:val="006A0F79"/>
    <w:rsid w:val="006A121E"/>
    <w:rsid w:val="006A16BF"/>
    <w:rsid w:val="006A1BB0"/>
    <w:rsid w:val="006A266A"/>
    <w:rsid w:val="006A37A4"/>
    <w:rsid w:val="006A3A92"/>
    <w:rsid w:val="006A3D3F"/>
    <w:rsid w:val="006A3ECD"/>
    <w:rsid w:val="006A4280"/>
    <w:rsid w:val="006A4689"/>
    <w:rsid w:val="006A4A4B"/>
    <w:rsid w:val="006A4E88"/>
    <w:rsid w:val="006A6B3F"/>
    <w:rsid w:val="006A70C4"/>
    <w:rsid w:val="006B08CC"/>
    <w:rsid w:val="006B15D8"/>
    <w:rsid w:val="006B2167"/>
    <w:rsid w:val="006B2E73"/>
    <w:rsid w:val="006B3F11"/>
    <w:rsid w:val="006B43A2"/>
    <w:rsid w:val="006B43ED"/>
    <w:rsid w:val="006B69BF"/>
    <w:rsid w:val="006B6B64"/>
    <w:rsid w:val="006B6CF9"/>
    <w:rsid w:val="006B73D8"/>
    <w:rsid w:val="006B79A4"/>
    <w:rsid w:val="006B7CE4"/>
    <w:rsid w:val="006C0D1D"/>
    <w:rsid w:val="006C115A"/>
    <w:rsid w:val="006C1B86"/>
    <w:rsid w:val="006C2E50"/>
    <w:rsid w:val="006C41C5"/>
    <w:rsid w:val="006C52EA"/>
    <w:rsid w:val="006C5B40"/>
    <w:rsid w:val="006C6143"/>
    <w:rsid w:val="006C6D19"/>
    <w:rsid w:val="006D0991"/>
    <w:rsid w:val="006D156D"/>
    <w:rsid w:val="006D22F6"/>
    <w:rsid w:val="006D35E3"/>
    <w:rsid w:val="006D41BE"/>
    <w:rsid w:val="006D4355"/>
    <w:rsid w:val="006D5D40"/>
    <w:rsid w:val="006D5FDD"/>
    <w:rsid w:val="006D71E6"/>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AED"/>
    <w:rsid w:val="006F7F56"/>
    <w:rsid w:val="00700CEA"/>
    <w:rsid w:val="00702174"/>
    <w:rsid w:val="00702986"/>
    <w:rsid w:val="0070332A"/>
    <w:rsid w:val="00703996"/>
    <w:rsid w:val="00703A3F"/>
    <w:rsid w:val="00705F16"/>
    <w:rsid w:val="00707130"/>
    <w:rsid w:val="00707A22"/>
    <w:rsid w:val="00710777"/>
    <w:rsid w:val="00712CE1"/>
    <w:rsid w:val="0071419A"/>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318C7"/>
    <w:rsid w:val="00731B50"/>
    <w:rsid w:val="00731C61"/>
    <w:rsid w:val="00731D11"/>
    <w:rsid w:val="00731FC4"/>
    <w:rsid w:val="0073635E"/>
    <w:rsid w:val="007364FE"/>
    <w:rsid w:val="007369F8"/>
    <w:rsid w:val="00737604"/>
    <w:rsid w:val="00737B40"/>
    <w:rsid w:val="00740957"/>
    <w:rsid w:val="00741150"/>
    <w:rsid w:val="00741E04"/>
    <w:rsid w:val="00742C89"/>
    <w:rsid w:val="00742E05"/>
    <w:rsid w:val="00742ED6"/>
    <w:rsid w:val="00743CB7"/>
    <w:rsid w:val="0074461A"/>
    <w:rsid w:val="00745277"/>
    <w:rsid w:val="0074681A"/>
    <w:rsid w:val="00747B76"/>
    <w:rsid w:val="00747E9C"/>
    <w:rsid w:val="00747F31"/>
    <w:rsid w:val="007536E4"/>
    <w:rsid w:val="0075396C"/>
    <w:rsid w:val="00753C4E"/>
    <w:rsid w:val="007544BA"/>
    <w:rsid w:val="00754655"/>
    <w:rsid w:val="007558A2"/>
    <w:rsid w:val="00755A34"/>
    <w:rsid w:val="00756B6F"/>
    <w:rsid w:val="00757775"/>
    <w:rsid w:val="00761288"/>
    <w:rsid w:val="00761C9F"/>
    <w:rsid w:val="00761DCE"/>
    <w:rsid w:val="00762AA1"/>
    <w:rsid w:val="00763BFE"/>
    <w:rsid w:val="007640CB"/>
    <w:rsid w:val="007649AE"/>
    <w:rsid w:val="007653A2"/>
    <w:rsid w:val="0076600A"/>
    <w:rsid w:val="0076633E"/>
    <w:rsid w:val="00766791"/>
    <w:rsid w:val="00766988"/>
    <w:rsid w:val="00767586"/>
    <w:rsid w:val="007675BB"/>
    <w:rsid w:val="00767AC2"/>
    <w:rsid w:val="0077041B"/>
    <w:rsid w:val="00770B1D"/>
    <w:rsid w:val="00770EA9"/>
    <w:rsid w:val="00770F6F"/>
    <w:rsid w:val="0077137C"/>
    <w:rsid w:val="007719B7"/>
    <w:rsid w:val="00771CCF"/>
    <w:rsid w:val="00771ED2"/>
    <w:rsid w:val="0077213F"/>
    <w:rsid w:val="00772B60"/>
    <w:rsid w:val="00772E61"/>
    <w:rsid w:val="007748E2"/>
    <w:rsid w:val="00775911"/>
    <w:rsid w:val="00775D2C"/>
    <w:rsid w:val="00775DD0"/>
    <w:rsid w:val="00775E8C"/>
    <w:rsid w:val="0077636A"/>
    <w:rsid w:val="007764D3"/>
    <w:rsid w:val="007824B8"/>
    <w:rsid w:val="00782840"/>
    <w:rsid w:val="00782D41"/>
    <w:rsid w:val="0078469E"/>
    <w:rsid w:val="00785361"/>
    <w:rsid w:val="007875CC"/>
    <w:rsid w:val="0079064B"/>
    <w:rsid w:val="00791546"/>
    <w:rsid w:val="00791C84"/>
    <w:rsid w:val="00792866"/>
    <w:rsid w:val="007933DC"/>
    <w:rsid w:val="00793844"/>
    <w:rsid w:val="007947EE"/>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4115"/>
    <w:rsid w:val="007B42FD"/>
    <w:rsid w:val="007B4479"/>
    <w:rsid w:val="007B4D3B"/>
    <w:rsid w:val="007B503B"/>
    <w:rsid w:val="007B754F"/>
    <w:rsid w:val="007C1630"/>
    <w:rsid w:val="007C2182"/>
    <w:rsid w:val="007C36C5"/>
    <w:rsid w:val="007C3F16"/>
    <w:rsid w:val="007C442F"/>
    <w:rsid w:val="007C4AB8"/>
    <w:rsid w:val="007C72CD"/>
    <w:rsid w:val="007C7EFF"/>
    <w:rsid w:val="007C7FA6"/>
    <w:rsid w:val="007D04E9"/>
    <w:rsid w:val="007D175E"/>
    <w:rsid w:val="007D3A34"/>
    <w:rsid w:val="007D3A80"/>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57D"/>
    <w:rsid w:val="00812E86"/>
    <w:rsid w:val="0081350C"/>
    <w:rsid w:val="00815F96"/>
    <w:rsid w:val="0081657E"/>
    <w:rsid w:val="00816946"/>
    <w:rsid w:val="00816DB9"/>
    <w:rsid w:val="008203CD"/>
    <w:rsid w:val="0082111B"/>
    <w:rsid w:val="00821C02"/>
    <w:rsid w:val="008235C7"/>
    <w:rsid w:val="0082373B"/>
    <w:rsid w:val="00823D2D"/>
    <w:rsid w:val="00825A24"/>
    <w:rsid w:val="00825F2E"/>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51793"/>
    <w:rsid w:val="00851B00"/>
    <w:rsid w:val="008522D3"/>
    <w:rsid w:val="0085259B"/>
    <w:rsid w:val="0085270C"/>
    <w:rsid w:val="00853096"/>
    <w:rsid w:val="0085417A"/>
    <w:rsid w:val="00854AB8"/>
    <w:rsid w:val="0085665E"/>
    <w:rsid w:val="00856BC0"/>
    <w:rsid w:val="008570C2"/>
    <w:rsid w:val="0085717B"/>
    <w:rsid w:val="008576FB"/>
    <w:rsid w:val="00857E8A"/>
    <w:rsid w:val="00860F1A"/>
    <w:rsid w:val="00861E51"/>
    <w:rsid w:val="008620A3"/>
    <w:rsid w:val="008637A2"/>
    <w:rsid w:val="008637C6"/>
    <w:rsid w:val="0086394E"/>
    <w:rsid w:val="0086541A"/>
    <w:rsid w:val="00865E4A"/>
    <w:rsid w:val="00865FB3"/>
    <w:rsid w:val="00866611"/>
    <w:rsid w:val="00866755"/>
    <w:rsid w:val="008678E6"/>
    <w:rsid w:val="00867ACE"/>
    <w:rsid w:val="00867B5A"/>
    <w:rsid w:val="00870AE8"/>
    <w:rsid w:val="00870D62"/>
    <w:rsid w:val="008712BB"/>
    <w:rsid w:val="008752B0"/>
    <w:rsid w:val="00875F81"/>
    <w:rsid w:val="0087657B"/>
    <w:rsid w:val="00880545"/>
    <w:rsid w:val="00881333"/>
    <w:rsid w:val="00881E20"/>
    <w:rsid w:val="00883CC1"/>
    <w:rsid w:val="0088453E"/>
    <w:rsid w:val="00884BA5"/>
    <w:rsid w:val="008861A0"/>
    <w:rsid w:val="008864E5"/>
    <w:rsid w:val="00886FCF"/>
    <w:rsid w:val="008918DD"/>
    <w:rsid w:val="00893C62"/>
    <w:rsid w:val="00894076"/>
    <w:rsid w:val="0089545E"/>
    <w:rsid w:val="0089572B"/>
    <w:rsid w:val="00895DC9"/>
    <w:rsid w:val="00897792"/>
    <w:rsid w:val="008A10DA"/>
    <w:rsid w:val="008A2914"/>
    <w:rsid w:val="008A2924"/>
    <w:rsid w:val="008A47E2"/>
    <w:rsid w:val="008A6515"/>
    <w:rsid w:val="008A721C"/>
    <w:rsid w:val="008B0E39"/>
    <w:rsid w:val="008B1C1E"/>
    <w:rsid w:val="008B1FC2"/>
    <w:rsid w:val="008B2A13"/>
    <w:rsid w:val="008B321B"/>
    <w:rsid w:val="008B3D62"/>
    <w:rsid w:val="008B577D"/>
    <w:rsid w:val="008B66A9"/>
    <w:rsid w:val="008B7143"/>
    <w:rsid w:val="008B7315"/>
    <w:rsid w:val="008C0026"/>
    <w:rsid w:val="008C0ABC"/>
    <w:rsid w:val="008C1886"/>
    <w:rsid w:val="008C266F"/>
    <w:rsid w:val="008C287F"/>
    <w:rsid w:val="008C2AC9"/>
    <w:rsid w:val="008C2FE1"/>
    <w:rsid w:val="008C326E"/>
    <w:rsid w:val="008C3877"/>
    <w:rsid w:val="008C5B79"/>
    <w:rsid w:val="008C5C30"/>
    <w:rsid w:val="008C6230"/>
    <w:rsid w:val="008D0625"/>
    <w:rsid w:val="008D0D87"/>
    <w:rsid w:val="008D0F89"/>
    <w:rsid w:val="008D1017"/>
    <w:rsid w:val="008D2424"/>
    <w:rsid w:val="008D2C81"/>
    <w:rsid w:val="008D39E4"/>
    <w:rsid w:val="008D40B9"/>
    <w:rsid w:val="008D462F"/>
    <w:rsid w:val="008D6655"/>
    <w:rsid w:val="008D6989"/>
    <w:rsid w:val="008D6DD7"/>
    <w:rsid w:val="008D72F6"/>
    <w:rsid w:val="008E03A9"/>
    <w:rsid w:val="008E074D"/>
    <w:rsid w:val="008E1242"/>
    <w:rsid w:val="008E1DB8"/>
    <w:rsid w:val="008E1E89"/>
    <w:rsid w:val="008E1FE0"/>
    <w:rsid w:val="008E2AD3"/>
    <w:rsid w:val="008E4766"/>
    <w:rsid w:val="008E4BA9"/>
    <w:rsid w:val="008E55C8"/>
    <w:rsid w:val="008E660A"/>
    <w:rsid w:val="008E6CE7"/>
    <w:rsid w:val="008E7552"/>
    <w:rsid w:val="008E7DBC"/>
    <w:rsid w:val="008F088E"/>
    <w:rsid w:val="008F1269"/>
    <w:rsid w:val="008F2D01"/>
    <w:rsid w:val="008F3451"/>
    <w:rsid w:val="008F3719"/>
    <w:rsid w:val="008F465E"/>
    <w:rsid w:val="008F524C"/>
    <w:rsid w:val="008F636C"/>
    <w:rsid w:val="008F656F"/>
    <w:rsid w:val="008F7CD9"/>
    <w:rsid w:val="008F7D8F"/>
    <w:rsid w:val="00900236"/>
    <w:rsid w:val="009006FB"/>
    <w:rsid w:val="00900739"/>
    <w:rsid w:val="0090075B"/>
    <w:rsid w:val="00902324"/>
    <w:rsid w:val="00902A7C"/>
    <w:rsid w:val="00902B26"/>
    <w:rsid w:val="00903566"/>
    <w:rsid w:val="00903CA5"/>
    <w:rsid w:val="00904E61"/>
    <w:rsid w:val="00905D0A"/>
    <w:rsid w:val="00906109"/>
    <w:rsid w:val="00907198"/>
    <w:rsid w:val="00907515"/>
    <w:rsid w:val="00907FC3"/>
    <w:rsid w:val="0091095B"/>
    <w:rsid w:val="009114CD"/>
    <w:rsid w:val="00912408"/>
    <w:rsid w:val="009126EB"/>
    <w:rsid w:val="00912751"/>
    <w:rsid w:val="0091418B"/>
    <w:rsid w:val="00914DFD"/>
    <w:rsid w:val="00915293"/>
    <w:rsid w:val="009157AA"/>
    <w:rsid w:val="009173EB"/>
    <w:rsid w:val="0092033C"/>
    <w:rsid w:val="00920B30"/>
    <w:rsid w:val="0092101B"/>
    <w:rsid w:val="00921A55"/>
    <w:rsid w:val="00925C68"/>
    <w:rsid w:val="00925E4B"/>
    <w:rsid w:val="00925FE3"/>
    <w:rsid w:val="009262BD"/>
    <w:rsid w:val="00931027"/>
    <w:rsid w:val="009312E9"/>
    <w:rsid w:val="009318C1"/>
    <w:rsid w:val="00931D38"/>
    <w:rsid w:val="0093359E"/>
    <w:rsid w:val="009336A9"/>
    <w:rsid w:val="00933A2B"/>
    <w:rsid w:val="00933EC4"/>
    <w:rsid w:val="00934AC2"/>
    <w:rsid w:val="00934F25"/>
    <w:rsid w:val="0093581E"/>
    <w:rsid w:val="00936289"/>
    <w:rsid w:val="00936552"/>
    <w:rsid w:val="009369A2"/>
    <w:rsid w:val="00936A7F"/>
    <w:rsid w:val="009372F2"/>
    <w:rsid w:val="00937376"/>
    <w:rsid w:val="00937A3A"/>
    <w:rsid w:val="00937B1B"/>
    <w:rsid w:val="00937D81"/>
    <w:rsid w:val="00940623"/>
    <w:rsid w:val="00940957"/>
    <w:rsid w:val="00945742"/>
    <w:rsid w:val="009457C2"/>
    <w:rsid w:val="00945D31"/>
    <w:rsid w:val="00945DB9"/>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E88"/>
    <w:rsid w:val="0097181C"/>
    <w:rsid w:val="00972E8F"/>
    <w:rsid w:val="009736ED"/>
    <w:rsid w:val="00974832"/>
    <w:rsid w:val="009751BA"/>
    <w:rsid w:val="009761D8"/>
    <w:rsid w:val="009761F7"/>
    <w:rsid w:val="009765DD"/>
    <w:rsid w:val="009768F3"/>
    <w:rsid w:val="00976C24"/>
    <w:rsid w:val="009771C4"/>
    <w:rsid w:val="009818D6"/>
    <w:rsid w:val="0098252B"/>
    <w:rsid w:val="00982D21"/>
    <w:rsid w:val="00983948"/>
    <w:rsid w:val="0098411C"/>
    <w:rsid w:val="009853BF"/>
    <w:rsid w:val="009857D8"/>
    <w:rsid w:val="009874B5"/>
    <w:rsid w:val="009877E6"/>
    <w:rsid w:val="00987E07"/>
    <w:rsid w:val="00987EF3"/>
    <w:rsid w:val="009935BC"/>
    <w:rsid w:val="009941FA"/>
    <w:rsid w:val="009946C2"/>
    <w:rsid w:val="009948FF"/>
    <w:rsid w:val="00995C4E"/>
    <w:rsid w:val="00995F7A"/>
    <w:rsid w:val="009961D7"/>
    <w:rsid w:val="009973AE"/>
    <w:rsid w:val="00997848"/>
    <w:rsid w:val="00997F61"/>
    <w:rsid w:val="009A0761"/>
    <w:rsid w:val="009A443F"/>
    <w:rsid w:val="009A53FB"/>
    <w:rsid w:val="009A5B53"/>
    <w:rsid w:val="009A6954"/>
    <w:rsid w:val="009B0828"/>
    <w:rsid w:val="009B0A52"/>
    <w:rsid w:val="009B114A"/>
    <w:rsid w:val="009B1468"/>
    <w:rsid w:val="009B1B60"/>
    <w:rsid w:val="009B20E1"/>
    <w:rsid w:val="009B2404"/>
    <w:rsid w:val="009B355C"/>
    <w:rsid w:val="009B3EA3"/>
    <w:rsid w:val="009B5445"/>
    <w:rsid w:val="009B589E"/>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5872"/>
    <w:rsid w:val="009C6192"/>
    <w:rsid w:val="009C65DF"/>
    <w:rsid w:val="009C6CB0"/>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2CD3"/>
    <w:rsid w:val="009E2F9F"/>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4F60"/>
    <w:rsid w:val="009F5B9F"/>
    <w:rsid w:val="00A003BF"/>
    <w:rsid w:val="00A0243B"/>
    <w:rsid w:val="00A024CE"/>
    <w:rsid w:val="00A03548"/>
    <w:rsid w:val="00A04E2D"/>
    <w:rsid w:val="00A05516"/>
    <w:rsid w:val="00A05EC1"/>
    <w:rsid w:val="00A07A94"/>
    <w:rsid w:val="00A111FB"/>
    <w:rsid w:val="00A12752"/>
    <w:rsid w:val="00A12E9E"/>
    <w:rsid w:val="00A13B10"/>
    <w:rsid w:val="00A13B22"/>
    <w:rsid w:val="00A14727"/>
    <w:rsid w:val="00A15BDB"/>
    <w:rsid w:val="00A16074"/>
    <w:rsid w:val="00A161F7"/>
    <w:rsid w:val="00A16AF6"/>
    <w:rsid w:val="00A170BC"/>
    <w:rsid w:val="00A17B7E"/>
    <w:rsid w:val="00A17F6B"/>
    <w:rsid w:val="00A2060E"/>
    <w:rsid w:val="00A20C5A"/>
    <w:rsid w:val="00A23B93"/>
    <w:rsid w:val="00A2408F"/>
    <w:rsid w:val="00A24968"/>
    <w:rsid w:val="00A2506B"/>
    <w:rsid w:val="00A25DA5"/>
    <w:rsid w:val="00A261B4"/>
    <w:rsid w:val="00A26E64"/>
    <w:rsid w:val="00A305B3"/>
    <w:rsid w:val="00A30640"/>
    <w:rsid w:val="00A30A35"/>
    <w:rsid w:val="00A311EA"/>
    <w:rsid w:val="00A31A34"/>
    <w:rsid w:val="00A323B3"/>
    <w:rsid w:val="00A32A75"/>
    <w:rsid w:val="00A32B44"/>
    <w:rsid w:val="00A33CA7"/>
    <w:rsid w:val="00A34115"/>
    <w:rsid w:val="00A351AE"/>
    <w:rsid w:val="00A3551C"/>
    <w:rsid w:val="00A4002A"/>
    <w:rsid w:val="00A40D25"/>
    <w:rsid w:val="00A41884"/>
    <w:rsid w:val="00A420E8"/>
    <w:rsid w:val="00A42963"/>
    <w:rsid w:val="00A43281"/>
    <w:rsid w:val="00A43563"/>
    <w:rsid w:val="00A4477E"/>
    <w:rsid w:val="00A4500B"/>
    <w:rsid w:val="00A4563F"/>
    <w:rsid w:val="00A459FF"/>
    <w:rsid w:val="00A4662D"/>
    <w:rsid w:val="00A47125"/>
    <w:rsid w:val="00A5303E"/>
    <w:rsid w:val="00A531D3"/>
    <w:rsid w:val="00A53872"/>
    <w:rsid w:val="00A53AB8"/>
    <w:rsid w:val="00A54AEC"/>
    <w:rsid w:val="00A54EAD"/>
    <w:rsid w:val="00A55095"/>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DC2"/>
    <w:rsid w:val="00A65F5F"/>
    <w:rsid w:val="00A66596"/>
    <w:rsid w:val="00A67F10"/>
    <w:rsid w:val="00A707C8"/>
    <w:rsid w:val="00A71A83"/>
    <w:rsid w:val="00A7437C"/>
    <w:rsid w:val="00A8053D"/>
    <w:rsid w:val="00A8079E"/>
    <w:rsid w:val="00A80E0D"/>
    <w:rsid w:val="00A81221"/>
    <w:rsid w:val="00A82443"/>
    <w:rsid w:val="00A82773"/>
    <w:rsid w:val="00A8340F"/>
    <w:rsid w:val="00A83961"/>
    <w:rsid w:val="00A83EDC"/>
    <w:rsid w:val="00A840E6"/>
    <w:rsid w:val="00A85885"/>
    <w:rsid w:val="00A85DA0"/>
    <w:rsid w:val="00A871D2"/>
    <w:rsid w:val="00A87BFE"/>
    <w:rsid w:val="00A90048"/>
    <w:rsid w:val="00A902E0"/>
    <w:rsid w:val="00A905B6"/>
    <w:rsid w:val="00A920D8"/>
    <w:rsid w:val="00A95C7B"/>
    <w:rsid w:val="00A964EA"/>
    <w:rsid w:val="00A967B3"/>
    <w:rsid w:val="00A96B1A"/>
    <w:rsid w:val="00A97380"/>
    <w:rsid w:val="00AA0679"/>
    <w:rsid w:val="00AA0A65"/>
    <w:rsid w:val="00AA0E89"/>
    <w:rsid w:val="00AA1471"/>
    <w:rsid w:val="00AA2FA9"/>
    <w:rsid w:val="00AA332D"/>
    <w:rsid w:val="00AA3512"/>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C7B96"/>
    <w:rsid w:val="00AD003B"/>
    <w:rsid w:val="00AD0118"/>
    <w:rsid w:val="00AD017A"/>
    <w:rsid w:val="00AD19ED"/>
    <w:rsid w:val="00AD2CA6"/>
    <w:rsid w:val="00AD3433"/>
    <w:rsid w:val="00AD3F5E"/>
    <w:rsid w:val="00AD60D7"/>
    <w:rsid w:val="00AD6B28"/>
    <w:rsid w:val="00AD71BE"/>
    <w:rsid w:val="00AD73C8"/>
    <w:rsid w:val="00AD77CD"/>
    <w:rsid w:val="00AE007C"/>
    <w:rsid w:val="00AE0CFF"/>
    <w:rsid w:val="00AE10E1"/>
    <w:rsid w:val="00AE1136"/>
    <w:rsid w:val="00AE1FDC"/>
    <w:rsid w:val="00AE31DB"/>
    <w:rsid w:val="00AE3FA6"/>
    <w:rsid w:val="00AE46A3"/>
    <w:rsid w:val="00AE4867"/>
    <w:rsid w:val="00AE52C3"/>
    <w:rsid w:val="00AE619A"/>
    <w:rsid w:val="00AF0BDD"/>
    <w:rsid w:val="00AF17E1"/>
    <w:rsid w:val="00AF238A"/>
    <w:rsid w:val="00AF341B"/>
    <w:rsid w:val="00AF3639"/>
    <w:rsid w:val="00AF43C1"/>
    <w:rsid w:val="00AF7B97"/>
    <w:rsid w:val="00AF7C6C"/>
    <w:rsid w:val="00B0021E"/>
    <w:rsid w:val="00B00F3D"/>
    <w:rsid w:val="00B0193A"/>
    <w:rsid w:val="00B01FAC"/>
    <w:rsid w:val="00B02535"/>
    <w:rsid w:val="00B03994"/>
    <w:rsid w:val="00B04260"/>
    <w:rsid w:val="00B05A07"/>
    <w:rsid w:val="00B05CAC"/>
    <w:rsid w:val="00B05DCE"/>
    <w:rsid w:val="00B065AB"/>
    <w:rsid w:val="00B06924"/>
    <w:rsid w:val="00B06A21"/>
    <w:rsid w:val="00B06C0B"/>
    <w:rsid w:val="00B0716D"/>
    <w:rsid w:val="00B078A2"/>
    <w:rsid w:val="00B07D72"/>
    <w:rsid w:val="00B1007E"/>
    <w:rsid w:val="00B10247"/>
    <w:rsid w:val="00B117EB"/>
    <w:rsid w:val="00B11B28"/>
    <w:rsid w:val="00B11FF6"/>
    <w:rsid w:val="00B12774"/>
    <w:rsid w:val="00B13804"/>
    <w:rsid w:val="00B1413A"/>
    <w:rsid w:val="00B158D9"/>
    <w:rsid w:val="00B15B2D"/>
    <w:rsid w:val="00B15BDD"/>
    <w:rsid w:val="00B15C36"/>
    <w:rsid w:val="00B15DE7"/>
    <w:rsid w:val="00B16E5C"/>
    <w:rsid w:val="00B17656"/>
    <w:rsid w:val="00B20C5F"/>
    <w:rsid w:val="00B21800"/>
    <w:rsid w:val="00B218E5"/>
    <w:rsid w:val="00B219F0"/>
    <w:rsid w:val="00B229E2"/>
    <w:rsid w:val="00B238D3"/>
    <w:rsid w:val="00B24904"/>
    <w:rsid w:val="00B24B84"/>
    <w:rsid w:val="00B24BB5"/>
    <w:rsid w:val="00B254A3"/>
    <w:rsid w:val="00B256C7"/>
    <w:rsid w:val="00B26669"/>
    <w:rsid w:val="00B26F93"/>
    <w:rsid w:val="00B275EC"/>
    <w:rsid w:val="00B27B9D"/>
    <w:rsid w:val="00B307CB"/>
    <w:rsid w:val="00B30CEA"/>
    <w:rsid w:val="00B3108A"/>
    <w:rsid w:val="00B31655"/>
    <w:rsid w:val="00B31D29"/>
    <w:rsid w:val="00B31F23"/>
    <w:rsid w:val="00B328B6"/>
    <w:rsid w:val="00B34006"/>
    <w:rsid w:val="00B345DC"/>
    <w:rsid w:val="00B34BA9"/>
    <w:rsid w:val="00B35915"/>
    <w:rsid w:val="00B35C97"/>
    <w:rsid w:val="00B37F78"/>
    <w:rsid w:val="00B40538"/>
    <w:rsid w:val="00B41520"/>
    <w:rsid w:val="00B418BF"/>
    <w:rsid w:val="00B43991"/>
    <w:rsid w:val="00B43DB2"/>
    <w:rsid w:val="00B44A4C"/>
    <w:rsid w:val="00B45FA4"/>
    <w:rsid w:val="00B47783"/>
    <w:rsid w:val="00B50B1D"/>
    <w:rsid w:val="00B53172"/>
    <w:rsid w:val="00B53199"/>
    <w:rsid w:val="00B54D7E"/>
    <w:rsid w:val="00B54E09"/>
    <w:rsid w:val="00B55E44"/>
    <w:rsid w:val="00B562DA"/>
    <w:rsid w:val="00B571FD"/>
    <w:rsid w:val="00B605EA"/>
    <w:rsid w:val="00B60D36"/>
    <w:rsid w:val="00B62FB6"/>
    <w:rsid w:val="00B647B5"/>
    <w:rsid w:val="00B65815"/>
    <w:rsid w:val="00B65E66"/>
    <w:rsid w:val="00B67889"/>
    <w:rsid w:val="00B67D15"/>
    <w:rsid w:val="00B706C8"/>
    <w:rsid w:val="00B70FE8"/>
    <w:rsid w:val="00B723D0"/>
    <w:rsid w:val="00B739C5"/>
    <w:rsid w:val="00B74BA5"/>
    <w:rsid w:val="00B76BCF"/>
    <w:rsid w:val="00B76E58"/>
    <w:rsid w:val="00B80008"/>
    <w:rsid w:val="00B82609"/>
    <w:rsid w:val="00B830A8"/>
    <w:rsid w:val="00B83382"/>
    <w:rsid w:val="00B83C21"/>
    <w:rsid w:val="00B85BC7"/>
    <w:rsid w:val="00B8651C"/>
    <w:rsid w:val="00B903CF"/>
    <w:rsid w:val="00B90557"/>
    <w:rsid w:val="00B91E17"/>
    <w:rsid w:val="00B932CD"/>
    <w:rsid w:val="00B9332C"/>
    <w:rsid w:val="00B936FD"/>
    <w:rsid w:val="00B937D8"/>
    <w:rsid w:val="00B93C45"/>
    <w:rsid w:val="00B93C62"/>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4A62"/>
    <w:rsid w:val="00BB4C3B"/>
    <w:rsid w:val="00BB58AA"/>
    <w:rsid w:val="00BB5D3A"/>
    <w:rsid w:val="00BB5EC1"/>
    <w:rsid w:val="00BB64C9"/>
    <w:rsid w:val="00BB68A7"/>
    <w:rsid w:val="00BB70B1"/>
    <w:rsid w:val="00BB71A7"/>
    <w:rsid w:val="00BB750D"/>
    <w:rsid w:val="00BB7B78"/>
    <w:rsid w:val="00BB7BD4"/>
    <w:rsid w:val="00BC1257"/>
    <w:rsid w:val="00BC1D08"/>
    <w:rsid w:val="00BC1F3E"/>
    <w:rsid w:val="00BC418A"/>
    <w:rsid w:val="00BC442B"/>
    <w:rsid w:val="00BC44C4"/>
    <w:rsid w:val="00BC4ACE"/>
    <w:rsid w:val="00BC4FC4"/>
    <w:rsid w:val="00BC59D3"/>
    <w:rsid w:val="00BC5C8C"/>
    <w:rsid w:val="00BC706D"/>
    <w:rsid w:val="00BD0DB6"/>
    <w:rsid w:val="00BD302A"/>
    <w:rsid w:val="00BD3C1C"/>
    <w:rsid w:val="00BD3C5A"/>
    <w:rsid w:val="00BD3EA9"/>
    <w:rsid w:val="00BD41FD"/>
    <w:rsid w:val="00BD4290"/>
    <w:rsid w:val="00BD554F"/>
    <w:rsid w:val="00BD6562"/>
    <w:rsid w:val="00BD6B81"/>
    <w:rsid w:val="00BD6BBE"/>
    <w:rsid w:val="00BD6C62"/>
    <w:rsid w:val="00BE1BAD"/>
    <w:rsid w:val="00BE2405"/>
    <w:rsid w:val="00BE2CA7"/>
    <w:rsid w:val="00BE2D3F"/>
    <w:rsid w:val="00BE5A75"/>
    <w:rsid w:val="00BE61F2"/>
    <w:rsid w:val="00BF0850"/>
    <w:rsid w:val="00BF311F"/>
    <w:rsid w:val="00BF4340"/>
    <w:rsid w:val="00BF664E"/>
    <w:rsid w:val="00BF72B7"/>
    <w:rsid w:val="00BF75A2"/>
    <w:rsid w:val="00BF79B1"/>
    <w:rsid w:val="00BF7DB7"/>
    <w:rsid w:val="00C01522"/>
    <w:rsid w:val="00C02C9D"/>
    <w:rsid w:val="00C0394C"/>
    <w:rsid w:val="00C03E0C"/>
    <w:rsid w:val="00C04945"/>
    <w:rsid w:val="00C05683"/>
    <w:rsid w:val="00C063E5"/>
    <w:rsid w:val="00C068B5"/>
    <w:rsid w:val="00C06DE2"/>
    <w:rsid w:val="00C07024"/>
    <w:rsid w:val="00C07381"/>
    <w:rsid w:val="00C07C60"/>
    <w:rsid w:val="00C10B3D"/>
    <w:rsid w:val="00C10E11"/>
    <w:rsid w:val="00C119A2"/>
    <w:rsid w:val="00C11CEA"/>
    <w:rsid w:val="00C123C8"/>
    <w:rsid w:val="00C1358F"/>
    <w:rsid w:val="00C13AA3"/>
    <w:rsid w:val="00C144F7"/>
    <w:rsid w:val="00C1506D"/>
    <w:rsid w:val="00C160B2"/>
    <w:rsid w:val="00C16C0D"/>
    <w:rsid w:val="00C17152"/>
    <w:rsid w:val="00C17918"/>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3214"/>
    <w:rsid w:val="00C34257"/>
    <w:rsid w:val="00C35021"/>
    <w:rsid w:val="00C360D2"/>
    <w:rsid w:val="00C366FC"/>
    <w:rsid w:val="00C370D3"/>
    <w:rsid w:val="00C37230"/>
    <w:rsid w:val="00C372FB"/>
    <w:rsid w:val="00C3738A"/>
    <w:rsid w:val="00C375C2"/>
    <w:rsid w:val="00C4007C"/>
    <w:rsid w:val="00C402E2"/>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9DB"/>
    <w:rsid w:val="00C57864"/>
    <w:rsid w:val="00C6018F"/>
    <w:rsid w:val="00C608E2"/>
    <w:rsid w:val="00C615CA"/>
    <w:rsid w:val="00C64BCB"/>
    <w:rsid w:val="00C64F44"/>
    <w:rsid w:val="00C65F0F"/>
    <w:rsid w:val="00C662C0"/>
    <w:rsid w:val="00C66573"/>
    <w:rsid w:val="00C6672A"/>
    <w:rsid w:val="00C67341"/>
    <w:rsid w:val="00C67C3F"/>
    <w:rsid w:val="00C67F29"/>
    <w:rsid w:val="00C72903"/>
    <w:rsid w:val="00C734E4"/>
    <w:rsid w:val="00C73A89"/>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B8F"/>
    <w:rsid w:val="00C94342"/>
    <w:rsid w:val="00C94A9A"/>
    <w:rsid w:val="00C94B67"/>
    <w:rsid w:val="00C9566C"/>
    <w:rsid w:val="00C968B2"/>
    <w:rsid w:val="00C96A0E"/>
    <w:rsid w:val="00C96CC7"/>
    <w:rsid w:val="00C97366"/>
    <w:rsid w:val="00CA27AE"/>
    <w:rsid w:val="00CA3018"/>
    <w:rsid w:val="00CA3F6F"/>
    <w:rsid w:val="00CA4B17"/>
    <w:rsid w:val="00CA560B"/>
    <w:rsid w:val="00CA5B5F"/>
    <w:rsid w:val="00CA7549"/>
    <w:rsid w:val="00CA7960"/>
    <w:rsid w:val="00CB2C32"/>
    <w:rsid w:val="00CB2EA8"/>
    <w:rsid w:val="00CB564D"/>
    <w:rsid w:val="00CB57BB"/>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D8F"/>
    <w:rsid w:val="00CC770F"/>
    <w:rsid w:val="00CC77C2"/>
    <w:rsid w:val="00CC7B89"/>
    <w:rsid w:val="00CC7DFB"/>
    <w:rsid w:val="00CD0BFA"/>
    <w:rsid w:val="00CD1CCB"/>
    <w:rsid w:val="00CD23A1"/>
    <w:rsid w:val="00CD2A74"/>
    <w:rsid w:val="00CD2DA9"/>
    <w:rsid w:val="00CD2F4C"/>
    <w:rsid w:val="00CD3897"/>
    <w:rsid w:val="00CD427F"/>
    <w:rsid w:val="00CD43E7"/>
    <w:rsid w:val="00CD4698"/>
    <w:rsid w:val="00CD48EF"/>
    <w:rsid w:val="00CD5073"/>
    <w:rsid w:val="00CD5558"/>
    <w:rsid w:val="00CD56F2"/>
    <w:rsid w:val="00CD5F26"/>
    <w:rsid w:val="00CD6319"/>
    <w:rsid w:val="00CD6D88"/>
    <w:rsid w:val="00CD71DB"/>
    <w:rsid w:val="00CE04AB"/>
    <w:rsid w:val="00CE1FF4"/>
    <w:rsid w:val="00CE4269"/>
    <w:rsid w:val="00CE53FC"/>
    <w:rsid w:val="00CE5648"/>
    <w:rsid w:val="00CE568B"/>
    <w:rsid w:val="00CE5C5E"/>
    <w:rsid w:val="00CE76CE"/>
    <w:rsid w:val="00CE7D72"/>
    <w:rsid w:val="00CF03B6"/>
    <w:rsid w:val="00CF1375"/>
    <w:rsid w:val="00CF3A57"/>
    <w:rsid w:val="00CF4185"/>
    <w:rsid w:val="00CF4280"/>
    <w:rsid w:val="00CF5635"/>
    <w:rsid w:val="00CF588B"/>
    <w:rsid w:val="00CF5DFF"/>
    <w:rsid w:val="00CF608B"/>
    <w:rsid w:val="00CF6943"/>
    <w:rsid w:val="00CF71E6"/>
    <w:rsid w:val="00CF7B2B"/>
    <w:rsid w:val="00CF7D03"/>
    <w:rsid w:val="00D027C9"/>
    <w:rsid w:val="00D02D19"/>
    <w:rsid w:val="00D035BA"/>
    <w:rsid w:val="00D03835"/>
    <w:rsid w:val="00D04597"/>
    <w:rsid w:val="00D060E5"/>
    <w:rsid w:val="00D06843"/>
    <w:rsid w:val="00D068B8"/>
    <w:rsid w:val="00D06A5F"/>
    <w:rsid w:val="00D07464"/>
    <w:rsid w:val="00D07D2C"/>
    <w:rsid w:val="00D104D4"/>
    <w:rsid w:val="00D11C3E"/>
    <w:rsid w:val="00D11F86"/>
    <w:rsid w:val="00D127E4"/>
    <w:rsid w:val="00D12976"/>
    <w:rsid w:val="00D1369D"/>
    <w:rsid w:val="00D13ECA"/>
    <w:rsid w:val="00D1539D"/>
    <w:rsid w:val="00D157A7"/>
    <w:rsid w:val="00D15D89"/>
    <w:rsid w:val="00D16FDE"/>
    <w:rsid w:val="00D174BC"/>
    <w:rsid w:val="00D1774F"/>
    <w:rsid w:val="00D2028D"/>
    <w:rsid w:val="00D203F5"/>
    <w:rsid w:val="00D21257"/>
    <w:rsid w:val="00D21F02"/>
    <w:rsid w:val="00D21F04"/>
    <w:rsid w:val="00D2206A"/>
    <w:rsid w:val="00D2319B"/>
    <w:rsid w:val="00D24902"/>
    <w:rsid w:val="00D24DC9"/>
    <w:rsid w:val="00D274AB"/>
    <w:rsid w:val="00D27ADC"/>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4FF"/>
    <w:rsid w:val="00D5277C"/>
    <w:rsid w:val="00D537FB"/>
    <w:rsid w:val="00D54A29"/>
    <w:rsid w:val="00D5505F"/>
    <w:rsid w:val="00D5595F"/>
    <w:rsid w:val="00D56227"/>
    <w:rsid w:val="00D56397"/>
    <w:rsid w:val="00D571BB"/>
    <w:rsid w:val="00D574E2"/>
    <w:rsid w:val="00D61660"/>
    <w:rsid w:val="00D61BD4"/>
    <w:rsid w:val="00D61E1C"/>
    <w:rsid w:val="00D6319D"/>
    <w:rsid w:val="00D63F37"/>
    <w:rsid w:val="00D6400A"/>
    <w:rsid w:val="00D64BAB"/>
    <w:rsid w:val="00D64CC7"/>
    <w:rsid w:val="00D667C9"/>
    <w:rsid w:val="00D66E04"/>
    <w:rsid w:val="00D670E8"/>
    <w:rsid w:val="00D67582"/>
    <w:rsid w:val="00D67911"/>
    <w:rsid w:val="00D71484"/>
    <w:rsid w:val="00D71F94"/>
    <w:rsid w:val="00D72A53"/>
    <w:rsid w:val="00D72CF1"/>
    <w:rsid w:val="00D745F2"/>
    <w:rsid w:val="00D74F1F"/>
    <w:rsid w:val="00D754DB"/>
    <w:rsid w:val="00D760A5"/>
    <w:rsid w:val="00D76B60"/>
    <w:rsid w:val="00D76F94"/>
    <w:rsid w:val="00D812D6"/>
    <w:rsid w:val="00D82707"/>
    <w:rsid w:val="00D82855"/>
    <w:rsid w:val="00D82903"/>
    <w:rsid w:val="00D8350B"/>
    <w:rsid w:val="00D843A8"/>
    <w:rsid w:val="00D8589C"/>
    <w:rsid w:val="00D8725E"/>
    <w:rsid w:val="00D87745"/>
    <w:rsid w:val="00D9086D"/>
    <w:rsid w:val="00D90A9C"/>
    <w:rsid w:val="00D90BE6"/>
    <w:rsid w:val="00D91A59"/>
    <w:rsid w:val="00D93079"/>
    <w:rsid w:val="00D93D3B"/>
    <w:rsid w:val="00D94996"/>
    <w:rsid w:val="00D94D1C"/>
    <w:rsid w:val="00D94E2D"/>
    <w:rsid w:val="00D9526A"/>
    <w:rsid w:val="00D95286"/>
    <w:rsid w:val="00D96108"/>
    <w:rsid w:val="00D97250"/>
    <w:rsid w:val="00DA1B75"/>
    <w:rsid w:val="00DA1E19"/>
    <w:rsid w:val="00DA2768"/>
    <w:rsid w:val="00DA339E"/>
    <w:rsid w:val="00DA35E9"/>
    <w:rsid w:val="00DA7089"/>
    <w:rsid w:val="00DB2B75"/>
    <w:rsid w:val="00DB3A89"/>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3A5"/>
    <w:rsid w:val="00DD77D5"/>
    <w:rsid w:val="00DD78E3"/>
    <w:rsid w:val="00DE0E14"/>
    <w:rsid w:val="00DE14C8"/>
    <w:rsid w:val="00DE24A5"/>
    <w:rsid w:val="00DE27BF"/>
    <w:rsid w:val="00DE3FD6"/>
    <w:rsid w:val="00DE468B"/>
    <w:rsid w:val="00DE4B96"/>
    <w:rsid w:val="00DE52E2"/>
    <w:rsid w:val="00DE58E3"/>
    <w:rsid w:val="00DE5E07"/>
    <w:rsid w:val="00DE5E11"/>
    <w:rsid w:val="00DE618C"/>
    <w:rsid w:val="00DE7280"/>
    <w:rsid w:val="00DF0152"/>
    <w:rsid w:val="00DF0750"/>
    <w:rsid w:val="00DF09F3"/>
    <w:rsid w:val="00DF0D99"/>
    <w:rsid w:val="00DF1090"/>
    <w:rsid w:val="00DF1678"/>
    <w:rsid w:val="00DF1980"/>
    <w:rsid w:val="00DF1F1D"/>
    <w:rsid w:val="00DF250A"/>
    <w:rsid w:val="00DF27AB"/>
    <w:rsid w:val="00DF27BD"/>
    <w:rsid w:val="00DF2BA6"/>
    <w:rsid w:val="00DF2CC7"/>
    <w:rsid w:val="00DF2E24"/>
    <w:rsid w:val="00DF2F2F"/>
    <w:rsid w:val="00DF3673"/>
    <w:rsid w:val="00DF4200"/>
    <w:rsid w:val="00DF54F5"/>
    <w:rsid w:val="00DF61B0"/>
    <w:rsid w:val="00DF760C"/>
    <w:rsid w:val="00E0049A"/>
    <w:rsid w:val="00E008AF"/>
    <w:rsid w:val="00E014FA"/>
    <w:rsid w:val="00E019E2"/>
    <w:rsid w:val="00E022F7"/>
    <w:rsid w:val="00E0298C"/>
    <w:rsid w:val="00E02F7D"/>
    <w:rsid w:val="00E060AD"/>
    <w:rsid w:val="00E0736D"/>
    <w:rsid w:val="00E10233"/>
    <w:rsid w:val="00E105BA"/>
    <w:rsid w:val="00E1121F"/>
    <w:rsid w:val="00E11D8F"/>
    <w:rsid w:val="00E12D5A"/>
    <w:rsid w:val="00E13787"/>
    <w:rsid w:val="00E13FE9"/>
    <w:rsid w:val="00E16346"/>
    <w:rsid w:val="00E16565"/>
    <w:rsid w:val="00E16A75"/>
    <w:rsid w:val="00E1707A"/>
    <w:rsid w:val="00E17803"/>
    <w:rsid w:val="00E17A9F"/>
    <w:rsid w:val="00E22B31"/>
    <w:rsid w:val="00E235EF"/>
    <w:rsid w:val="00E23D51"/>
    <w:rsid w:val="00E243F1"/>
    <w:rsid w:val="00E245FF"/>
    <w:rsid w:val="00E24CD9"/>
    <w:rsid w:val="00E265CB"/>
    <w:rsid w:val="00E26EA9"/>
    <w:rsid w:val="00E271E8"/>
    <w:rsid w:val="00E30D57"/>
    <w:rsid w:val="00E3156C"/>
    <w:rsid w:val="00E31E08"/>
    <w:rsid w:val="00E321CC"/>
    <w:rsid w:val="00E3224D"/>
    <w:rsid w:val="00E329B5"/>
    <w:rsid w:val="00E32EA3"/>
    <w:rsid w:val="00E3326C"/>
    <w:rsid w:val="00E34893"/>
    <w:rsid w:val="00E3643B"/>
    <w:rsid w:val="00E377E4"/>
    <w:rsid w:val="00E37E28"/>
    <w:rsid w:val="00E415D4"/>
    <w:rsid w:val="00E41903"/>
    <w:rsid w:val="00E42517"/>
    <w:rsid w:val="00E42747"/>
    <w:rsid w:val="00E427BD"/>
    <w:rsid w:val="00E42AFF"/>
    <w:rsid w:val="00E42B46"/>
    <w:rsid w:val="00E42B59"/>
    <w:rsid w:val="00E43273"/>
    <w:rsid w:val="00E4353B"/>
    <w:rsid w:val="00E440EA"/>
    <w:rsid w:val="00E440EE"/>
    <w:rsid w:val="00E44522"/>
    <w:rsid w:val="00E446F6"/>
    <w:rsid w:val="00E44C4B"/>
    <w:rsid w:val="00E457A0"/>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B9F"/>
    <w:rsid w:val="00E53FC4"/>
    <w:rsid w:val="00E5510E"/>
    <w:rsid w:val="00E55A6A"/>
    <w:rsid w:val="00E563E0"/>
    <w:rsid w:val="00E56CF1"/>
    <w:rsid w:val="00E576BB"/>
    <w:rsid w:val="00E5783E"/>
    <w:rsid w:val="00E57E5D"/>
    <w:rsid w:val="00E617AF"/>
    <w:rsid w:val="00E619F8"/>
    <w:rsid w:val="00E61C81"/>
    <w:rsid w:val="00E62B24"/>
    <w:rsid w:val="00E63149"/>
    <w:rsid w:val="00E63B6A"/>
    <w:rsid w:val="00E63E95"/>
    <w:rsid w:val="00E6483E"/>
    <w:rsid w:val="00E663A3"/>
    <w:rsid w:val="00E668EB"/>
    <w:rsid w:val="00E67399"/>
    <w:rsid w:val="00E706C3"/>
    <w:rsid w:val="00E71A3A"/>
    <w:rsid w:val="00E727AE"/>
    <w:rsid w:val="00E72AC0"/>
    <w:rsid w:val="00E7341C"/>
    <w:rsid w:val="00E73A1D"/>
    <w:rsid w:val="00E74795"/>
    <w:rsid w:val="00E75734"/>
    <w:rsid w:val="00E75C56"/>
    <w:rsid w:val="00E76167"/>
    <w:rsid w:val="00E76AB0"/>
    <w:rsid w:val="00E7744B"/>
    <w:rsid w:val="00E774DA"/>
    <w:rsid w:val="00E77B25"/>
    <w:rsid w:val="00E80550"/>
    <w:rsid w:val="00E818F2"/>
    <w:rsid w:val="00E823D1"/>
    <w:rsid w:val="00E827D3"/>
    <w:rsid w:val="00E83679"/>
    <w:rsid w:val="00E8377F"/>
    <w:rsid w:val="00E85043"/>
    <w:rsid w:val="00E85122"/>
    <w:rsid w:val="00E85911"/>
    <w:rsid w:val="00E8647A"/>
    <w:rsid w:val="00E86B1C"/>
    <w:rsid w:val="00E906FA"/>
    <w:rsid w:val="00E90717"/>
    <w:rsid w:val="00E955C3"/>
    <w:rsid w:val="00E965C4"/>
    <w:rsid w:val="00E966BC"/>
    <w:rsid w:val="00E96928"/>
    <w:rsid w:val="00E97381"/>
    <w:rsid w:val="00E97FE3"/>
    <w:rsid w:val="00EA02F5"/>
    <w:rsid w:val="00EA0483"/>
    <w:rsid w:val="00EA05B8"/>
    <w:rsid w:val="00EA0FE2"/>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440"/>
    <w:rsid w:val="00EB7890"/>
    <w:rsid w:val="00EC046B"/>
    <w:rsid w:val="00EC1997"/>
    <w:rsid w:val="00EC4079"/>
    <w:rsid w:val="00EC52E7"/>
    <w:rsid w:val="00EC59E2"/>
    <w:rsid w:val="00EC69DE"/>
    <w:rsid w:val="00EC6F3F"/>
    <w:rsid w:val="00ED09BF"/>
    <w:rsid w:val="00ED15BB"/>
    <w:rsid w:val="00ED1975"/>
    <w:rsid w:val="00ED1AE4"/>
    <w:rsid w:val="00ED1E26"/>
    <w:rsid w:val="00ED2485"/>
    <w:rsid w:val="00ED3D3E"/>
    <w:rsid w:val="00ED3E24"/>
    <w:rsid w:val="00ED4EBE"/>
    <w:rsid w:val="00ED6B2C"/>
    <w:rsid w:val="00ED6C0E"/>
    <w:rsid w:val="00ED6E96"/>
    <w:rsid w:val="00EE03A0"/>
    <w:rsid w:val="00EE135C"/>
    <w:rsid w:val="00EE1EE9"/>
    <w:rsid w:val="00EE23E9"/>
    <w:rsid w:val="00EE3934"/>
    <w:rsid w:val="00EE3B65"/>
    <w:rsid w:val="00EE3CF1"/>
    <w:rsid w:val="00EE4E23"/>
    <w:rsid w:val="00EE5C76"/>
    <w:rsid w:val="00EE79AE"/>
    <w:rsid w:val="00EF07E8"/>
    <w:rsid w:val="00EF09A9"/>
    <w:rsid w:val="00EF211C"/>
    <w:rsid w:val="00EF2BD0"/>
    <w:rsid w:val="00EF479A"/>
    <w:rsid w:val="00EF5748"/>
    <w:rsid w:val="00EF6E26"/>
    <w:rsid w:val="00EF7C00"/>
    <w:rsid w:val="00F01C2D"/>
    <w:rsid w:val="00F0247F"/>
    <w:rsid w:val="00F038AE"/>
    <w:rsid w:val="00F042AA"/>
    <w:rsid w:val="00F04CF5"/>
    <w:rsid w:val="00F06223"/>
    <w:rsid w:val="00F06F27"/>
    <w:rsid w:val="00F06FE4"/>
    <w:rsid w:val="00F0785E"/>
    <w:rsid w:val="00F10299"/>
    <w:rsid w:val="00F11277"/>
    <w:rsid w:val="00F11696"/>
    <w:rsid w:val="00F11B56"/>
    <w:rsid w:val="00F131A5"/>
    <w:rsid w:val="00F13DE0"/>
    <w:rsid w:val="00F1433A"/>
    <w:rsid w:val="00F150F3"/>
    <w:rsid w:val="00F16886"/>
    <w:rsid w:val="00F17632"/>
    <w:rsid w:val="00F21C60"/>
    <w:rsid w:val="00F237AD"/>
    <w:rsid w:val="00F23B39"/>
    <w:rsid w:val="00F259D5"/>
    <w:rsid w:val="00F25CAB"/>
    <w:rsid w:val="00F26E0E"/>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37C5"/>
    <w:rsid w:val="00F442E3"/>
    <w:rsid w:val="00F44C3F"/>
    <w:rsid w:val="00F44FD3"/>
    <w:rsid w:val="00F461F3"/>
    <w:rsid w:val="00F478E5"/>
    <w:rsid w:val="00F51616"/>
    <w:rsid w:val="00F52299"/>
    <w:rsid w:val="00F53171"/>
    <w:rsid w:val="00F53F94"/>
    <w:rsid w:val="00F57376"/>
    <w:rsid w:val="00F57CCD"/>
    <w:rsid w:val="00F6275F"/>
    <w:rsid w:val="00F63074"/>
    <w:rsid w:val="00F6385E"/>
    <w:rsid w:val="00F63FCA"/>
    <w:rsid w:val="00F64C78"/>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513F"/>
    <w:rsid w:val="00F85301"/>
    <w:rsid w:val="00F855ED"/>
    <w:rsid w:val="00F85A7D"/>
    <w:rsid w:val="00F85B8A"/>
    <w:rsid w:val="00F869FA"/>
    <w:rsid w:val="00F8707F"/>
    <w:rsid w:val="00F872A9"/>
    <w:rsid w:val="00F87A5B"/>
    <w:rsid w:val="00F87A83"/>
    <w:rsid w:val="00F910D1"/>
    <w:rsid w:val="00F92A7B"/>
    <w:rsid w:val="00F93945"/>
    <w:rsid w:val="00F93D84"/>
    <w:rsid w:val="00F95EF4"/>
    <w:rsid w:val="00F965AB"/>
    <w:rsid w:val="00FA005A"/>
    <w:rsid w:val="00FA0A33"/>
    <w:rsid w:val="00FA11DD"/>
    <w:rsid w:val="00FA15F9"/>
    <w:rsid w:val="00FA16A5"/>
    <w:rsid w:val="00FA242F"/>
    <w:rsid w:val="00FA28B9"/>
    <w:rsid w:val="00FA3470"/>
    <w:rsid w:val="00FA533D"/>
    <w:rsid w:val="00FA5594"/>
    <w:rsid w:val="00FA67EE"/>
    <w:rsid w:val="00FA749C"/>
    <w:rsid w:val="00FB1450"/>
    <w:rsid w:val="00FB1B00"/>
    <w:rsid w:val="00FB1EB5"/>
    <w:rsid w:val="00FB2CC8"/>
    <w:rsid w:val="00FB387B"/>
    <w:rsid w:val="00FB3F52"/>
    <w:rsid w:val="00FB451C"/>
    <w:rsid w:val="00FB587B"/>
    <w:rsid w:val="00FB6A85"/>
    <w:rsid w:val="00FB6E04"/>
    <w:rsid w:val="00FB6E40"/>
    <w:rsid w:val="00FB7645"/>
    <w:rsid w:val="00FC1630"/>
    <w:rsid w:val="00FC1C96"/>
    <w:rsid w:val="00FC2429"/>
    <w:rsid w:val="00FC34B4"/>
    <w:rsid w:val="00FC4FFA"/>
    <w:rsid w:val="00FC74C3"/>
    <w:rsid w:val="00FC78B7"/>
    <w:rsid w:val="00FD013A"/>
    <w:rsid w:val="00FD0C12"/>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1869"/>
    <w:rsid w:val="00FE2A3E"/>
    <w:rsid w:val="00FE2DE6"/>
    <w:rsid w:val="00FE49A2"/>
    <w:rsid w:val="00FE53A6"/>
    <w:rsid w:val="00FE69F3"/>
    <w:rsid w:val="00FE6C1C"/>
    <w:rsid w:val="00FF1475"/>
    <w:rsid w:val="00FF14E4"/>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3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7C6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199785389">
      <w:bodyDiv w:val="1"/>
      <w:marLeft w:val="0"/>
      <w:marRight w:val="0"/>
      <w:marTop w:val="0"/>
      <w:marBottom w:val="0"/>
      <w:divBdr>
        <w:top w:val="none" w:sz="0" w:space="0" w:color="auto"/>
        <w:left w:val="none" w:sz="0" w:space="0" w:color="auto"/>
        <w:bottom w:val="none" w:sz="0" w:space="0" w:color="auto"/>
        <w:right w:val="none" w:sz="0" w:space="0" w:color="auto"/>
      </w:divBdr>
    </w:div>
    <w:div w:id="255600873">
      <w:bodyDiv w:val="1"/>
      <w:marLeft w:val="0"/>
      <w:marRight w:val="0"/>
      <w:marTop w:val="0"/>
      <w:marBottom w:val="0"/>
      <w:divBdr>
        <w:top w:val="none" w:sz="0" w:space="0" w:color="auto"/>
        <w:left w:val="none" w:sz="0" w:space="0" w:color="auto"/>
        <w:bottom w:val="none" w:sz="0" w:space="0" w:color="auto"/>
        <w:right w:val="none" w:sz="0" w:space="0" w:color="auto"/>
      </w:divBdr>
    </w:div>
    <w:div w:id="277027623">
      <w:bodyDiv w:val="1"/>
      <w:marLeft w:val="0"/>
      <w:marRight w:val="0"/>
      <w:marTop w:val="0"/>
      <w:marBottom w:val="0"/>
      <w:divBdr>
        <w:top w:val="none" w:sz="0" w:space="0" w:color="auto"/>
        <w:left w:val="none" w:sz="0" w:space="0" w:color="auto"/>
        <w:bottom w:val="none" w:sz="0" w:space="0" w:color="auto"/>
        <w:right w:val="none" w:sz="0" w:space="0" w:color="auto"/>
      </w:divBdr>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683702957">
      <w:bodyDiv w:val="1"/>
      <w:marLeft w:val="0"/>
      <w:marRight w:val="0"/>
      <w:marTop w:val="0"/>
      <w:marBottom w:val="0"/>
      <w:divBdr>
        <w:top w:val="none" w:sz="0" w:space="0" w:color="auto"/>
        <w:left w:val="none" w:sz="0" w:space="0" w:color="auto"/>
        <w:bottom w:val="none" w:sz="0" w:space="0" w:color="auto"/>
        <w:right w:val="none" w:sz="0" w:space="0" w:color="auto"/>
      </w:divBdr>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1258433">
      <w:bodyDiv w:val="1"/>
      <w:marLeft w:val="0"/>
      <w:marRight w:val="0"/>
      <w:marTop w:val="0"/>
      <w:marBottom w:val="0"/>
      <w:divBdr>
        <w:top w:val="none" w:sz="0" w:space="0" w:color="auto"/>
        <w:left w:val="none" w:sz="0" w:space="0" w:color="auto"/>
        <w:bottom w:val="none" w:sz="0" w:space="0" w:color="auto"/>
        <w:right w:val="none" w:sz="0" w:space="0" w:color="auto"/>
      </w:divBdr>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7869</Words>
  <Characters>46886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Susan Reuland</cp:lastModifiedBy>
  <cp:revision>4</cp:revision>
  <cp:lastPrinted>2024-05-15T14:00:00Z</cp:lastPrinted>
  <dcterms:created xsi:type="dcterms:W3CDTF">2024-05-13T19:22:00Z</dcterms:created>
  <dcterms:modified xsi:type="dcterms:W3CDTF">2024-05-15T14:00:00Z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