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1869E7">
        <w:rPr>
          <w:b/>
          <w:sz w:val="24"/>
        </w:rPr>
      </w:r>
      <w:r w:rsidR="001869E7">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009A5C0A" w:rsidR="00BD6BBE" w:rsidRPr="00F87A5B" w:rsidRDefault="00BD6BBE">
      <w:pPr>
        <w:tabs>
          <w:tab w:val="decimal" w:pos="9180"/>
        </w:tabs>
        <w:ind w:left="720" w:hanging="720"/>
        <w:rPr>
          <w:b/>
        </w:rPr>
      </w:pPr>
      <w:r w:rsidRPr="00F87A5B">
        <w:tab/>
        <w:t xml:space="preserve">For the quarterly period ended </w:t>
      </w:r>
      <w:r w:rsidR="00034E07">
        <w:t>June</w:t>
      </w:r>
      <w:r w:rsidR="00460775">
        <w:t xml:space="preserve"> 3</w:t>
      </w:r>
      <w:r w:rsidR="00034E07">
        <w:t>0</w:t>
      </w:r>
      <w:r w:rsidR="00482106">
        <w:t>,</w:t>
      </w:r>
      <w:r w:rsidR="00460775">
        <w:t xml:space="preserve"> 20</w:t>
      </w:r>
      <w:r w:rsidR="001F62EC">
        <w:t>2</w:t>
      </w:r>
      <w:r w:rsidR="004F2810">
        <w:t>4</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1869E7">
        <w:rPr>
          <w:b/>
          <w:sz w:val="24"/>
        </w:rPr>
      </w:r>
      <w:r w:rsidR="001869E7">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1869E7">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1869E7">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1869E7">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1869E7">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1869E7">
        <w:rPr>
          <w:rFonts w:ascii="Wingdings" w:hAnsi="Wingdings" w:cs="Wingdings"/>
          <w:color w:val="000000"/>
          <w:sz w:val="18"/>
          <w:szCs w:val="18"/>
        </w:rPr>
      </w:r>
      <w:r w:rsidR="001869E7">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47AA03EE" w:rsidR="0094630A" w:rsidRDefault="0094630A">
      <w:pPr>
        <w:tabs>
          <w:tab w:val="decimal" w:pos="9180"/>
        </w:tabs>
        <w:jc w:val="both"/>
      </w:pPr>
      <w:r w:rsidRPr="003D6A75">
        <w:t>As o</w:t>
      </w:r>
      <w:r w:rsidR="009B114A" w:rsidRPr="003D6A75">
        <w:t xml:space="preserve">f </w:t>
      </w:r>
      <w:r w:rsidR="00034E07">
        <w:t>August</w:t>
      </w:r>
      <w:r w:rsidR="001F0568" w:rsidRPr="004A5874">
        <w:t xml:space="preserve"> </w:t>
      </w:r>
      <w:r w:rsidR="005F1378">
        <w:t>6</w:t>
      </w:r>
      <w:r w:rsidR="009B20E1" w:rsidRPr="004A5874">
        <w:t>,</w:t>
      </w:r>
      <w:r w:rsidR="00460775" w:rsidRPr="004A5874">
        <w:t xml:space="preserve"> 20</w:t>
      </w:r>
      <w:r w:rsidR="001F62EC" w:rsidRPr="004A5874">
        <w:t>2</w:t>
      </w:r>
      <w:r w:rsidR="004F2810">
        <w:t>4</w:t>
      </w:r>
      <w:r w:rsidR="00F75588" w:rsidRPr="006F2532">
        <w:t>,</w:t>
      </w:r>
      <w:r w:rsidR="00B9332C" w:rsidRPr="003D6A75">
        <w:t xml:space="preserve"> </w:t>
      </w:r>
      <w:r w:rsidR="001D476C">
        <w:t>5,263,700</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7119E902" w:rsidR="00482106" w:rsidRPr="000371CC" w:rsidRDefault="00482106" w:rsidP="004E3374">
      <w:pPr>
        <w:tabs>
          <w:tab w:val="right" w:pos="10080"/>
        </w:tabs>
        <w:ind w:left="900"/>
      </w:pPr>
      <w:r>
        <w:t xml:space="preserve">Condensed </w:t>
      </w:r>
      <w:r w:rsidRPr="000371CC">
        <w:t xml:space="preserve">Consolidated Balance Sheets as of </w:t>
      </w:r>
      <w:r w:rsidR="00034E07">
        <w:t>June</w:t>
      </w:r>
      <w:r w:rsidR="00460775">
        <w:t xml:space="preserve"> 3</w:t>
      </w:r>
      <w:r w:rsidR="00034E07">
        <w:t>0</w:t>
      </w:r>
      <w:r w:rsidR="00B35C97">
        <w:t xml:space="preserve">, </w:t>
      </w:r>
      <w:r w:rsidR="00460775">
        <w:t>20</w:t>
      </w:r>
      <w:r w:rsidR="001F62EC">
        <w:t>2</w:t>
      </w:r>
      <w:r w:rsidR="004F2810">
        <w:t>4</w:t>
      </w:r>
      <w:r w:rsidR="00ED6B2C">
        <w:t xml:space="preserve"> (unaudited)</w:t>
      </w:r>
      <w:r w:rsidR="00D74F1F">
        <w:t xml:space="preserve"> </w:t>
      </w:r>
      <w:r w:rsidR="00460775">
        <w:t xml:space="preserve">and December 31, </w:t>
      </w:r>
      <w:proofErr w:type="gramStart"/>
      <w:r w:rsidR="00460775">
        <w:t>20</w:t>
      </w:r>
      <w:r w:rsidR="00E63149">
        <w:t>2</w:t>
      </w:r>
      <w:r w:rsidR="004F2810">
        <w:t>3</w:t>
      </w:r>
      <w:proofErr w:type="gramEnd"/>
      <w:r w:rsidRPr="000371CC">
        <w:tab/>
        <w:t>1</w:t>
      </w:r>
    </w:p>
    <w:p w14:paraId="323AB257" w14:textId="2706AD26"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034E07">
        <w:t xml:space="preserve">and six-month </w:t>
      </w:r>
      <w:r w:rsidR="00483E00">
        <w:t xml:space="preserve">periods </w:t>
      </w:r>
      <w:r w:rsidR="001F0568">
        <w:t>e</w:t>
      </w:r>
      <w:r w:rsidR="00A12E9E">
        <w:t>nded</w:t>
      </w:r>
    </w:p>
    <w:p w14:paraId="10D88DBF" w14:textId="1B327795" w:rsidR="00482106" w:rsidRDefault="004E3374" w:rsidP="004E3374">
      <w:pPr>
        <w:tabs>
          <w:tab w:val="right" w:pos="10080"/>
        </w:tabs>
        <w:ind w:left="900"/>
      </w:pPr>
      <w:r>
        <w:t xml:space="preserve">   </w:t>
      </w:r>
      <w:r w:rsidR="00034E07">
        <w:t>June</w:t>
      </w:r>
      <w:r w:rsidR="0063349C">
        <w:t xml:space="preserve"> </w:t>
      </w:r>
      <w:r w:rsidR="00460775">
        <w:t>3</w:t>
      </w:r>
      <w:r w:rsidR="00034E07">
        <w:t>0</w:t>
      </w:r>
      <w:r w:rsidR="00460775">
        <w:t xml:space="preserve">, </w:t>
      </w:r>
      <w:proofErr w:type="gramStart"/>
      <w:r w:rsidR="00460775">
        <w:t>20</w:t>
      </w:r>
      <w:r w:rsidR="001F62EC">
        <w:t>2</w:t>
      </w:r>
      <w:r w:rsidR="004F2810">
        <w:t>4</w:t>
      </w:r>
      <w:proofErr w:type="gramEnd"/>
      <w:r w:rsidR="00731C61">
        <w:t xml:space="preserve"> </w:t>
      </w:r>
      <w:r w:rsidR="00460775">
        <w:t>and 20</w:t>
      </w:r>
      <w:r w:rsidR="00E63149">
        <w:t>2</w:t>
      </w:r>
      <w:r w:rsidR="004F2810">
        <w:t>3</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64F90306" w:rsidR="00487CAB" w:rsidRPr="000371CC" w:rsidRDefault="00487CAB" w:rsidP="004E3374">
      <w:pPr>
        <w:tabs>
          <w:tab w:val="right" w:pos="10080"/>
        </w:tabs>
        <w:ind w:left="900"/>
      </w:pPr>
      <w:r>
        <w:t xml:space="preserve">   for the three-month </w:t>
      </w:r>
      <w:r w:rsidR="00034E07">
        <w:t xml:space="preserve">and six-month </w:t>
      </w:r>
      <w:r>
        <w:t xml:space="preserve">periods ended </w:t>
      </w:r>
      <w:r w:rsidR="00034E07">
        <w:t>June</w:t>
      </w:r>
      <w:r>
        <w:t xml:space="preserve"> 3</w:t>
      </w:r>
      <w:r w:rsidR="00034E07">
        <w:t>0</w:t>
      </w:r>
      <w:r>
        <w:t xml:space="preserve">, </w:t>
      </w:r>
      <w:proofErr w:type="gramStart"/>
      <w:r>
        <w:t>20</w:t>
      </w:r>
      <w:r w:rsidR="001F62EC">
        <w:t>2</w:t>
      </w:r>
      <w:r w:rsidR="004F2810">
        <w:t>4</w:t>
      </w:r>
      <w:proofErr w:type="gramEnd"/>
      <w:r>
        <w:t xml:space="preserve"> and 20</w:t>
      </w:r>
      <w:r w:rsidR="00E63149">
        <w:t>2</w:t>
      </w:r>
      <w:r w:rsidR="004F2810">
        <w:t>3</w:t>
      </w:r>
      <w:r>
        <w:t xml:space="preserve"> (unaudited)</w:t>
      </w:r>
      <w:r>
        <w:tab/>
        <w:t>3</w:t>
      </w:r>
    </w:p>
    <w:p w14:paraId="5EC29F91" w14:textId="53F5A547" w:rsidR="004E3374" w:rsidRDefault="00482106" w:rsidP="004E3374">
      <w:pPr>
        <w:tabs>
          <w:tab w:val="right" w:pos="10080"/>
        </w:tabs>
        <w:ind w:left="900"/>
      </w:pPr>
      <w:r>
        <w:t xml:space="preserve">Condensed </w:t>
      </w:r>
      <w:r w:rsidRPr="000371CC">
        <w:t xml:space="preserve">Consolidated Statements of Cash Flows for the </w:t>
      </w:r>
      <w:r w:rsidR="00034E07">
        <w:t>six</w:t>
      </w:r>
      <w:r w:rsidR="00CC2136">
        <w:t>-</w:t>
      </w:r>
      <w:r w:rsidR="00F758D1">
        <w:t xml:space="preserve">month </w:t>
      </w:r>
      <w:r w:rsidR="00483E00">
        <w:t xml:space="preserve">periods </w:t>
      </w:r>
      <w:r w:rsidR="00731D11">
        <w:t>ended</w:t>
      </w:r>
    </w:p>
    <w:p w14:paraId="6B706CF1" w14:textId="301FA7BB" w:rsidR="00482106" w:rsidRPr="000371CC" w:rsidRDefault="004E3374" w:rsidP="004E3374">
      <w:pPr>
        <w:tabs>
          <w:tab w:val="right" w:pos="10080"/>
        </w:tabs>
        <w:ind w:left="900"/>
      </w:pPr>
      <w:r>
        <w:t xml:space="preserve">   </w:t>
      </w:r>
      <w:r w:rsidR="00034E07">
        <w:t>June</w:t>
      </w:r>
      <w:r w:rsidR="0063349C">
        <w:t xml:space="preserve"> </w:t>
      </w:r>
      <w:r w:rsidR="00460775">
        <w:t>3</w:t>
      </w:r>
      <w:r w:rsidR="00034E07">
        <w:t>0</w:t>
      </w:r>
      <w:r w:rsidR="00823D2D">
        <w:t xml:space="preserve">, </w:t>
      </w:r>
      <w:proofErr w:type="gramStart"/>
      <w:r w:rsidR="00460775">
        <w:t>20</w:t>
      </w:r>
      <w:r w:rsidR="001F62EC">
        <w:t>2</w:t>
      </w:r>
      <w:r w:rsidR="004F2810">
        <w:t>4</w:t>
      </w:r>
      <w:proofErr w:type="gramEnd"/>
      <w:r>
        <w:t xml:space="preserve"> </w:t>
      </w:r>
      <w:r w:rsidR="00460775">
        <w:t>and 20</w:t>
      </w:r>
      <w:r w:rsidR="00E63149">
        <w:t>2</w:t>
      </w:r>
      <w:r w:rsidR="004F2810">
        <w:t>3</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2B33718E"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8E5C1D">
        <w:t>9</w:t>
      </w:r>
    </w:p>
    <w:p w14:paraId="04727900" w14:textId="77777777" w:rsidR="00482106" w:rsidRDefault="00482106" w:rsidP="004E3374">
      <w:pPr>
        <w:tabs>
          <w:tab w:val="left" w:pos="900"/>
          <w:tab w:val="right" w:pos="10080"/>
        </w:tabs>
      </w:pPr>
    </w:p>
    <w:p w14:paraId="19A98050" w14:textId="39E9B7E9" w:rsidR="00482106" w:rsidRDefault="00482106" w:rsidP="002D1A5A">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8E5C1D">
        <w:t>5</w:t>
      </w:r>
    </w:p>
    <w:p w14:paraId="0E38D6CC" w14:textId="77777777" w:rsidR="00793CD5" w:rsidRPr="000371CC" w:rsidRDefault="00793CD5" w:rsidP="002D1A5A">
      <w:pPr>
        <w:tabs>
          <w:tab w:val="left" w:pos="900"/>
          <w:tab w:val="right" w:pos="10080"/>
        </w:tabs>
      </w:pPr>
    </w:p>
    <w:p w14:paraId="16AC473F" w14:textId="20D9C1F6"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8E5C1D">
        <w:t>5</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68232530"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8E5C1D">
        <w:t>6</w:t>
      </w:r>
    </w:p>
    <w:p w14:paraId="073F6D6B" w14:textId="77777777" w:rsidR="00482106" w:rsidRPr="000371CC" w:rsidRDefault="00482106" w:rsidP="004E3374">
      <w:pPr>
        <w:tabs>
          <w:tab w:val="left" w:pos="900"/>
          <w:tab w:val="right" w:pos="10200"/>
        </w:tabs>
      </w:pPr>
    </w:p>
    <w:p w14:paraId="27555486" w14:textId="3CA27930"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8E5C1D">
        <w:t>6</w:t>
      </w:r>
    </w:p>
    <w:p w14:paraId="0F986A6E" w14:textId="77777777" w:rsidR="00482106" w:rsidRPr="000371CC" w:rsidRDefault="00482106" w:rsidP="004E3374">
      <w:pPr>
        <w:tabs>
          <w:tab w:val="left" w:pos="900"/>
          <w:tab w:val="right" w:pos="10080"/>
          <w:tab w:val="right" w:pos="10200"/>
        </w:tabs>
      </w:pPr>
    </w:p>
    <w:p w14:paraId="6537B7F4" w14:textId="418E2DF7"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8E5C1D">
        <w:t>6</w:t>
      </w:r>
    </w:p>
    <w:p w14:paraId="2598FC1C" w14:textId="77777777" w:rsidR="00482106" w:rsidRPr="000371CC" w:rsidRDefault="00482106" w:rsidP="004E3374">
      <w:pPr>
        <w:tabs>
          <w:tab w:val="left" w:pos="900"/>
          <w:tab w:val="right" w:pos="10080"/>
          <w:tab w:val="right" w:pos="10200"/>
        </w:tabs>
      </w:pPr>
    </w:p>
    <w:p w14:paraId="790C8A4C" w14:textId="6483E0BF"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8E5C1D">
        <w:t>6</w:t>
      </w:r>
    </w:p>
    <w:p w14:paraId="7122746D" w14:textId="77777777" w:rsidR="00BF7DB7" w:rsidRDefault="00BF7DB7" w:rsidP="004E3374">
      <w:pPr>
        <w:tabs>
          <w:tab w:val="left" w:pos="900"/>
          <w:tab w:val="right" w:pos="10080"/>
          <w:tab w:val="right" w:pos="10200"/>
        </w:tabs>
      </w:pPr>
    </w:p>
    <w:p w14:paraId="51D96C50" w14:textId="0ACD8350"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8E5C1D">
        <w:t>6</w:t>
      </w:r>
    </w:p>
    <w:p w14:paraId="1D1D1680" w14:textId="77777777" w:rsidR="00482106" w:rsidRPr="000371CC" w:rsidRDefault="00482106" w:rsidP="004E3374">
      <w:pPr>
        <w:tabs>
          <w:tab w:val="left" w:pos="900"/>
          <w:tab w:val="right" w:pos="10080"/>
          <w:tab w:val="right" w:pos="10200"/>
        </w:tabs>
      </w:pPr>
    </w:p>
    <w:p w14:paraId="7FF4F361" w14:textId="0F6349C6"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8E5C1D">
        <w:t>6</w:t>
      </w:r>
    </w:p>
    <w:p w14:paraId="7329C9FE" w14:textId="77777777" w:rsidR="00482106" w:rsidRPr="000371CC" w:rsidRDefault="00482106" w:rsidP="004E3374">
      <w:pPr>
        <w:tabs>
          <w:tab w:val="left" w:pos="900"/>
          <w:tab w:val="right" w:pos="10080"/>
          <w:tab w:val="right" w:pos="10200"/>
        </w:tabs>
      </w:pPr>
    </w:p>
    <w:p w14:paraId="25371BEC" w14:textId="1D31F2EC"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8E5C1D">
        <w:t>7</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775C9F03"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8E5C1D">
        <w:t>8</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4F2810" w:rsidRPr="00356734" w14:paraId="793AC12C" w14:textId="77777777" w:rsidTr="007149CF">
        <w:trPr>
          <w:cantSplit/>
          <w:trHeight w:val="230"/>
        </w:trPr>
        <w:tc>
          <w:tcPr>
            <w:tcW w:w="10080" w:type="dxa"/>
            <w:gridSpan w:val="7"/>
          </w:tcPr>
          <w:p w14:paraId="0C2CFE53" w14:textId="77777777" w:rsidR="004F2810" w:rsidRDefault="004F2810" w:rsidP="007149CF">
            <w:pPr>
              <w:pStyle w:val="Heading8"/>
              <w:rPr>
                <w:i w:val="0"/>
                <w:sz w:val="20"/>
                <w:u w:val="none"/>
              </w:rPr>
            </w:pPr>
          </w:p>
          <w:p w14:paraId="3525765E" w14:textId="77777777" w:rsidR="004F2810" w:rsidRPr="00585725" w:rsidRDefault="004F2810" w:rsidP="007149CF">
            <w:pPr>
              <w:pStyle w:val="Heading8"/>
              <w:rPr>
                <w:i w:val="0"/>
                <w:sz w:val="20"/>
                <w:u w:val="none"/>
              </w:rPr>
            </w:pPr>
            <w:r>
              <w:rPr>
                <w:i w:val="0"/>
                <w:sz w:val="20"/>
                <w:u w:val="none"/>
              </w:rPr>
              <w:t>GEOVAX LABS, INC.</w:t>
            </w:r>
          </w:p>
        </w:tc>
      </w:tr>
      <w:tr w:rsidR="004F2810" w:rsidRPr="00356734" w14:paraId="66CE564A" w14:textId="77777777" w:rsidTr="007149CF">
        <w:trPr>
          <w:cantSplit/>
          <w:trHeight w:val="230"/>
        </w:trPr>
        <w:tc>
          <w:tcPr>
            <w:tcW w:w="10080" w:type="dxa"/>
            <w:gridSpan w:val="7"/>
          </w:tcPr>
          <w:p w14:paraId="5E11AAB2" w14:textId="77777777" w:rsidR="004F2810" w:rsidRPr="00356734" w:rsidRDefault="004F2810" w:rsidP="007149CF">
            <w:pPr>
              <w:pStyle w:val="Heading8"/>
              <w:rPr>
                <w:i w:val="0"/>
                <w:sz w:val="20"/>
                <w:u w:val="none"/>
              </w:rPr>
            </w:pPr>
            <w:r w:rsidRPr="00356734">
              <w:rPr>
                <w:i w:val="0"/>
                <w:sz w:val="20"/>
                <w:u w:val="none"/>
              </w:rPr>
              <w:t>CONDENSED CONSOLIDATED BALANCE SHEETS</w:t>
            </w:r>
          </w:p>
        </w:tc>
      </w:tr>
      <w:tr w:rsidR="004F2810" w:rsidRPr="00356734" w14:paraId="3ED00944" w14:textId="77777777" w:rsidTr="007149CF">
        <w:trPr>
          <w:trHeight w:hRule="exact" w:val="230"/>
        </w:trPr>
        <w:tc>
          <w:tcPr>
            <w:tcW w:w="305" w:type="dxa"/>
          </w:tcPr>
          <w:p w14:paraId="14D136BE" w14:textId="77777777" w:rsidR="004F2810" w:rsidRPr="00356734" w:rsidRDefault="004F2810" w:rsidP="007149CF">
            <w:pPr>
              <w:jc w:val="right"/>
              <w:rPr>
                <w:snapToGrid w:val="0"/>
                <w:color w:val="000000"/>
              </w:rPr>
            </w:pPr>
          </w:p>
        </w:tc>
        <w:tc>
          <w:tcPr>
            <w:tcW w:w="302" w:type="dxa"/>
          </w:tcPr>
          <w:p w14:paraId="392DD30B" w14:textId="77777777" w:rsidR="004F2810" w:rsidRPr="00356734" w:rsidRDefault="004F2810" w:rsidP="007149CF">
            <w:pPr>
              <w:jc w:val="right"/>
              <w:rPr>
                <w:snapToGrid w:val="0"/>
                <w:color w:val="000000"/>
              </w:rPr>
            </w:pPr>
          </w:p>
        </w:tc>
        <w:tc>
          <w:tcPr>
            <w:tcW w:w="5513" w:type="dxa"/>
          </w:tcPr>
          <w:p w14:paraId="2E06136E" w14:textId="77777777" w:rsidR="004F2810" w:rsidRPr="00356734" w:rsidRDefault="004F2810" w:rsidP="007149CF">
            <w:pPr>
              <w:jc w:val="right"/>
              <w:rPr>
                <w:snapToGrid w:val="0"/>
                <w:color w:val="000000"/>
              </w:rPr>
            </w:pPr>
          </w:p>
        </w:tc>
        <w:tc>
          <w:tcPr>
            <w:tcW w:w="90" w:type="dxa"/>
          </w:tcPr>
          <w:p w14:paraId="3A2432E9" w14:textId="77777777" w:rsidR="004F2810" w:rsidRPr="00356734" w:rsidRDefault="004F2810" w:rsidP="007149CF">
            <w:pPr>
              <w:jc w:val="right"/>
              <w:rPr>
                <w:snapToGrid w:val="0"/>
                <w:color w:val="000000"/>
              </w:rPr>
            </w:pPr>
          </w:p>
        </w:tc>
        <w:tc>
          <w:tcPr>
            <w:tcW w:w="3870" w:type="dxa"/>
            <w:gridSpan w:val="3"/>
          </w:tcPr>
          <w:p w14:paraId="19C1E738" w14:textId="77777777" w:rsidR="004F2810" w:rsidRPr="00356734" w:rsidRDefault="004F2810" w:rsidP="007149CF">
            <w:pPr>
              <w:jc w:val="center"/>
              <w:rPr>
                <w:snapToGrid w:val="0"/>
                <w:color w:val="000000"/>
              </w:rPr>
            </w:pPr>
          </w:p>
        </w:tc>
      </w:tr>
      <w:tr w:rsidR="004F2810" w:rsidRPr="00356734" w14:paraId="16B69BD9" w14:textId="77777777" w:rsidTr="007149CF">
        <w:trPr>
          <w:trHeight w:hRule="exact" w:val="230"/>
        </w:trPr>
        <w:tc>
          <w:tcPr>
            <w:tcW w:w="305" w:type="dxa"/>
          </w:tcPr>
          <w:p w14:paraId="4E0038D7" w14:textId="77777777" w:rsidR="004F2810" w:rsidRPr="00356734" w:rsidRDefault="004F2810" w:rsidP="007149CF">
            <w:pPr>
              <w:jc w:val="right"/>
              <w:rPr>
                <w:snapToGrid w:val="0"/>
                <w:color w:val="000000"/>
              </w:rPr>
            </w:pPr>
          </w:p>
        </w:tc>
        <w:tc>
          <w:tcPr>
            <w:tcW w:w="302" w:type="dxa"/>
          </w:tcPr>
          <w:p w14:paraId="7991605A" w14:textId="77777777" w:rsidR="004F2810" w:rsidRPr="00356734" w:rsidRDefault="004F2810" w:rsidP="007149CF">
            <w:pPr>
              <w:jc w:val="right"/>
              <w:rPr>
                <w:snapToGrid w:val="0"/>
                <w:color w:val="000000"/>
              </w:rPr>
            </w:pPr>
          </w:p>
        </w:tc>
        <w:tc>
          <w:tcPr>
            <w:tcW w:w="5513" w:type="dxa"/>
          </w:tcPr>
          <w:p w14:paraId="592A4B23" w14:textId="77777777" w:rsidR="004F2810" w:rsidRPr="00356734" w:rsidRDefault="004F2810" w:rsidP="007149CF">
            <w:pPr>
              <w:jc w:val="right"/>
              <w:rPr>
                <w:snapToGrid w:val="0"/>
                <w:color w:val="000000"/>
              </w:rPr>
            </w:pPr>
          </w:p>
        </w:tc>
        <w:tc>
          <w:tcPr>
            <w:tcW w:w="90" w:type="dxa"/>
          </w:tcPr>
          <w:p w14:paraId="46917407" w14:textId="77777777" w:rsidR="004F2810" w:rsidRPr="00356734" w:rsidRDefault="004F2810" w:rsidP="007149CF">
            <w:pPr>
              <w:jc w:val="right"/>
              <w:rPr>
                <w:snapToGrid w:val="0"/>
                <w:color w:val="000000"/>
              </w:rPr>
            </w:pPr>
          </w:p>
        </w:tc>
        <w:tc>
          <w:tcPr>
            <w:tcW w:w="1710" w:type="dxa"/>
          </w:tcPr>
          <w:p w14:paraId="551D031D" w14:textId="52AFEDEA" w:rsidR="004F2810" w:rsidRPr="00356734" w:rsidRDefault="004F2810" w:rsidP="007149CF">
            <w:pPr>
              <w:jc w:val="center"/>
              <w:rPr>
                <w:snapToGrid w:val="0"/>
                <w:color w:val="000000"/>
              </w:rPr>
            </w:pPr>
            <w:r>
              <w:rPr>
                <w:snapToGrid w:val="0"/>
                <w:color w:val="000000"/>
              </w:rPr>
              <w:t>June 30</w:t>
            </w:r>
            <w:r w:rsidR="005A0E70">
              <w:rPr>
                <w:snapToGrid w:val="0"/>
                <w:color w:val="000000"/>
              </w:rPr>
              <w:t>,</w:t>
            </w:r>
          </w:p>
        </w:tc>
        <w:tc>
          <w:tcPr>
            <w:tcW w:w="270" w:type="dxa"/>
          </w:tcPr>
          <w:p w14:paraId="550D4FD1" w14:textId="77777777" w:rsidR="004F2810" w:rsidRPr="00356734" w:rsidRDefault="004F2810" w:rsidP="007149CF">
            <w:pPr>
              <w:jc w:val="right"/>
              <w:rPr>
                <w:snapToGrid w:val="0"/>
                <w:color w:val="000000"/>
              </w:rPr>
            </w:pPr>
          </w:p>
        </w:tc>
        <w:tc>
          <w:tcPr>
            <w:tcW w:w="1890" w:type="dxa"/>
          </w:tcPr>
          <w:p w14:paraId="7ABBEE6C" w14:textId="77777777" w:rsidR="004F2810" w:rsidRPr="00356734" w:rsidRDefault="004F2810" w:rsidP="007149CF">
            <w:pPr>
              <w:jc w:val="center"/>
              <w:rPr>
                <w:snapToGrid w:val="0"/>
                <w:color w:val="000000"/>
              </w:rPr>
            </w:pPr>
            <w:r w:rsidRPr="00356734">
              <w:rPr>
                <w:snapToGrid w:val="0"/>
                <w:color w:val="000000"/>
              </w:rPr>
              <w:t>December 31,</w:t>
            </w:r>
          </w:p>
        </w:tc>
      </w:tr>
      <w:tr w:rsidR="004F2810" w:rsidRPr="00356734" w14:paraId="1A7973D9" w14:textId="77777777" w:rsidTr="007149CF">
        <w:trPr>
          <w:trHeight w:hRule="exact" w:val="230"/>
        </w:trPr>
        <w:tc>
          <w:tcPr>
            <w:tcW w:w="305" w:type="dxa"/>
          </w:tcPr>
          <w:p w14:paraId="76859BFC" w14:textId="77777777" w:rsidR="004F2810" w:rsidRPr="00356734" w:rsidRDefault="004F2810" w:rsidP="007149CF">
            <w:pPr>
              <w:jc w:val="right"/>
              <w:rPr>
                <w:snapToGrid w:val="0"/>
                <w:color w:val="000000"/>
              </w:rPr>
            </w:pPr>
          </w:p>
        </w:tc>
        <w:tc>
          <w:tcPr>
            <w:tcW w:w="302" w:type="dxa"/>
          </w:tcPr>
          <w:p w14:paraId="7EBE0FAC" w14:textId="77777777" w:rsidR="004F2810" w:rsidRPr="00356734" w:rsidRDefault="004F2810" w:rsidP="007149CF">
            <w:pPr>
              <w:jc w:val="right"/>
              <w:rPr>
                <w:snapToGrid w:val="0"/>
                <w:color w:val="000000"/>
              </w:rPr>
            </w:pPr>
          </w:p>
        </w:tc>
        <w:tc>
          <w:tcPr>
            <w:tcW w:w="5513" w:type="dxa"/>
          </w:tcPr>
          <w:p w14:paraId="5C6C46DF" w14:textId="77777777" w:rsidR="004F2810" w:rsidRPr="00356734" w:rsidRDefault="004F2810" w:rsidP="007149CF">
            <w:pPr>
              <w:jc w:val="right"/>
              <w:rPr>
                <w:snapToGrid w:val="0"/>
                <w:color w:val="000000"/>
              </w:rPr>
            </w:pPr>
          </w:p>
        </w:tc>
        <w:tc>
          <w:tcPr>
            <w:tcW w:w="90" w:type="dxa"/>
          </w:tcPr>
          <w:p w14:paraId="40E7CFEC" w14:textId="77777777" w:rsidR="004F2810" w:rsidRPr="00356734" w:rsidRDefault="004F2810" w:rsidP="007149CF">
            <w:pPr>
              <w:jc w:val="right"/>
              <w:rPr>
                <w:snapToGrid w:val="0"/>
                <w:color w:val="000000"/>
              </w:rPr>
            </w:pPr>
          </w:p>
        </w:tc>
        <w:tc>
          <w:tcPr>
            <w:tcW w:w="1710" w:type="dxa"/>
            <w:tcBorders>
              <w:bottom w:val="single" w:sz="6" w:space="0" w:color="auto"/>
            </w:tcBorders>
          </w:tcPr>
          <w:p w14:paraId="182074B1" w14:textId="77777777" w:rsidR="004F2810" w:rsidRPr="00356734" w:rsidRDefault="004F2810" w:rsidP="007149CF">
            <w:pPr>
              <w:jc w:val="center"/>
              <w:rPr>
                <w:snapToGrid w:val="0"/>
                <w:color w:val="000000"/>
              </w:rPr>
            </w:pPr>
            <w:r>
              <w:rPr>
                <w:snapToGrid w:val="0"/>
                <w:color w:val="000000"/>
              </w:rPr>
              <w:t>2024</w:t>
            </w:r>
          </w:p>
        </w:tc>
        <w:tc>
          <w:tcPr>
            <w:tcW w:w="270" w:type="dxa"/>
          </w:tcPr>
          <w:p w14:paraId="3029699E" w14:textId="77777777" w:rsidR="004F2810" w:rsidRPr="00356734" w:rsidRDefault="004F2810" w:rsidP="007149CF">
            <w:pPr>
              <w:jc w:val="right"/>
              <w:rPr>
                <w:snapToGrid w:val="0"/>
                <w:color w:val="000000"/>
              </w:rPr>
            </w:pPr>
          </w:p>
        </w:tc>
        <w:tc>
          <w:tcPr>
            <w:tcW w:w="1890" w:type="dxa"/>
            <w:tcBorders>
              <w:bottom w:val="single" w:sz="6" w:space="0" w:color="auto"/>
            </w:tcBorders>
          </w:tcPr>
          <w:p w14:paraId="3FC59888" w14:textId="77777777" w:rsidR="004F2810" w:rsidRPr="00356734" w:rsidRDefault="004F2810" w:rsidP="007149CF">
            <w:pPr>
              <w:jc w:val="center"/>
              <w:rPr>
                <w:snapToGrid w:val="0"/>
                <w:color w:val="000000"/>
              </w:rPr>
            </w:pPr>
            <w:r w:rsidRPr="00356734">
              <w:rPr>
                <w:snapToGrid w:val="0"/>
                <w:color w:val="000000"/>
              </w:rPr>
              <w:t>20</w:t>
            </w:r>
            <w:r>
              <w:rPr>
                <w:snapToGrid w:val="0"/>
                <w:color w:val="000000"/>
              </w:rPr>
              <w:t>23</w:t>
            </w:r>
          </w:p>
        </w:tc>
      </w:tr>
      <w:tr w:rsidR="004F2810" w:rsidRPr="00EB7BF0" w14:paraId="5BB37AA2" w14:textId="77777777" w:rsidTr="007149CF">
        <w:trPr>
          <w:trHeight w:hRule="exact" w:val="230"/>
        </w:trPr>
        <w:tc>
          <w:tcPr>
            <w:tcW w:w="6120" w:type="dxa"/>
            <w:gridSpan w:val="3"/>
          </w:tcPr>
          <w:p w14:paraId="405E0886" w14:textId="77777777" w:rsidR="004F2810" w:rsidRPr="00EB7BF0" w:rsidRDefault="004F2810" w:rsidP="007149CF">
            <w:pPr>
              <w:rPr>
                <w:snapToGrid w:val="0"/>
                <w:color w:val="000000"/>
              </w:rPr>
            </w:pPr>
          </w:p>
        </w:tc>
        <w:tc>
          <w:tcPr>
            <w:tcW w:w="90" w:type="dxa"/>
          </w:tcPr>
          <w:p w14:paraId="7279DB76" w14:textId="77777777" w:rsidR="004F2810" w:rsidRPr="00EB7BF0" w:rsidRDefault="004F2810" w:rsidP="007149CF">
            <w:pPr>
              <w:jc w:val="right"/>
              <w:rPr>
                <w:snapToGrid w:val="0"/>
                <w:color w:val="000000"/>
              </w:rPr>
            </w:pPr>
          </w:p>
        </w:tc>
        <w:tc>
          <w:tcPr>
            <w:tcW w:w="1710" w:type="dxa"/>
          </w:tcPr>
          <w:p w14:paraId="47E53574" w14:textId="77777777" w:rsidR="004F2810" w:rsidRPr="00EB7BF0" w:rsidRDefault="004F2810" w:rsidP="007149CF">
            <w:pPr>
              <w:jc w:val="center"/>
              <w:rPr>
                <w:snapToGrid w:val="0"/>
                <w:color w:val="000000"/>
              </w:rPr>
            </w:pPr>
            <w:r>
              <w:rPr>
                <w:snapToGrid w:val="0"/>
                <w:color w:val="000000"/>
              </w:rPr>
              <w:t>(unaudited)</w:t>
            </w:r>
          </w:p>
        </w:tc>
        <w:tc>
          <w:tcPr>
            <w:tcW w:w="270" w:type="dxa"/>
          </w:tcPr>
          <w:p w14:paraId="3F407915" w14:textId="77777777" w:rsidR="004F2810" w:rsidRPr="00EB7BF0" w:rsidRDefault="004F2810" w:rsidP="007149CF">
            <w:pPr>
              <w:jc w:val="center"/>
              <w:rPr>
                <w:snapToGrid w:val="0"/>
                <w:color w:val="000000"/>
              </w:rPr>
            </w:pPr>
          </w:p>
        </w:tc>
        <w:tc>
          <w:tcPr>
            <w:tcW w:w="1890" w:type="dxa"/>
          </w:tcPr>
          <w:p w14:paraId="27720195" w14:textId="77777777" w:rsidR="004F2810" w:rsidRPr="00EB7BF0" w:rsidRDefault="004F2810" w:rsidP="007149CF">
            <w:pPr>
              <w:jc w:val="center"/>
              <w:rPr>
                <w:snapToGrid w:val="0"/>
                <w:color w:val="000000"/>
              </w:rPr>
            </w:pPr>
          </w:p>
        </w:tc>
      </w:tr>
      <w:tr w:rsidR="004F2810" w:rsidRPr="00EB7BF0" w14:paraId="07E3F118" w14:textId="77777777" w:rsidTr="007149CF">
        <w:trPr>
          <w:trHeight w:hRule="exact" w:val="230"/>
        </w:trPr>
        <w:tc>
          <w:tcPr>
            <w:tcW w:w="6120" w:type="dxa"/>
            <w:gridSpan w:val="3"/>
          </w:tcPr>
          <w:p w14:paraId="0F7479F6" w14:textId="77777777" w:rsidR="004F2810" w:rsidRPr="00EB7BF0" w:rsidRDefault="004F2810" w:rsidP="007149CF">
            <w:pPr>
              <w:rPr>
                <w:snapToGrid w:val="0"/>
                <w:color w:val="000000"/>
              </w:rPr>
            </w:pPr>
            <w:r w:rsidRPr="00374FE3">
              <w:rPr>
                <w:snapToGrid w:val="0"/>
                <w:color w:val="000000"/>
              </w:rPr>
              <w:t>ASSETS</w:t>
            </w:r>
          </w:p>
        </w:tc>
        <w:tc>
          <w:tcPr>
            <w:tcW w:w="90" w:type="dxa"/>
          </w:tcPr>
          <w:p w14:paraId="0277956F" w14:textId="77777777" w:rsidR="004F2810" w:rsidRPr="00EB7BF0" w:rsidRDefault="004F2810" w:rsidP="007149CF">
            <w:pPr>
              <w:jc w:val="right"/>
              <w:rPr>
                <w:snapToGrid w:val="0"/>
                <w:color w:val="000000"/>
              </w:rPr>
            </w:pPr>
          </w:p>
        </w:tc>
        <w:tc>
          <w:tcPr>
            <w:tcW w:w="1710" w:type="dxa"/>
          </w:tcPr>
          <w:p w14:paraId="40AC663E" w14:textId="77777777" w:rsidR="004F2810" w:rsidRDefault="004F2810" w:rsidP="007149CF">
            <w:pPr>
              <w:jc w:val="center"/>
              <w:rPr>
                <w:snapToGrid w:val="0"/>
                <w:color w:val="000000"/>
              </w:rPr>
            </w:pPr>
          </w:p>
        </w:tc>
        <w:tc>
          <w:tcPr>
            <w:tcW w:w="270" w:type="dxa"/>
          </w:tcPr>
          <w:p w14:paraId="30DB24BB" w14:textId="77777777" w:rsidR="004F2810" w:rsidRPr="00EB7BF0" w:rsidRDefault="004F2810" w:rsidP="007149CF">
            <w:pPr>
              <w:jc w:val="center"/>
              <w:rPr>
                <w:snapToGrid w:val="0"/>
                <w:color w:val="000000"/>
              </w:rPr>
            </w:pPr>
          </w:p>
        </w:tc>
        <w:tc>
          <w:tcPr>
            <w:tcW w:w="1890" w:type="dxa"/>
          </w:tcPr>
          <w:p w14:paraId="621CD9FF" w14:textId="77777777" w:rsidR="004F2810" w:rsidRPr="00EB7BF0" w:rsidRDefault="004F2810" w:rsidP="007149CF">
            <w:pPr>
              <w:jc w:val="center"/>
              <w:rPr>
                <w:snapToGrid w:val="0"/>
                <w:color w:val="000000"/>
              </w:rPr>
            </w:pPr>
          </w:p>
        </w:tc>
      </w:tr>
      <w:tr w:rsidR="004F2810" w:rsidRPr="00EB7BF0" w14:paraId="1179E91B" w14:textId="77777777" w:rsidTr="007149CF">
        <w:trPr>
          <w:trHeight w:hRule="exact" w:val="230"/>
        </w:trPr>
        <w:tc>
          <w:tcPr>
            <w:tcW w:w="6120" w:type="dxa"/>
            <w:gridSpan w:val="3"/>
          </w:tcPr>
          <w:p w14:paraId="4EA4D6F2" w14:textId="77777777" w:rsidR="004F2810" w:rsidRPr="00EB7BF0" w:rsidRDefault="004F2810" w:rsidP="007149CF">
            <w:pPr>
              <w:rPr>
                <w:snapToGrid w:val="0"/>
                <w:color w:val="000000"/>
              </w:rPr>
            </w:pPr>
            <w:r w:rsidRPr="00374FE3">
              <w:rPr>
                <w:snapToGrid w:val="0"/>
                <w:color w:val="000000"/>
              </w:rPr>
              <w:t>Current assets:</w:t>
            </w:r>
          </w:p>
        </w:tc>
        <w:tc>
          <w:tcPr>
            <w:tcW w:w="90" w:type="dxa"/>
          </w:tcPr>
          <w:p w14:paraId="24D6E8B8" w14:textId="77777777" w:rsidR="004F2810" w:rsidRPr="00EB7BF0" w:rsidRDefault="004F2810" w:rsidP="007149CF">
            <w:pPr>
              <w:jc w:val="right"/>
              <w:rPr>
                <w:snapToGrid w:val="0"/>
                <w:color w:val="000000"/>
              </w:rPr>
            </w:pPr>
          </w:p>
        </w:tc>
        <w:tc>
          <w:tcPr>
            <w:tcW w:w="1710" w:type="dxa"/>
          </w:tcPr>
          <w:p w14:paraId="63AA9669" w14:textId="77777777" w:rsidR="004F2810" w:rsidRPr="00EB7BF0" w:rsidRDefault="004F2810" w:rsidP="007149CF">
            <w:pPr>
              <w:jc w:val="right"/>
              <w:rPr>
                <w:snapToGrid w:val="0"/>
                <w:color w:val="000000"/>
              </w:rPr>
            </w:pPr>
          </w:p>
        </w:tc>
        <w:tc>
          <w:tcPr>
            <w:tcW w:w="270" w:type="dxa"/>
          </w:tcPr>
          <w:p w14:paraId="2259237F" w14:textId="77777777" w:rsidR="004F2810" w:rsidRPr="00EB7BF0" w:rsidRDefault="004F2810" w:rsidP="007149CF">
            <w:pPr>
              <w:jc w:val="right"/>
              <w:rPr>
                <w:snapToGrid w:val="0"/>
                <w:color w:val="000000"/>
              </w:rPr>
            </w:pPr>
          </w:p>
        </w:tc>
        <w:tc>
          <w:tcPr>
            <w:tcW w:w="1890" w:type="dxa"/>
          </w:tcPr>
          <w:p w14:paraId="50B38173" w14:textId="77777777" w:rsidR="004F2810" w:rsidRPr="00EB7BF0" w:rsidRDefault="004F2810" w:rsidP="007149CF">
            <w:pPr>
              <w:jc w:val="right"/>
              <w:rPr>
                <w:snapToGrid w:val="0"/>
                <w:color w:val="000000"/>
              </w:rPr>
            </w:pPr>
          </w:p>
        </w:tc>
      </w:tr>
      <w:tr w:rsidR="004F2810" w:rsidRPr="00EB7BF0" w14:paraId="4E555D56" w14:textId="77777777" w:rsidTr="007149CF">
        <w:trPr>
          <w:trHeight w:hRule="exact" w:val="230"/>
        </w:trPr>
        <w:tc>
          <w:tcPr>
            <w:tcW w:w="305" w:type="dxa"/>
          </w:tcPr>
          <w:p w14:paraId="0CF05980" w14:textId="77777777" w:rsidR="004F2810" w:rsidRPr="00EB7BF0" w:rsidRDefault="004F2810" w:rsidP="007149CF">
            <w:pPr>
              <w:rPr>
                <w:snapToGrid w:val="0"/>
                <w:color w:val="000000"/>
              </w:rPr>
            </w:pPr>
          </w:p>
        </w:tc>
        <w:tc>
          <w:tcPr>
            <w:tcW w:w="5815" w:type="dxa"/>
            <w:gridSpan w:val="2"/>
          </w:tcPr>
          <w:p w14:paraId="7BA628D0" w14:textId="77777777" w:rsidR="004F2810" w:rsidRPr="00EB7BF0" w:rsidRDefault="004F2810" w:rsidP="007149CF">
            <w:pPr>
              <w:rPr>
                <w:b/>
                <w:snapToGrid w:val="0"/>
                <w:color w:val="000000"/>
              </w:rPr>
            </w:pPr>
            <w:r w:rsidRPr="00374FE3">
              <w:rPr>
                <w:snapToGrid w:val="0"/>
                <w:color w:val="000000"/>
              </w:rPr>
              <w:t>Cash and cash equivalents</w:t>
            </w:r>
          </w:p>
        </w:tc>
        <w:tc>
          <w:tcPr>
            <w:tcW w:w="90" w:type="dxa"/>
          </w:tcPr>
          <w:p w14:paraId="30789EF0" w14:textId="77777777" w:rsidR="004F2810" w:rsidRPr="00EB7BF0" w:rsidRDefault="004F2810" w:rsidP="007149CF">
            <w:pPr>
              <w:jc w:val="right"/>
              <w:rPr>
                <w:snapToGrid w:val="0"/>
                <w:color w:val="000000"/>
              </w:rPr>
            </w:pPr>
          </w:p>
        </w:tc>
        <w:tc>
          <w:tcPr>
            <w:tcW w:w="1710" w:type="dxa"/>
          </w:tcPr>
          <w:p w14:paraId="1E761BE8" w14:textId="09175844" w:rsidR="004F2810" w:rsidRPr="00EB7BF0"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62FED">
              <w:rPr>
                <w:snapToGrid w:val="0"/>
                <w:color w:val="000000"/>
              </w:rPr>
              <w:t>1,561,712</w:t>
            </w:r>
          </w:p>
        </w:tc>
        <w:tc>
          <w:tcPr>
            <w:tcW w:w="270" w:type="dxa"/>
          </w:tcPr>
          <w:p w14:paraId="34194808" w14:textId="77777777" w:rsidR="004F2810" w:rsidRPr="00EB7BF0" w:rsidRDefault="004F2810" w:rsidP="007149CF">
            <w:pPr>
              <w:jc w:val="right"/>
              <w:rPr>
                <w:snapToGrid w:val="0"/>
                <w:color w:val="000000"/>
              </w:rPr>
            </w:pPr>
          </w:p>
        </w:tc>
        <w:tc>
          <w:tcPr>
            <w:tcW w:w="1890" w:type="dxa"/>
          </w:tcPr>
          <w:p w14:paraId="48ED2FF3" w14:textId="77777777" w:rsidR="004F2810" w:rsidRPr="00EB7BF0" w:rsidRDefault="004F2810" w:rsidP="007149CF">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6,452,589</w:t>
            </w:r>
          </w:p>
        </w:tc>
      </w:tr>
      <w:tr w:rsidR="00262FED" w:rsidRPr="00EB7BF0" w14:paraId="5C1C9D62" w14:textId="77777777" w:rsidTr="007149CF">
        <w:trPr>
          <w:trHeight w:hRule="exact" w:val="230"/>
        </w:trPr>
        <w:tc>
          <w:tcPr>
            <w:tcW w:w="305" w:type="dxa"/>
          </w:tcPr>
          <w:p w14:paraId="5FCE5A38" w14:textId="77777777" w:rsidR="00262FED" w:rsidRPr="00EB7BF0" w:rsidRDefault="00262FED" w:rsidP="007149CF">
            <w:pPr>
              <w:rPr>
                <w:snapToGrid w:val="0"/>
                <w:color w:val="000000"/>
              </w:rPr>
            </w:pPr>
          </w:p>
        </w:tc>
        <w:tc>
          <w:tcPr>
            <w:tcW w:w="5815" w:type="dxa"/>
            <w:gridSpan w:val="2"/>
          </w:tcPr>
          <w:p w14:paraId="0A67F069" w14:textId="394FB61E" w:rsidR="00262FED" w:rsidRPr="00374FE3" w:rsidRDefault="0010791D" w:rsidP="007149CF">
            <w:pPr>
              <w:rPr>
                <w:snapToGrid w:val="0"/>
                <w:color w:val="000000"/>
              </w:rPr>
            </w:pPr>
            <w:r w:rsidRPr="0010791D">
              <w:rPr>
                <w:snapToGrid w:val="0"/>
                <w:color w:val="000000"/>
              </w:rPr>
              <w:t>Accounts r</w:t>
            </w:r>
            <w:r w:rsidR="00262FED" w:rsidRPr="0010791D">
              <w:rPr>
                <w:snapToGrid w:val="0"/>
                <w:color w:val="000000"/>
              </w:rPr>
              <w:t>eceivable</w:t>
            </w:r>
          </w:p>
        </w:tc>
        <w:tc>
          <w:tcPr>
            <w:tcW w:w="90" w:type="dxa"/>
          </w:tcPr>
          <w:p w14:paraId="507EAC5B" w14:textId="77777777" w:rsidR="00262FED" w:rsidRPr="00EB7BF0" w:rsidRDefault="00262FED" w:rsidP="007149CF">
            <w:pPr>
              <w:jc w:val="right"/>
              <w:rPr>
                <w:snapToGrid w:val="0"/>
                <w:color w:val="000000"/>
              </w:rPr>
            </w:pPr>
          </w:p>
        </w:tc>
        <w:tc>
          <w:tcPr>
            <w:tcW w:w="1710" w:type="dxa"/>
          </w:tcPr>
          <w:p w14:paraId="26A71273" w14:textId="76F0A04B" w:rsidR="00262FED" w:rsidRPr="00374FE3" w:rsidRDefault="00262FED" w:rsidP="00262FED">
            <w:pPr>
              <w:tabs>
                <w:tab w:val="decimal" w:pos="1320"/>
              </w:tabs>
              <w:rPr>
                <w:snapToGrid w:val="0"/>
                <w:color w:val="000000"/>
              </w:rPr>
            </w:pPr>
            <w:r>
              <w:rPr>
                <w:snapToGrid w:val="0"/>
                <w:color w:val="000000"/>
              </w:rPr>
              <w:t>300,677</w:t>
            </w:r>
          </w:p>
        </w:tc>
        <w:tc>
          <w:tcPr>
            <w:tcW w:w="270" w:type="dxa"/>
          </w:tcPr>
          <w:p w14:paraId="727B9520" w14:textId="77777777" w:rsidR="00262FED" w:rsidRPr="00EB7BF0" w:rsidRDefault="00262FED" w:rsidP="007149CF">
            <w:pPr>
              <w:jc w:val="right"/>
              <w:rPr>
                <w:snapToGrid w:val="0"/>
                <w:color w:val="000000"/>
              </w:rPr>
            </w:pPr>
          </w:p>
        </w:tc>
        <w:tc>
          <w:tcPr>
            <w:tcW w:w="1890" w:type="dxa"/>
          </w:tcPr>
          <w:p w14:paraId="0A14D42E" w14:textId="717659C5" w:rsidR="00262FED" w:rsidRDefault="00262FED" w:rsidP="00262FED">
            <w:pPr>
              <w:tabs>
                <w:tab w:val="decimal" w:pos="1500"/>
              </w:tabs>
              <w:rPr>
                <w:snapToGrid w:val="0"/>
                <w:color w:val="000000"/>
              </w:rPr>
            </w:pPr>
            <w:r>
              <w:rPr>
                <w:snapToGrid w:val="0"/>
                <w:color w:val="000000"/>
              </w:rPr>
              <w:t>-</w:t>
            </w:r>
          </w:p>
        </w:tc>
      </w:tr>
      <w:tr w:rsidR="004F2810" w:rsidRPr="00EB7BF0" w14:paraId="4FE7A57C" w14:textId="77777777" w:rsidTr="007149CF">
        <w:trPr>
          <w:trHeight w:hRule="exact" w:val="230"/>
        </w:trPr>
        <w:tc>
          <w:tcPr>
            <w:tcW w:w="305" w:type="dxa"/>
          </w:tcPr>
          <w:p w14:paraId="3BEA80D6" w14:textId="77777777" w:rsidR="004F2810" w:rsidRPr="00EB7BF0" w:rsidRDefault="004F2810" w:rsidP="007149CF">
            <w:pPr>
              <w:jc w:val="right"/>
              <w:rPr>
                <w:snapToGrid w:val="0"/>
                <w:color w:val="000000"/>
              </w:rPr>
            </w:pPr>
          </w:p>
        </w:tc>
        <w:tc>
          <w:tcPr>
            <w:tcW w:w="5815" w:type="dxa"/>
            <w:gridSpan w:val="2"/>
          </w:tcPr>
          <w:p w14:paraId="2E5D6E5B" w14:textId="77777777" w:rsidR="004F2810" w:rsidRPr="00EB7BF0" w:rsidRDefault="004F2810" w:rsidP="007149CF">
            <w:pPr>
              <w:rPr>
                <w:b/>
                <w:snapToGrid w:val="0"/>
                <w:color w:val="000000"/>
              </w:rPr>
            </w:pPr>
            <w:r w:rsidRPr="00374FE3">
              <w:rPr>
                <w:snapToGrid w:val="0"/>
                <w:color w:val="000000"/>
              </w:rPr>
              <w:t>Prepaid expenses</w:t>
            </w:r>
          </w:p>
        </w:tc>
        <w:tc>
          <w:tcPr>
            <w:tcW w:w="90" w:type="dxa"/>
          </w:tcPr>
          <w:p w14:paraId="515F6004" w14:textId="77777777" w:rsidR="004F2810" w:rsidRPr="00EB7BF0" w:rsidRDefault="004F2810" w:rsidP="007149CF">
            <w:pPr>
              <w:jc w:val="right"/>
              <w:rPr>
                <w:snapToGrid w:val="0"/>
                <w:color w:val="000000"/>
              </w:rPr>
            </w:pPr>
          </w:p>
        </w:tc>
        <w:tc>
          <w:tcPr>
            <w:tcW w:w="1710" w:type="dxa"/>
            <w:tcBorders>
              <w:bottom w:val="single" w:sz="4" w:space="0" w:color="auto"/>
            </w:tcBorders>
          </w:tcPr>
          <w:p w14:paraId="52F353D1" w14:textId="0F8B75A0" w:rsidR="004F2810" w:rsidRPr="00EB7BF0" w:rsidRDefault="00262FED" w:rsidP="007149CF">
            <w:pPr>
              <w:tabs>
                <w:tab w:val="decimal" w:pos="1320"/>
              </w:tabs>
              <w:rPr>
                <w:snapToGrid w:val="0"/>
                <w:color w:val="000000"/>
              </w:rPr>
            </w:pPr>
            <w:r>
              <w:rPr>
                <w:snapToGrid w:val="0"/>
                <w:color w:val="000000"/>
              </w:rPr>
              <w:t>1,981,134</w:t>
            </w:r>
          </w:p>
        </w:tc>
        <w:tc>
          <w:tcPr>
            <w:tcW w:w="270" w:type="dxa"/>
          </w:tcPr>
          <w:p w14:paraId="5BE35503" w14:textId="77777777" w:rsidR="004F2810" w:rsidRPr="00EB7BF0" w:rsidRDefault="004F2810" w:rsidP="007149CF">
            <w:pPr>
              <w:jc w:val="right"/>
              <w:rPr>
                <w:snapToGrid w:val="0"/>
                <w:color w:val="000000"/>
              </w:rPr>
            </w:pPr>
          </w:p>
        </w:tc>
        <w:tc>
          <w:tcPr>
            <w:tcW w:w="1890" w:type="dxa"/>
            <w:tcBorders>
              <w:bottom w:val="single" w:sz="4" w:space="0" w:color="auto"/>
            </w:tcBorders>
          </w:tcPr>
          <w:p w14:paraId="3B4136FF" w14:textId="77777777" w:rsidR="004F2810" w:rsidRPr="00EB7BF0" w:rsidRDefault="004F2810" w:rsidP="007149CF">
            <w:pPr>
              <w:tabs>
                <w:tab w:val="decimal" w:pos="1500"/>
              </w:tabs>
              <w:rPr>
                <w:snapToGrid w:val="0"/>
                <w:color w:val="000000"/>
              </w:rPr>
            </w:pPr>
            <w:r>
              <w:rPr>
                <w:snapToGrid w:val="0"/>
                <w:color w:val="000000"/>
              </w:rPr>
              <w:t>1,433,153</w:t>
            </w:r>
          </w:p>
        </w:tc>
      </w:tr>
      <w:tr w:rsidR="004F2810" w:rsidRPr="00EB7BF0" w14:paraId="62DE1FC6" w14:textId="77777777" w:rsidTr="007149CF">
        <w:trPr>
          <w:trHeight w:hRule="exact" w:val="230"/>
        </w:trPr>
        <w:tc>
          <w:tcPr>
            <w:tcW w:w="6120" w:type="dxa"/>
            <w:gridSpan w:val="3"/>
          </w:tcPr>
          <w:p w14:paraId="04C45F84" w14:textId="77777777" w:rsidR="004F2810" w:rsidRPr="00E74795" w:rsidRDefault="004F2810" w:rsidP="007149CF">
            <w:pPr>
              <w:rPr>
                <w:snapToGrid w:val="0"/>
                <w:color w:val="000000"/>
              </w:rPr>
            </w:pPr>
            <w:r w:rsidRPr="00374FE3">
              <w:rPr>
                <w:snapToGrid w:val="0"/>
                <w:color w:val="000000"/>
              </w:rPr>
              <w:t>Total current assets</w:t>
            </w:r>
          </w:p>
        </w:tc>
        <w:tc>
          <w:tcPr>
            <w:tcW w:w="90" w:type="dxa"/>
          </w:tcPr>
          <w:p w14:paraId="7C90F9C8" w14:textId="77777777" w:rsidR="004F2810" w:rsidRPr="00E74795" w:rsidRDefault="004F2810" w:rsidP="007149CF">
            <w:pPr>
              <w:jc w:val="right"/>
              <w:rPr>
                <w:snapToGrid w:val="0"/>
                <w:color w:val="000000"/>
              </w:rPr>
            </w:pPr>
          </w:p>
        </w:tc>
        <w:tc>
          <w:tcPr>
            <w:tcW w:w="1710" w:type="dxa"/>
            <w:tcBorders>
              <w:top w:val="single" w:sz="4" w:space="0" w:color="auto"/>
            </w:tcBorders>
          </w:tcPr>
          <w:p w14:paraId="60CB5BA6" w14:textId="7F24A981" w:rsidR="004F2810" w:rsidRPr="00E74795" w:rsidRDefault="00262FED" w:rsidP="007149CF">
            <w:pPr>
              <w:tabs>
                <w:tab w:val="decimal" w:pos="1320"/>
              </w:tabs>
              <w:rPr>
                <w:snapToGrid w:val="0"/>
                <w:color w:val="000000"/>
              </w:rPr>
            </w:pPr>
            <w:r>
              <w:rPr>
                <w:snapToGrid w:val="0"/>
                <w:color w:val="000000"/>
              </w:rPr>
              <w:t>3,843,523</w:t>
            </w:r>
          </w:p>
        </w:tc>
        <w:tc>
          <w:tcPr>
            <w:tcW w:w="270" w:type="dxa"/>
          </w:tcPr>
          <w:p w14:paraId="7487E204" w14:textId="77777777" w:rsidR="004F2810" w:rsidRPr="00E74795" w:rsidRDefault="004F2810" w:rsidP="007149CF">
            <w:pPr>
              <w:jc w:val="center"/>
              <w:rPr>
                <w:snapToGrid w:val="0"/>
                <w:color w:val="000000"/>
              </w:rPr>
            </w:pPr>
          </w:p>
        </w:tc>
        <w:tc>
          <w:tcPr>
            <w:tcW w:w="1890" w:type="dxa"/>
            <w:tcBorders>
              <w:top w:val="single" w:sz="4" w:space="0" w:color="auto"/>
            </w:tcBorders>
          </w:tcPr>
          <w:p w14:paraId="1BF6B72E" w14:textId="77777777" w:rsidR="004F2810" w:rsidRPr="00E74795" w:rsidRDefault="004F2810" w:rsidP="007149CF">
            <w:pPr>
              <w:tabs>
                <w:tab w:val="decimal" w:pos="1500"/>
              </w:tabs>
              <w:rPr>
                <w:snapToGrid w:val="0"/>
                <w:color w:val="000000"/>
              </w:rPr>
            </w:pPr>
            <w:r>
              <w:rPr>
                <w:snapToGrid w:val="0"/>
                <w:color w:val="000000"/>
              </w:rPr>
              <w:t>7,885,742</w:t>
            </w:r>
          </w:p>
        </w:tc>
      </w:tr>
      <w:tr w:rsidR="004F2810" w:rsidRPr="00EB7BF0" w14:paraId="43F45216" w14:textId="77777777" w:rsidTr="007149CF">
        <w:trPr>
          <w:trHeight w:hRule="exact" w:val="230"/>
        </w:trPr>
        <w:tc>
          <w:tcPr>
            <w:tcW w:w="6120" w:type="dxa"/>
            <w:gridSpan w:val="3"/>
          </w:tcPr>
          <w:p w14:paraId="7E75D461" w14:textId="77777777" w:rsidR="004F2810" w:rsidRPr="00E74795" w:rsidRDefault="004F2810" w:rsidP="007149CF">
            <w:pPr>
              <w:rPr>
                <w:b/>
                <w:snapToGrid w:val="0"/>
                <w:color w:val="000000"/>
              </w:rPr>
            </w:pPr>
            <w:r w:rsidRPr="00374FE3">
              <w:rPr>
                <w:snapToGrid w:val="0"/>
                <w:color w:val="000000"/>
              </w:rPr>
              <w:t>Property and equipment, net</w:t>
            </w:r>
          </w:p>
        </w:tc>
        <w:tc>
          <w:tcPr>
            <w:tcW w:w="90" w:type="dxa"/>
          </w:tcPr>
          <w:p w14:paraId="09618B32" w14:textId="77777777" w:rsidR="004F2810" w:rsidRPr="00E74795" w:rsidRDefault="004F2810" w:rsidP="007149CF">
            <w:pPr>
              <w:jc w:val="right"/>
              <w:rPr>
                <w:snapToGrid w:val="0"/>
                <w:color w:val="000000"/>
              </w:rPr>
            </w:pPr>
          </w:p>
        </w:tc>
        <w:tc>
          <w:tcPr>
            <w:tcW w:w="1710" w:type="dxa"/>
          </w:tcPr>
          <w:p w14:paraId="7E25BDAD" w14:textId="5C03A176" w:rsidR="004F2810" w:rsidRPr="00E74795" w:rsidRDefault="00262FED" w:rsidP="007149CF">
            <w:pPr>
              <w:tabs>
                <w:tab w:val="decimal" w:pos="1320"/>
              </w:tabs>
              <w:rPr>
                <w:snapToGrid w:val="0"/>
                <w:color w:val="000000"/>
              </w:rPr>
            </w:pPr>
            <w:r>
              <w:rPr>
                <w:snapToGrid w:val="0"/>
                <w:color w:val="000000"/>
              </w:rPr>
              <w:t>170,537</w:t>
            </w:r>
          </w:p>
        </w:tc>
        <w:tc>
          <w:tcPr>
            <w:tcW w:w="270" w:type="dxa"/>
          </w:tcPr>
          <w:p w14:paraId="08EA7EC0" w14:textId="77777777" w:rsidR="004F2810" w:rsidRPr="00E74795" w:rsidRDefault="004F2810" w:rsidP="007149CF">
            <w:pPr>
              <w:jc w:val="right"/>
              <w:rPr>
                <w:snapToGrid w:val="0"/>
                <w:color w:val="000000"/>
              </w:rPr>
            </w:pPr>
          </w:p>
        </w:tc>
        <w:tc>
          <w:tcPr>
            <w:tcW w:w="1890" w:type="dxa"/>
          </w:tcPr>
          <w:p w14:paraId="270D4A9E" w14:textId="77777777" w:rsidR="004F2810" w:rsidRPr="00E74795" w:rsidRDefault="004F2810" w:rsidP="007149CF">
            <w:pPr>
              <w:tabs>
                <w:tab w:val="decimal" w:pos="1500"/>
              </w:tabs>
              <w:rPr>
                <w:snapToGrid w:val="0"/>
                <w:color w:val="000000"/>
              </w:rPr>
            </w:pPr>
            <w:r>
              <w:rPr>
                <w:snapToGrid w:val="0"/>
                <w:color w:val="000000"/>
              </w:rPr>
              <w:t>209,689</w:t>
            </w:r>
          </w:p>
        </w:tc>
      </w:tr>
      <w:tr w:rsidR="004F2810" w:rsidRPr="00EB7BF0" w14:paraId="1CD7EF8E" w14:textId="77777777" w:rsidTr="007149CF">
        <w:trPr>
          <w:trHeight w:hRule="exact" w:val="230"/>
        </w:trPr>
        <w:tc>
          <w:tcPr>
            <w:tcW w:w="6120" w:type="dxa"/>
            <w:gridSpan w:val="3"/>
          </w:tcPr>
          <w:p w14:paraId="0EFDE2CC" w14:textId="77777777" w:rsidR="004F2810" w:rsidRPr="00E74795" w:rsidRDefault="004F2810" w:rsidP="007149CF">
            <w:pPr>
              <w:rPr>
                <w:snapToGrid w:val="0"/>
                <w:color w:val="000000"/>
              </w:rPr>
            </w:pPr>
            <w:r>
              <w:rPr>
                <w:snapToGrid w:val="0"/>
                <w:color w:val="000000"/>
              </w:rPr>
              <w:t>Other assets</w:t>
            </w:r>
          </w:p>
        </w:tc>
        <w:tc>
          <w:tcPr>
            <w:tcW w:w="90" w:type="dxa"/>
          </w:tcPr>
          <w:p w14:paraId="3CF2668E" w14:textId="77777777" w:rsidR="004F2810" w:rsidRPr="00E74795" w:rsidRDefault="004F2810" w:rsidP="007149CF">
            <w:pPr>
              <w:jc w:val="right"/>
              <w:rPr>
                <w:snapToGrid w:val="0"/>
                <w:color w:val="000000"/>
              </w:rPr>
            </w:pPr>
          </w:p>
        </w:tc>
        <w:tc>
          <w:tcPr>
            <w:tcW w:w="1710" w:type="dxa"/>
          </w:tcPr>
          <w:p w14:paraId="3A552323" w14:textId="752CA905" w:rsidR="004F2810" w:rsidRPr="00E74795" w:rsidRDefault="00262FED" w:rsidP="007149CF">
            <w:pPr>
              <w:tabs>
                <w:tab w:val="decimal" w:pos="1320"/>
              </w:tabs>
              <w:rPr>
                <w:snapToGrid w:val="0"/>
                <w:color w:val="000000"/>
              </w:rPr>
            </w:pPr>
            <w:r>
              <w:rPr>
                <w:snapToGrid w:val="0"/>
                <w:color w:val="000000"/>
              </w:rPr>
              <w:t>81,010</w:t>
            </w:r>
          </w:p>
        </w:tc>
        <w:tc>
          <w:tcPr>
            <w:tcW w:w="270" w:type="dxa"/>
          </w:tcPr>
          <w:p w14:paraId="6F31CF7A" w14:textId="77777777" w:rsidR="004F2810" w:rsidRPr="00E74795" w:rsidRDefault="004F2810" w:rsidP="007149CF">
            <w:pPr>
              <w:jc w:val="right"/>
              <w:rPr>
                <w:snapToGrid w:val="0"/>
                <w:color w:val="000000"/>
              </w:rPr>
            </w:pPr>
          </w:p>
        </w:tc>
        <w:tc>
          <w:tcPr>
            <w:tcW w:w="1890" w:type="dxa"/>
          </w:tcPr>
          <w:p w14:paraId="64F16C63" w14:textId="77777777" w:rsidR="004F2810" w:rsidRPr="00E74795" w:rsidRDefault="004F2810" w:rsidP="007149CF">
            <w:pPr>
              <w:tabs>
                <w:tab w:val="decimal" w:pos="1500"/>
              </w:tabs>
              <w:rPr>
                <w:snapToGrid w:val="0"/>
                <w:color w:val="000000"/>
              </w:rPr>
            </w:pPr>
            <w:r>
              <w:rPr>
                <w:snapToGrid w:val="0"/>
                <w:color w:val="000000"/>
              </w:rPr>
              <w:t>1,187,788</w:t>
            </w:r>
          </w:p>
        </w:tc>
      </w:tr>
      <w:tr w:rsidR="004F2810" w:rsidRPr="00EB7BF0" w14:paraId="6F8EC2DE" w14:textId="77777777" w:rsidTr="007149CF">
        <w:trPr>
          <w:trHeight w:hRule="exact" w:val="230"/>
        </w:trPr>
        <w:tc>
          <w:tcPr>
            <w:tcW w:w="305" w:type="dxa"/>
          </w:tcPr>
          <w:p w14:paraId="230DC90B" w14:textId="77777777" w:rsidR="004F2810" w:rsidRPr="00EB7BF0" w:rsidRDefault="004F2810" w:rsidP="007149CF">
            <w:pPr>
              <w:jc w:val="right"/>
              <w:rPr>
                <w:snapToGrid w:val="0"/>
                <w:color w:val="000000"/>
              </w:rPr>
            </w:pPr>
          </w:p>
        </w:tc>
        <w:tc>
          <w:tcPr>
            <w:tcW w:w="302" w:type="dxa"/>
          </w:tcPr>
          <w:p w14:paraId="62E67626" w14:textId="77777777" w:rsidR="004F2810" w:rsidRPr="00EB7BF0" w:rsidRDefault="004F2810" w:rsidP="007149CF">
            <w:pPr>
              <w:jc w:val="right"/>
              <w:rPr>
                <w:snapToGrid w:val="0"/>
                <w:color w:val="000000"/>
              </w:rPr>
            </w:pPr>
          </w:p>
        </w:tc>
        <w:tc>
          <w:tcPr>
            <w:tcW w:w="5513" w:type="dxa"/>
          </w:tcPr>
          <w:p w14:paraId="3E4F70C3" w14:textId="77777777" w:rsidR="004F2810" w:rsidRPr="00E74795" w:rsidRDefault="004F2810" w:rsidP="007149CF">
            <w:pPr>
              <w:jc w:val="right"/>
              <w:rPr>
                <w:snapToGrid w:val="0"/>
                <w:color w:val="000000"/>
              </w:rPr>
            </w:pPr>
          </w:p>
        </w:tc>
        <w:tc>
          <w:tcPr>
            <w:tcW w:w="90" w:type="dxa"/>
          </w:tcPr>
          <w:p w14:paraId="08A5C455" w14:textId="77777777" w:rsidR="004F2810" w:rsidRPr="00E74795" w:rsidRDefault="004F2810" w:rsidP="007149CF">
            <w:pPr>
              <w:jc w:val="right"/>
              <w:rPr>
                <w:snapToGrid w:val="0"/>
                <w:color w:val="000000"/>
              </w:rPr>
            </w:pPr>
          </w:p>
        </w:tc>
        <w:tc>
          <w:tcPr>
            <w:tcW w:w="1710" w:type="dxa"/>
            <w:tcBorders>
              <w:top w:val="single" w:sz="6" w:space="0" w:color="auto"/>
            </w:tcBorders>
          </w:tcPr>
          <w:p w14:paraId="5A699C09" w14:textId="77777777" w:rsidR="004F2810" w:rsidRPr="00E74795" w:rsidRDefault="004F2810" w:rsidP="007149CF">
            <w:pPr>
              <w:tabs>
                <w:tab w:val="decimal" w:pos="1320"/>
              </w:tabs>
              <w:rPr>
                <w:snapToGrid w:val="0"/>
                <w:color w:val="000000"/>
              </w:rPr>
            </w:pPr>
          </w:p>
        </w:tc>
        <w:tc>
          <w:tcPr>
            <w:tcW w:w="270" w:type="dxa"/>
          </w:tcPr>
          <w:p w14:paraId="2093F716" w14:textId="77777777" w:rsidR="004F2810" w:rsidRPr="00E74795" w:rsidRDefault="004F2810" w:rsidP="007149CF">
            <w:pPr>
              <w:jc w:val="right"/>
              <w:rPr>
                <w:snapToGrid w:val="0"/>
                <w:color w:val="000000"/>
              </w:rPr>
            </w:pPr>
          </w:p>
        </w:tc>
        <w:tc>
          <w:tcPr>
            <w:tcW w:w="1890" w:type="dxa"/>
            <w:tcBorders>
              <w:top w:val="single" w:sz="6" w:space="0" w:color="auto"/>
            </w:tcBorders>
          </w:tcPr>
          <w:p w14:paraId="677ADD75" w14:textId="77777777" w:rsidR="004F2810" w:rsidRPr="00E74795" w:rsidRDefault="004F2810" w:rsidP="007149CF">
            <w:pPr>
              <w:tabs>
                <w:tab w:val="decimal" w:pos="1195"/>
              </w:tabs>
              <w:rPr>
                <w:snapToGrid w:val="0"/>
                <w:color w:val="000000"/>
              </w:rPr>
            </w:pPr>
          </w:p>
        </w:tc>
      </w:tr>
      <w:tr w:rsidR="004F2810" w:rsidRPr="00EB7BF0" w14:paraId="1824F457" w14:textId="77777777" w:rsidTr="007149CF">
        <w:trPr>
          <w:trHeight w:hRule="exact" w:val="230"/>
        </w:trPr>
        <w:tc>
          <w:tcPr>
            <w:tcW w:w="6120" w:type="dxa"/>
            <w:gridSpan w:val="3"/>
          </w:tcPr>
          <w:p w14:paraId="52D6B808" w14:textId="77777777" w:rsidR="004F2810" w:rsidRPr="00E74795" w:rsidRDefault="004F2810" w:rsidP="007149CF">
            <w:pPr>
              <w:rPr>
                <w:snapToGrid w:val="0"/>
                <w:color w:val="000000"/>
              </w:rPr>
            </w:pPr>
            <w:r w:rsidRPr="00374FE3">
              <w:rPr>
                <w:snapToGrid w:val="0"/>
                <w:color w:val="000000"/>
              </w:rPr>
              <w:t>Total assets</w:t>
            </w:r>
          </w:p>
        </w:tc>
        <w:tc>
          <w:tcPr>
            <w:tcW w:w="90" w:type="dxa"/>
          </w:tcPr>
          <w:p w14:paraId="125EEEA4" w14:textId="77777777" w:rsidR="004F2810" w:rsidRPr="00E74795" w:rsidRDefault="004F2810" w:rsidP="007149CF">
            <w:pPr>
              <w:jc w:val="right"/>
              <w:rPr>
                <w:snapToGrid w:val="0"/>
                <w:color w:val="000000"/>
              </w:rPr>
            </w:pPr>
          </w:p>
        </w:tc>
        <w:tc>
          <w:tcPr>
            <w:tcW w:w="1710" w:type="dxa"/>
            <w:tcBorders>
              <w:bottom w:val="double" w:sz="6" w:space="0" w:color="auto"/>
            </w:tcBorders>
          </w:tcPr>
          <w:p w14:paraId="5EF5B3FC" w14:textId="483C2A41"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62FED">
              <w:rPr>
                <w:snapToGrid w:val="0"/>
                <w:color w:val="000000"/>
              </w:rPr>
              <w:t>4,095,070</w:t>
            </w:r>
          </w:p>
        </w:tc>
        <w:tc>
          <w:tcPr>
            <w:tcW w:w="270" w:type="dxa"/>
          </w:tcPr>
          <w:p w14:paraId="1306C369" w14:textId="77777777" w:rsidR="004F2810" w:rsidRPr="00E74795" w:rsidRDefault="004F2810" w:rsidP="007149CF">
            <w:pPr>
              <w:jc w:val="right"/>
              <w:rPr>
                <w:snapToGrid w:val="0"/>
                <w:color w:val="000000"/>
              </w:rPr>
            </w:pPr>
          </w:p>
        </w:tc>
        <w:tc>
          <w:tcPr>
            <w:tcW w:w="1890" w:type="dxa"/>
            <w:tcBorders>
              <w:bottom w:val="double" w:sz="6" w:space="0" w:color="auto"/>
            </w:tcBorders>
          </w:tcPr>
          <w:p w14:paraId="0583461A" w14:textId="77777777" w:rsidR="004F2810" w:rsidRPr="00E74795" w:rsidRDefault="004F2810" w:rsidP="007149CF">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9,283,219</w:t>
            </w:r>
          </w:p>
        </w:tc>
      </w:tr>
      <w:tr w:rsidR="004F2810" w:rsidRPr="00EB7BF0" w14:paraId="3D38A0FC" w14:textId="77777777" w:rsidTr="007149CF">
        <w:trPr>
          <w:trHeight w:hRule="exact" w:val="230"/>
        </w:trPr>
        <w:tc>
          <w:tcPr>
            <w:tcW w:w="305" w:type="dxa"/>
          </w:tcPr>
          <w:p w14:paraId="5CBE7D7A" w14:textId="77777777" w:rsidR="004F2810" w:rsidRPr="00EB7BF0" w:rsidRDefault="004F2810" w:rsidP="007149CF">
            <w:pPr>
              <w:jc w:val="right"/>
              <w:rPr>
                <w:snapToGrid w:val="0"/>
                <w:color w:val="000000"/>
              </w:rPr>
            </w:pPr>
          </w:p>
        </w:tc>
        <w:tc>
          <w:tcPr>
            <w:tcW w:w="302" w:type="dxa"/>
          </w:tcPr>
          <w:p w14:paraId="12E0A34A" w14:textId="77777777" w:rsidR="004F2810" w:rsidRPr="00EB7BF0" w:rsidRDefault="004F2810" w:rsidP="007149CF">
            <w:pPr>
              <w:jc w:val="right"/>
              <w:rPr>
                <w:snapToGrid w:val="0"/>
                <w:color w:val="000000"/>
              </w:rPr>
            </w:pPr>
          </w:p>
        </w:tc>
        <w:tc>
          <w:tcPr>
            <w:tcW w:w="5513" w:type="dxa"/>
          </w:tcPr>
          <w:p w14:paraId="4EE50BEC" w14:textId="77777777" w:rsidR="004F2810" w:rsidRPr="00E74795" w:rsidRDefault="004F2810" w:rsidP="007149CF">
            <w:pPr>
              <w:jc w:val="right"/>
              <w:rPr>
                <w:snapToGrid w:val="0"/>
                <w:color w:val="000000"/>
              </w:rPr>
            </w:pPr>
          </w:p>
        </w:tc>
        <w:tc>
          <w:tcPr>
            <w:tcW w:w="90" w:type="dxa"/>
          </w:tcPr>
          <w:p w14:paraId="440745DC" w14:textId="77777777" w:rsidR="004F2810" w:rsidRPr="00E74795" w:rsidRDefault="004F2810" w:rsidP="007149CF">
            <w:pPr>
              <w:jc w:val="right"/>
              <w:rPr>
                <w:snapToGrid w:val="0"/>
                <w:color w:val="000000"/>
              </w:rPr>
            </w:pPr>
          </w:p>
        </w:tc>
        <w:tc>
          <w:tcPr>
            <w:tcW w:w="1710" w:type="dxa"/>
          </w:tcPr>
          <w:p w14:paraId="660FDCB1" w14:textId="77777777" w:rsidR="004F2810" w:rsidRPr="00E74795" w:rsidRDefault="004F2810" w:rsidP="007149CF">
            <w:pPr>
              <w:tabs>
                <w:tab w:val="decimal" w:pos="1195"/>
              </w:tabs>
              <w:jc w:val="right"/>
              <w:rPr>
                <w:snapToGrid w:val="0"/>
                <w:color w:val="000000"/>
              </w:rPr>
            </w:pPr>
          </w:p>
        </w:tc>
        <w:tc>
          <w:tcPr>
            <w:tcW w:w="270" w:type="dxa"/>
          </w:tcPr>
          <w:p w14:paraId="09924EFE" w14:textId="77777777" w:rsidR="004F2810" w:rsidRPr="00E74795" w:rsidRDefault="004F2810" w:rsidP="007149CF">
            <w:pPr>
              <w:jc w:val="right"/>
              <w:rPr>
                <w:snapToGrid w:val="0"/>
                <w:color w:val="000000"/>
              </w:rPr>
            </w:pPr>
          </w:p>
        </w:tc>
        <w:tc>
          <w:tcPr>
            <w:tcW w:w="1890" w:type="dxa"/>
          </w:tcPr>
          <w:p w14:paraId="4CED0DD6" w14:textId="77777777" w:rsidR="004F2810" w:rsidRPr="00E74795" w:rsidRDefault="004F2810" w:rsidP="007149CF">
            <w:pPr>
              <w:tabs>
                <w:tab w:val="decimal" w:pos="1195"/>
              </w:tabs>
              <w:jc w:val="right"/>
              <w:rPr>
                <w:snapToGrid w:val="0"/>
                <w:color w:val="000000"/>
              </w:rPr>
            </w:pPr>
          </w:p>
        </w:tc>
      </w:tr>
      <w:tr w:rsidR="004F2810" w:rsidRPr="00EB7BF0" w14:paraId="55992388" w14:textId="77777777" w:rsidTr="007149CF">
        <w:trPr>
          <w:trHeight w:hRule="exact" w:val="230"/>
        </w:trPr>
        <w:tc>
          <w:tcPr>
            <w:tcW w:w="6120" w:type="dxa"/>
            <w:gridSpan w:val="3"/>
          </w:tcPr>
          <w:p w14:paraId="4084C002" w14:textId="4B603960" w:rsidR="004F2810" w:rsidRPr="00E74795" w:rsidRDefault="004F2810" w:rsidP="007149CF">
            <w:pPr>
              <w:rPr>
                <w:snapToGrid w:val="0"/>
                <w:color w:val="000000"/>
              </w:rPr>
            </w:pPr>
            <w:r w:rsidRPr="00374FE3">
              <w:rPr>
                <w:snapToGrid w:val="0"/>
                <w:color w:val="000000"/>
              </w:rPr>
              <w:t>LIABILITIES AND STOCKHOLDERS’ EQUIT</w:t>
            </w:r>
            <w:r>
              <w:rPr>
                <w:snapToGrid w:val="0"/>
                <w:color w:val="000000"/>
              </w:rPr>
              <w:t>Y</w:t>
            </w:r>
            <w:r w:rsidR="005F1378">
              <w:rPr>
                <w:snapToGrid w:val="0"/>
                <w:color w:val="000000"/>
              </w:rPr>
              <w:t xml:space="preserve"> (DEFICIT)</w:t>
            </w:r>
          </w:p>
        </w:tc>
        <w:tc>
          <w:tcPr>
            <w:tcW w:w="90" w:type="dxa"/>
          </w:tcPr>
          <w:p w14:paraId="3FC6EC1C" w14:textId="77777777" w:rsidR="004F2810" w:rsidRPr="00E74795" w:rsidRDefault="004F2810" w:rsidP="007149CF">
            <w:pPr>
              <w:jc w:val="right"/>
              <w:rPr>
                <w:snapToGrid w:val="0"/>
                <w:color w:val="000000"/>
              </w:rPr>
            </w:pPr>
          </w:p>
        </w:tc>
        <w:tc>
          <w:tcPr>
            <w:tcW w:w="1710" w:type="dxa"/>
          </w:tcPr>
          <w:p w14:paraId="4D5CD0C7" w14:textId="77777777" w:rsidR="004F2810" w:rsidRPr="00E74795" w:rsidRDefault="004F2810" w:rsidP="007149CF">
            <w:pPr>
              <w:tabs>
                <w:tab w:val="decimal" w:pos="1195"/>
              </w:tabs>
              <w:jc w:val="right"/>
              <w:rPr>
                <w:snapToGrid w:val="0"/>
                <w:color w:val="000000"/>
              </w:rPr>
            </w:pPr>
          </w:p>
        </w:tc>
        <w:tc>
          <w:tcPr>
            <w:tcW w:w="270" w:type="dxa"/>
          </w:tcPr>
          <w:p w14:paraId="7CC23DA1" w14:textId="77777777" w:rsidR="004F2810" w:rsidRPr="00E74795" w:rsidRDefault="004F2810" w:rsidP="007149CF">
            <w:pPr>
              <w:jc w:val="right"/>
              <w:rPr>
                <w:snapToGrid w:val="0"/>
                <w:color w:val="000000"/>
              </w:rPr>
            </w:pPr>
          </w:p>
        </w:tc>
        <w:tc>
          <w:tcPr>
            <w:tcW w:w="1890" w:type="dxa"/>
          </w:tcPr>
          <w:p w14:paraId="42C33370" w14:textId="77777777" w:rsidR="004F2810" w:rsidRPr="00E74795" w:rsidRDefault="004F2810" w:rsidP="007149CF">
            <w:pPr>
              <w:tabs>
                <w:tab w:val="decimal" w:pos="1195"/>
              </w:tabs>
              <w:jc w:val="right"/>
              <w:rPr>
                <w:snapToGrid w:val="0"/>
                <w:color w:val="000000"/>
              </w:rPr>
            </w:pPr>
          </w:p>
        </w:tc>
      </w:tr>
      <w:tr w:rsidR="004F2810" w:rsidRPr="00EB7BF0" w14:paraId="2D790A47" w14:textId="77777777" w:rsidTr="007149CF">
        <w:trPr>
          <w:trHeight w:hRule="exact" w:val="230"/>
        </w:trPr>
        <w:tc>
          <w:tcPr>
            <w:tcW w:w="6120" w:type="dxa"/>
            <w:gridSpan w:val="3"/>
          </w:tcPr>
          <w:p w14:paraId="6EF4FC0F" w14:textId="77777777" w:rsidR="004F2810" w:rsidRPr="00E74795" w:rsidRDefault="004F2810" w:rsidP="007149CF">
            <w:pPr>
              <w:rPr>
                <w:snapToGrid w:val="0"/>
                <w:color w:val="000000"/>
              </w:rPr>
            </w:pPr>
            <w:r w:rsidRPr="00374FE3">
              <w:rPr>
                <w:snapToGrid w:val="0"/>
                <w:color w:val="000000"/>
              </w:rPr>
              <w:t>Current liabilities:</w:t>
            </w:r>
          </w:p>
        </w:tc>
        <w:tc>
          <w:tcPr>
            <w:tcW w:w="90" w:type="dxa"/>
          </w:tcPr>
          <w:p w14:paraId="4776BB9E" w14:textId="77777777" w:rsidR="004F2810" w:rsidRPr="00E74795" w:rsidRDefault="004F2810" w:rsidP="007149CF">
            <w:pPr>
              <w:jc w:val="right"/>
              <w:rPr>
                <w:snapToGrid w:val="0"/>
                <w:color w:val="000000"/>
              </w:rPr>
            </w:pPr>
          </w:p>
        </w:tc>
        <w:tc>
          <w:tcPr>
            <w:tcW w:w="1710" w:type="dxa"/>
          </w:tcPr>
          <w:p w14:paraId="31087317" w14:textId="77777777" w:rsidR="004F2810" w:rsidRPr="00E74795" w:rsidRDefault="004F2810" w:rsidP="007149CF">
            <w:pPr>
              <w:tabs>
                <w:tab w:val="decimal" w:pos="1195"/>
              </w:tabs>
              <w:jc w:val="right"/>
              <w:rPr>
                <w:snapToGrid w:val="0"/>
                <w:color w:val="000000"/>
              </w:rPr>
            </w:pPr>
          </w:p>
        </w:tc>
        <w:tc>
          <w:tcPr>
            <w:tcW w:w="270" w:type="dxa"/>
          </w:tcPr>
          <w:p w14:paraId="2C341944" w14:textId="77777777" w:rsidR="004F2810" w:rsidRPr="00E74795" w:rsidRDefault="004F2810" w:rsidP="007149CF">
            <w:pPr>
              <w:jc w:val="right"/>
              <w:rPr>
                <w:snapToGrid w:val="0"/>
                <w:color w:val="000000"/>
              </w:rPr>
            </w:pPr>
          </w:p>
        </w:tc>
        <w:tc>
          <w:tcPr>
            <w:tcW w:w="1890" w:type="dxa"/>
          </w:tcPr>
          <w:p w14:paraId="65BA0C5C" w14:textId="77777777" w:rsidR="004F2810" w:rsidRPr="00E74795" w:rsidRDefault="004F2810" w:rsidP="007149CF">
            <w:pPr>
              <w:tabs>
                <w:tab w:val="decimal" w:pos="1195"/>
              </w:tabs>
              <w:jc w:val="right"/>
              <w:rPr>
                <w:snapToGrid w:val="0"/>
                <w:color w:val="000000"/>
              </w:rPr>
            </w:pPr>
          </w:p>
        </w:tc>
      </w:tr>
      <w:tr w:rsidR="004F2810" w:rsidRPr="00EB7BF0" w14:paraId="656F66CD" w14:textId="77777777" w:rsidTr="007149CF">
        <w:trPr>
          <w:trHeight w:hRule="exact" w:val="230"/>
        </w:trPr>
        <w:tc>
          <w:tcPr>
            <w:tcW w:w="305" w:type="dxa"/>
          </w:tcPr>
          <w:p w14:paraId="178C0C01" w14:textId="77777777" w:rsidR="004F2810" w:rsidRPr="00EB7BF0" w:rsidRDefault="004F2810" w:rsidP="007149CF">
            <w:pPr>
              <w:jc w:val="right"/>
              <w:rPr>
                <w:snapToGrid w:val="0"/>
                <w:color w:val="000000"/>
              </w:rPr>
            </w:pPr>
          </w:p>
        </w:tc>
        <w:tc>
          <w:tcPr>
            <w:tcW w:w="5815" w:type="dxa"/>
            <w:gridSpan w:val="2"/>
          </w:tcPr>
          <w:p w14:paraId="72B53D67" w14:textId="77777777" w:rsidR="004F2810" w:rsidRPr="00E74795" w:rsidRDefault="004F2810" w:rsidP="007149CF">
            <w:pPr>
              <w:rPr>
                <w:b/>
                <w:snapToGrid w:val="0"/>
                <w:color w:val="000000"/>
              </w:rPr>
            </w:pPr>
            <w:r w:rsidRPr="00374FE3">
              <w:rPr>
                <w:snapToGrid w:val="0"/>
                <w:color w:val="000000"/>
              </w:rPr>
              <w:t xml:space="preserve">Accounts payable </w:t>
            </w:r>
          </w:p>
        </w:tc>
        <w:tc>
          <w:tcPr>
            <w:tcW w:w="90" w:type="dxa"/>
          </w:tcPr>
          <w:p w14:paraId="2E019DB8" w14:textId="77777777" w:rsidR="004F2810" w:rsidRPr="00E74795" w:rsidRDefault="004F2810" w:rsidP="007149CF">
            <w:pPr>
              <w:jc w:val="right"/>
              <w:rPr>
                <w:snapToGrid w:val="0"/>
                <w:color w:val="000000"/>
              </w:rPr>
            </w:pPr>
          </w:p>
        </w:tc>
        <w:tc>
          <w:tcPr>
            <w:tcW w:w="1710" w:type="dxa"/>
          </w:tcPr>
          <w:p w14:paraId="0F0C54B8" w14:textId="0023371B"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62FED">
              <w:rPr>
                <w:snapToGrid w:val="0"/>
                <w:color w:val="000000"/>
              </w:rPr>
              <w:t>3,</w:t>
            </w:r>
            <w:r w:rsidR="006B0CFA">
              <w:rPr>
                <w:snapToGrid w:val="0"/>
                <w:color w:val="000000"/>
              </w:rPr>
              <w:t>983,696</w:t>
            </w:r>
          </w:p>
        </w:tc>
        <w:tc>
          <w:tcPr>
            <w:tcW w:w="270" w:type="dxa"/>
          </w:tcPr>
          <w:p w14:paraId="671AC526" w14:textId="77777777" w:rsidR="004F2810" w:rsidRPr="00E74795" w:rsidRDefault="004F2810" w:rsidP="007149CF">
            <w:pPr>
              <w:jc w:val="right"/>
              <w:rPr>
                <w:snapToGrid w:val="0"/>
                <w:color w:val="000000"/>
              </w:rPr>
            </w:pPr>
          </w:p>
        </w:tc>
        <w:tc>
          <w:tcPr>
            <w:tcW w:w="1890" w:type="dxa"/>
          </w:tcPr>
          <w:p w14:paraId="090A2663" w14:textId="77777777" w:rsidR="004F2810" w:rsidRPr="00E74795" w:rsidRDefault="004F2810" w:rsidP="007149CF">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2,802,950</w:t>
            </w:r>
          </w:p>
        </w:tc>
      </w:tr>
      <w:tr w:rsidR="00262FED" w:rsidRPr="00EB7BF0" w14:paraId="788E1C44" w14:textId="77777777" w:rsidTr="007149CF">
        <w:trPr>
          <w:trHeight w:hRule="exact" w:val="230"/>
        </w:trPr>
        <w:tc>
          <w:tcPr>
            <w:tcW w:w="305" w:type="dxa"/>
          </w:tcPr>
          <w:p w14:paraId="2611A4B1" w14:textId="77777777" w:rsidR="00262FED" w:rsidRPr="00EB7BF0" w:rsidRDefault="00262FED" w:rsidP="007149CF">
            <w:pPr>
              <w:jc w:val="right"/>
              <w:rPr>
                <w:snapToGrid w:val="0"/>
                <w:color w:val="000000"/>
              </w:rPr>
            </w:pPr>
          </w:p>
        </w:tc>
        <w:tc>
          <w:tcPr>
            <w:tcW w:w="5815" w:type="dxa"/>
            <w:gridSpan w:val="2"/>
          </w:tcPr>
          <w:p w14:paraId="0DE7E695" w14:textId="37C45985" w:rsidR="00262FED" w:rsidRPr="00374FE3" w:rsidRDefault="00262FED" w:rsidP="007149CF">
            <w:pPr>
              <w:rPr>
                <w:snapToGrid w:val="0"/>
                <w:color w:val="000000"/>
              </w:rPr>
            </w:pPr>
            <w:r>
              <w:rPr>
                <w:snapToGrid w:val="0"/>
                <w:color w:val="000000"/>
              </w:rPr>
              <w:t>Notes payable and accrued interest – related parties</w:t>
            </w:r>
          </w:p>
        </w:tc>
        <w:tc>
          <w:tcPr>
            <w:tcW w:w="90" w:type="dxa"/>
          </w:tcPr>
          <w:p w14:paraId="14859229" w14:textId="77777777" w:rsidR="00262FED" w:rsidRPr="00E74795" w:rsidRDefault="00262FED" w:rsidP="007149CF">
            <w:pPr>
              <w:jc w:val="right"/>
              <w:rPr>
                <w:snapToGrid w:val="0"/>
                <w:color w:val="000000"/>
              </w:rPr>
            </w:pPr>
          </w:p>
        </w:tc>
        <w:tc>
          <w:tcPr>
            <w:tcW w:w="1710" w:type="dxa"/>
          </w:tcPr>
          <w:p w14:paraId="6344F2ED" w14:textId="464FE6E4" w:rsidR="00262FED" w:rsidRPr="00374FE3" w:rsidRDefault="00262FED" w:rsidP="00262FED">
            <w:pPr>
              <w:tabs>
                <w:tab w:val="decimal" w:pos="1320"/>
              </w:tabs>
              <w:rPr>
                <w:snapToGrid w:val="0"/>
                <w:color w:val="000000"/>
              </w:rPr>
            </w:pPr>
            <w:r>
              <w:rPr>
                <w:snapToGrid w:val="0"/>
                <w:color w:val="000000"/>
              </w:rPr>
              <w:t>14</w:t>
            </w:r>
            <w:r w:rsidR="006B0CFA">
              <w:rPr>
                <w:snapToGrid w:val="0"/>
                <w:color w:val="000000"/>
              </w:rPr>
              <w:t>2,292</w:t>
            </w:r>
          </w:p>
        </w:tc>
        <w:tc>
          <w:tcPr>
            <w:tcW w:w="270" w:type="dxa"/>
          </w:tcPr>
          <w:p w14:paraId="67286B9A" w14:textId="77777777" w:rsidR="00262FED" w:rsidRPr="00E74795" w:rsidRDefault="00262FED" w:rsidP="007149CF">
            <w:pPr>
              <w:jc w:val="right"/>
              <w:rPr>
                <w:snapToGrid w:val="0"/>
                <w:color w:val="000000"/>
              </w:rPr>
            </w:pPr>
          </w:p>
        </w:tc>
        <w:tc>
          <w:tcPr>
            <w:tcW w:w="1890" w:type="dxa"/>
          </w:tcPr>
          <w:p w14:paraId="14B4D64E" w14:textId="15BBA569" w:rsidR="00262FED" w:rsidRPr="00E74795" w:rsidRDefault="00262FED" w:rsidP="00262FED">
            <w:pPr>
              <w:tabs>
                <w:tab w:val="decimal" w:pos="1500"/>
              </w:tabs>
              <w:rPr>
                <w:snapToGrid w:val="0"/>
                <w:color w:val="000000"/>
              </w:rPr>
            </w:pPr>
            <w:r>
              <w:rPr>
                <w:snapToGrid w:val="0"/>
                <w:color w:val="000000"/>
              </w:rPr>
              <w:t>-</w:t>
            </w:r>
          </w:p>
        </w:tc>
      </w:tr>
      <w:tr w:rsidR="004F2810" w:rsidRPr="00EB7BF0" w14:paraId="05A9B0EE" w14:textId="77777777" w:rsidTr="007149CF">
        <w:trPr>
          <w:trHeight w:hRule="exact" w:val="230"/>
        </w:trPr>
        <w:tc>
          <w:tcPr>
            <w:tcW w:w="305" w:type="dxa"/>
          </w:tcPr>
          <w:p w14:paraId="7DC7A135" w14:textId="77777777" w:rsidR="004F2810" w:rsidRPr="00EB7BF0" w:rsidRDefault="004F2810" w:rsidP="007149CF">
            <w:pPr>
              <w:jc w:val="right"/>
              <w:rPr>
                <w:snapToGrid w:val="0"/>
                <w:color w:val="000000"/>
              </w:rPr>
            </w:pPr>
          </w:p>
        </w:tc>
        <w:tc>
          <w:tcPr>
            <w:tcW w:w="5815" w:type="dxa"/>
            <w:gridSpan w:val="2"/>
          </w:tcPr>
          <w:p w14:paraId="6E806D2E" w14:textId="77777777" w:rsidR="004F2810" w:rsidRPr="00A967B3" w:rsidRDefault="004F2810" w:rsidP="007149CF">
            <w:pPr>
              <w:rPr>
                <w:snapToGrid w:val="0"/>
                <w:color w:val="000000"/>
              </w:rPr>
            </w:pPr>
            <w:r w:rsidRPr="00A967B3">
              <w:rPr>
                <w:snapToGrid w:val="0"/>
                <w:color w:val="000000"/>
              </w:rPr>
              <w:t>Accrued expenses</w:t>
            </w:r>
          </w:p>
        </w:tc>
        <w:tc>
          <w:tcPr>
            <w:tcW w:w="90" w:type="dxa"/>
          </w:tcPr>
          <w:p w14:paraId="4FE97286" w14:textId="77777777" w:rsidR="004F2810" w:rsidRPr="00A967B3" w:rsidRDefault="004F2810" w:rsidP="007149CF">
            <w:pPr>
              <w:jc w:val="right"/>
              <w:rPr>
                <w:snapToGrid w:val="0"/>
                <w:color w:val="000000"/>
              </w:rPr>
            </w:pPr>
          </w:p>
        </w:tc>
        <w:tc>
          <w:tcPr>
            <w:tcW w:w="1710" w:type="dxa"/>
          </w:tcPr>
          <w:p w14:paraId="49DB5F69" w14:textId="3B1D3744" w:rsidR="004F2810" w:rsidRPr="00A967B3" w:rsidRDefault="00262FED" w:rsidP="007149CF">
            <w:pPr>
              <w:tabs>
                <w:tab w:val="decimal" w:pos="1320"/>
              </w:tabs>
              <w:rPr>
                <w:snapToGrid w:val="0"/>
                <w:color w:val="000000"/>
              </w:rPr>
            </w:pPr>
            <w:r>
              <w:rPr>
                <w:snapToGrid w:val="0"/>
                <w:color w:val="000000"/>
              </w:rPr>
              <w:t>2,278,30</w:t>
            </w:r>
            <w:r w:rsidR="005F1378">
              <w:rPr>
                <w:snapToGrid w:val="0"/>
                <w:color w:val="000000"/>
              </w:rPr>
              <w:t>8</w:t>
            </w:r>
          </w:p>
        </w:tc>
        <w:tc>
          <w:tcPr>
            <w:tcW w:w="270" w:type="dxa"/>
          </w:tcPr>
          <w:p w14:paraId="7FE82C16" w14:textId="77777777" w:rsidR="004F2810" w:rsidRPr="00A967B3" w:rsidRDefault="004F2810" w:rsidP="007149CF">
            <w:pPr>
              <w:jc w:val="right"/>
              <w:rPr>
                <w:snapToGrid w:val="0"/>
                <w:color w:val="000000"/>
              </w:rPr>
            </w:pPr>
          </w:p>
        </w:tc>
        <w:tc>
          <w:tcPr>
            <w:tcW w:w="1890" w:type="dxa"/>
          </w:tcPr>
          <w:p w14:paraId="08F04C3F" w14:textId="77777777" w:rsidR="004F2810" w:rsidRPr="00E74795" w:rsidRDefault="004F2810" w:rsidP="007149CF">
            <w:pPr>
              <w:tabs>
                <w:tab w:val="decimal" w:pos="1500"/>
              </w:tabs>
              <w:rPr>
                <w:snapToGrid w:val="0"/>
                <w:color w:val="000000"/>
              </w:rPr>
            </w:pPr>
            <w:r>
              <w:rPr>
                <w:snapToGrid w:val="0"/>
                <w:color w:val="000000"/>
              </w:rPr>
              <w:t>716,931</w:t>
            </w:r>
          </w:p>
        </w:tc>
      </w:tr>
      <w:tr w:rsidR="004F2810" w:rsidRPr="00EB7BF0" w14:paraId="2750C183" w14:textId="77777777" w:rsidTr="007149CF">
        <w:trPr>
          <w:trHeight w:hRule="exact" w:val="230"/>
        </w:trPr>
        <w:tc>
          <w:tcPr>
            <w:tcW w:w="6120" w:type="dxa"/>
            <w:gridSpan w:val="3"/>
          </w:tcPr>
          <w:p w14:paraId="59F55C19" w14:textId="77777777" w:rsidR="004F2810" w:rsidRPr="00E74795" w:rsidRDefault="004F2810" w:rsidP="007149CF">
            <w:pPr>
              <w:rPr>
                <w:snapToGrid w:val="0"/>
                <w:color w:val="000000"/>
              </w:rPr>
            </w:pPr>
            <w:r w:rsidRPr="00374FE3">
              <w:rPr>
                <w:snapToGrid w:val="0"/>
                <w:color w:val="000000"/>
              </w:rPr>
              <w:t>Total current liabilities</w:t>
            </w:r>
          </w:p>
        </w:tc>
        <w:tc>
          <w:tcPr>
            <w:tcW w:w="90" w:type="dxa"/>
          </w:tcPr>
          <w:p w14:paraId="34DB096B" w14:textId="77777777" w:rsidR="004F2810" w:rsidRPr="00E74795" w:rsidRDefault="004F2810" w:rsidP="007149CF">
            <w:pPr>
              <w:jc w:val="right"/>
              <w:rPr>
                <w:snapToGrid w:val="0"/>
                <w:color w:val="000000"/>
              </w:rPr>
            </w:pPr>
          </w:p>
        </w:tc>
        <w:tc>
          <w:tcPr>
            <w:tcW w:w="1710" w:type="dxa"/>
            <w:tcBorders>
              <w:top w:val="single" w:sz="4" w:space="0" w:color="auto"/>
            </w:tcBorders>
          </w:tcPr>
          <w:p w14:paraId="52051BA5" w14:textId="4D0191D2" w:rsidR="004F2810" w:rsidRPr="00E74795" w:rsidRDefault="00262FED" w:rsidP="007149CF">
            <w:pPr>
              <w:tabs>
                <w:tab w:val="decimal" w:pos="1320"/>
              </w:tabs>
              <w:rPr>
                <w:snapToGrid w:val="0"/>
                <w:color w:val="000000"/>
              </w:rPr>
            </w:pPr>
            <w:r>
              <w:rPr>
                <w:snapToGrid w:val="0"/>
                <w:color w:val="000000"/>
              </w:rPr>
              <w:t>6,</w:t>
            </w:r>
            <w:r w:rsidR="006B0CFA">
              <w:rPr>
                <w:snapToGrid w:val="0"/>
                <w:color w:val="000000"/>
              </w:rPr>
              <w:t>404,296</w:t>
            </w:r>
          </w:p>
        </w:tc>
        <w:tc>
          <w:tcPr>
            <w:tcW w:w="270" w:type="dxa"/>
          </w:tcPr>
          <w:p w14:paraId="2902779D" w14:textId="77777777" w:rsidR="004F2810" w:rsidRPr="00E74795" w:rsidRDefault="004F2810" w:rsidP="007149CF">
            <w:pPr>
              <w:jc w:val="right"/>
              <w:rPr>
                <w:snapToGrid w:val="0"/>
                <w:color w:val="000000"/>
              </w:rPr>
            </w:pPr>
          </w:p>
        </w:tc>
        <w:tc>
          <w:tcPr>
            <w:tcW w:w="1890" w:type="dxa"/>
            <w:tcBorders>
              <w:top w:val="single" w:sz="4" w:space="0" w:color="auto"/>
            </w:tcBorders>
          </w:tcPr>
          <w:p w14:paraId="5EB38060" w14:textId="77777777" w:rsidR="004F2810" w:rsidRPr="00E74795" w:rsidRDefault="004F2810" w:rsidP="007149CF">
            <w:pPr>
              <w:tabs>
                <w:tab w:val="decimal" w:pos="1500"/>
              </w:tabs>
              <w:rPr>
                <w:snapToGrid w:val="0"/>
                <w:color w:val="000000"/>
              </w:rPr>
            </w:pPr>
            <w:r>
              <w:rPr>
                <w:snapToGrid w:val="0"/>
                <w:color w:val="000000"/>
              </w:rPr>
              <w:t>3,519,881</w:t>
            </w:r>
          </w:p>
        </w:tc>
      </w:tr>
      <w:tr w:rsidR="004F2810" w:rsidRPr="00EB7BF0" w14:paraId="7F71225A" w14:textId="77777777" w:rsidTr="007149CF">
        <w:trPr>
          <w:trHeight w:hRule="exact" w:val="230"/>
        </w:trPr>
        <w:tc>
          <w:tcPr>
            <w:tcW w:w="305" w:type="dxa"/>
          </w:tcPr>
          <w:p w14:paraId="601C81E0" w14:textId="77777777" w:rsidR="004F2810" w:rsidRPr="00EB7BF0" w:rsidRDefault="004F2810" w:rsidP="007149CF">
            <w:pPr>
              <w:jc w:val="right"/>
              <w:rPr>
                <w:snapToGrid w:val="0"/>
                <w:color w:val="000000"/>
              </w:rPr>
            </w:pPr>
          </w:p>
        </w:tc>
        <w:tc>
          <w:tcPr>
            <w:tcW w:w="302" w:type="dxa"/>
          </w:tcPr>
          <w:p w14:paraId="40AF4C8F" w14:textId="77777777" w:rsidR="004F2810" w:rsidRPr="00EB7BF0" w:rsidRDefault="004F2810" w:rsidP="007149CF">
            <w:pPr>
              <w:jc w:val="right"/>
              <w:rPr>
                <w:snapToGrid w:val="0"/>
                <w:color w:val="000000"/>
              </w:rPr>
            </w:pPr>
          </w:p>
        </w:tc>
        <w:tc>
          <w:tcPr>
            <w:tcW w:w="5513" w:type="dxa"/>
          </w:tcPr>
          <w:p w14:paraId="2018F027" w14:textId="77777777" w:rsidR="004F2810" w:rsidRPr="00E74795" w:rsidRDefault="004F2810" w:rsidP="007149CF">
            <w:pPr>
              <w:rPr>
                <w:snapToGrid w:val="0"/>
                <w:color w:val="000000"/>
              </w:rPr>
            </w:pPr>
          </w:p>
        </w:tc>
        <w:tc>
          <w:tcPr>
            <w:tcW w:w="90" w:type="dxa"/>
          </w:tcPr>
          <w:p w14:paraId="77C1D8B6" w14:textId="77777777" w:rsidR="004F2810" w:rsidRPr="00E74795" w:rsidRDefault="004F2810" w:rsidP="007149CF">
            <w:pPr>
              <w:jc w:val="right"/>
              <w:rPr>
                <w:snapToGrid w:val="0"/>
                <w:color w:val="000000"/>
              </w:rPr>
            </w:pPr>
          </w:p>
        </w:tc>
        <w:tc>
          <w:tcPr>
            <w:tcW w:w="1710" w:type="dxa"/>
          </w:tcPr>
          <w:p w14:paraId="62A3C86F" w14:textId="77777777" w:rsidR="004F2810" w:rsidRPr="00E74795" w:rsidRDefault="004F2810" w:rsidP="007149CF">
            <w:pPr>
              <w:tabs>
                <w:tab w:val="decimal" w:pos="1320"/>
              </w:tabs>
              <w:rPr>
                <w:snapToGrid w:val="0"/>
                <w:color w:val="000000"/>
              </w:rPr>
            </w:pPr>
          </w:p>
        </w:tc>
        <w:tc>
          <w:tcPr>
            <w:tcW w:w="270" w:type="dxa"/>
          </w:tcPr>
          <w:p w14:paraId="404D3027" w14:textId="77777777" w:rsidR="004F2810" w:rsidRPr="00E74795" w:rsidRDefault="004F2810" w:rsidP="007149CF">
            <w:pPr>
              <w:jc w:val="right"/>
              <w:rPr>
                <w:snapToGrid w:val="0"/>
                <w:color w:val="000000"/>
              </w:rPr>
            </w:pPr>
          </w:p>
        </w:tc>
        <w:tc>
          <w:tcPr>
            <w:tcW w:w="1890" w:type="dxa"/>
          </w:tcPr>
          <w:p w14:paraId="6C3D1C3C" w14:textId="77777777" w:rsidR="004F2810" w:rsidRDefault="004F2810" w:rsidP="007149CF">
            <w:pPr>
              <w:tabs>
                <w:tab w:val="decimal" w:pos="1500"/>
              </w:tabs>
              <w:rPr>
                <w:snapToGrid w:val="0"/>
                <w:color w:val="000000"/>
              </w:rPr>
            </w:pPr>
          </w:p>
        </w:tc>
      </w:tr>
      <w:tr w:rsidR="004F2810" w:rsidRPr="00EB7BF0" w14:paraId="26C58CA4" w14:textId="77777777" w:rsidTr="007149CF">
        <w:trPr>
          <w:trHeight w:hRule="exact" w:val="230"/>
        </w:trPr>
        <w:tc>
          <w:tcPr>
            <w:tcW w:w="6120" w:type="dxa"/>
            <w:gridSpan w:val="3"/>
          </w:tcPr>
          <w:p w14:paraId="323FE0F0" w14:textId="055E6007" w:rsidR="004F2810" w:rsidRPr="00E74795" w:rsidRDefault="004F2810" w:rsidP="007149CF">
            <w:pPr>
              <w:rPr>
                <w:snapToGrid w:val="0"/>
                <w:color w:val="000000"/>
              </w:rPr>
            </w:pPr>
            <w:r w:rsidRPr="0090404A">
              <w:rPr>
                <w:snapToGrid w:val="0"/>
                <w:color w:val="000000"/>
              </w:rPr>
              <w:t xml:space="preserve">Commitments (Note </w:t>
            </w:r>
            <w:r w:rsidR="0090404A" w:rsidRPr="0090404A">
              <w:rPr>
                <w:snapToGrid w:val="0"/>
                <w:color w:val="000000"/>
              </w:rPr>
              <w:t>5</w:t>
            </w:r>
            <w:r w:rsidRPr="0090404A">
              <w:rPr>
                <w:snapToGrid w:val="0"/>
                <w:color w:val="000000"/>
              </w:rPr>
              <w:t>)</w:t>
            </w:r>
          </w:p>
        </w:tc>
        <w:tc>
          <w:tcPr>
            <w:tcW w:w="90" w:type="dxa"/>
          </w:tcPr>
          <w:p w14:paraId="57A535F8" w14:textId="77777777" w:rsidR="004F2810" w:rsidRPr="00E74795" w:rsidRDefault="004F2810" w:rsidP="007149CF">
            <w:pPr>
              <w:jc w:val="right"/>
              <w:rPr>
                <w:snapToGrid w:val="0"/>
                <w:color w:val="000000"/>
              </w:rPr>
            </w:pPr>
          </w:p>
        </w:tc>
        <w:tc>
          <w:tcPr>
            <w:tcW w:w="1710" w:type="dxa"/>
          </w:tcPr>
          <w:p w14:paraId="781462AD" w14:textId="77777777" w:rsidR="004F2810" w:rsidRPr="00E74795" w:rsidRDefault="004F2810" w:rsidP="007149CF">
            <w:pPr>
              <w:tabs>
                <w:tab w:val="decimal" w:pos="1195"/>
              </w:tabs>
              <w:jc w:val="right"/>
              <w:rPr>
                <w:snapToGrid w:val="0"/>
                <w:color w:val="000000"/>
              </w:rPr>
            </w:pPr>
          </w:p>
        </w:tc>
        <w:tc>
          <w:tcPr>
            <w:tcW w:w="270" w:type="dxa"/>
          </w:tcPr>
          <w:p w14:paraId="411A8327" w14:textId="77777777" w:rsidR="004F2810" w:rsidRPr="00E74795" w:rsidRDefault="004F2810" w:rsidP="007149CF">
            <w:pPr>
              <w:jc w:val="right"/>
              <w:rPr>
                <w:snapToGrid w:val="0"/>
                <w:color w:val="000000"/>
              </w:rPr>
            </w:pPr>
          </w:p>
        </w:tc>
        <w:tc>
          <w:tcPr>
            <w:tcW w:w="1890" w:type="dxa"/>
          </w:tcPr>
          <w:p w14:paraId="31265632" w14:textId="77777777" w:rsidR="004F2810" w:rsidRPr="00E74795" w:rsidRDefault="004F2810" w:rsidP="007149CF">
            <w:pPr>
              <w:tabs>
                <w:tab w:val="decimal" w:pos="1195"/>
              </w:tabs>
              <w:jc w:val="right"/>
              <w:rPr>
                <w:snapToGrid w:val="0"/>
                <w:color w:val="000000"/>
              </w:rPr>
            </w:pPr>
          </w:p>
        </w:tc>
      </w:tr>
      <w:tr w:rsidR="004F2810" w:rsidRPr="00EB7BF0" w14:paraId="66DBBE53" w14:textId="77777777" w:rsidTr="007149CF">
        <w:trPr>
          <w:trHeight w:hRule="exact" w:val="230"/>
        </w:trPr>
        <w:tc>
          <w:tcPr>
            <w:tcW w:w="305" w:type="dxa"/>
          </w:tcPr>
          <w:p w14:paraId="03B12634" w14:textId="77777777" w:rsidR="004F2810" w:rsidRPr="00EB7BF0" w:rsidRDefault="004F2810" w:rsidP="007149CF">
            <w:pPr>
              <w:jc w:val="right"/>
              <w:rPr>
                <w:snapToGrid w:val="0"/>
                <w:color w:val="000000"/>
              </w:rPr>
            </w:pPr>
          </w:p>
        </w:tc>
        <w:tc>
          <w:tcPr>
            <w:tcW w:w="302" w:type="dxa"/>
          </w:tcPr>
          <w:p w14:paraId="3E135C54" w14:textId="77777777" w:rsidR="004F2810" w:rsidRPr="00EB7BF0" w:rsidRDefault="004F2810" w:rsidP="007149CF">
            <w:pPr>
              <w:jc w:val="right"/>
              <w:rPr>
                <w:snapToGrid w:val="0"/>
                <w:color w:val="000000"/>
              </w:rPr>
            </w:pPr>
          </w:p>
        </w:tc>
        <w:tc>
          <w:tcPr>
            <w:tcW w:w="5513" w:type="dxa"/>
          </w:tcPr>
          <w:p w14:paraId="07C9C847" w14:textId="77777777" w:rsidR="004F2810" w:rsidRPr="00E74795" w:rsidRDefault="004F2810" w:rsidP="007149CF">
            <w:pPr>
              <w:jc w:val="right"/>
              <w:rPr>
                <w:snapToGrid w:val="0"/>
                <w:color w:val="000000"/>
              </w:rPr>
            </w:pPr>
          </w:p>
        </w:tc>
        <w:tc>
          <w:tcPr>
            <w:tcW w:w="90" w:type="dxa"/>
          </w:tcPr>
          <w:p w14:paraId="63150363" w14:textId="77777777" w:rsidR="004F2810" w:rsidRPr="00E74795" w:rsidRDefault="004F2810" w:rsidP="007149CF">
            <w:pPr>
              <w:jc w:val="right"/>
              <w:rPr>
                <w:snapToGrid w:val="0"/>
                <w:color w:val="000000"/>
              </w:rPr>
            </w:pPr>
          </w:p>
        </w:tc>
        <w:tc>
          <w:tcPr>
            <w:tcW w:w="1710" w:type="dxa"/>
          </w:tcPr>
          <w:p w14:paraId="382FE4A0" w14:textId="77777777" w:rsidR="004F2810" w:rsidRPr="00E74795" w:rsidRDefault="004F2810" w:rsidP="007149CF">
            <w:pPr>
              <w:tabs>
                <w:tab w:val="decimal" w:pos="1195"/>
              </w:tabs>
              <w:jc w:val="right"/>
              <w:rPr>
                <w:snapToGrid w:val="0"/>
                <w:color w:val="000000"/>
              </w:rPr>
            </w:pPr>
          </w:p>
        </w:tc>
        <w:tc>
          <w:tcPr>
            <w:tcW w:w="270" w:type="dxa"/>
          </w:tcPr>
          <w:p w14:paraId="2062AB0A" w14:textId="77777777" w:rsidR="004F2810" w:rsidRPr="00E74795" w:rsidRDefault="004F2810" w:rsidP="007149CF">
            <w:pPr>
              <w:jc w:val="right"/>
              <w:rPr>
                <w:snapToGrid w:val="0"/>
                <w:color w:val="000000"/>
              </w:rPr>
            </w:pPr>
          </w:p>
        </w:tc>
        <w:tc>
          <w:tcPr>
            <w:tcW w:w="1890" w:type="dxa"/>
          </w:tcPr>
          <w:p w14:paraId="04485B1B" w14:textId="77777777" w:rsidR="004F2810" w:rsidRPr="00E74795" w:rsidRDefault="004F2810" w:rsidP="007149CF">
            <w:pPr>
              <w:tabs>
                <w:tab w:val="decimal" w:pos="1195"/>
              </w:tabs>
              <w:jc w:val="right"/>
              <w:rPr>
                <w:snapToGrid w:val="0"/>
                <w:color w:val="000000"/>
              </w:rPr>
            </w:pPr>
          </w:p>
        </w:tc>
      </w:tr>
      <w:tr w:rsidR="004F2810" w:rsidRPr="00EB7BF0" w14:paraId="2CD5065E" w14:textId="77777777" w:rsidTr="007149CF">
        <w:trPr>
          <w:trHeight w:hRule="exact" w:val="230"/>
        </w:trPr>
        <w:tc>
          <w:tcPr>
            <w:tcW w:w="6120" w:type="dxa"/>
            <w:gridSpan w:val="3"/>
          </w:tcPr>
          <w:p w14:paraId="172153BE" w14:textId="0735C3A0" w:rsidR="004F2810" w:rsidRPr="00E74795" w:rsidRDefault="004F2810" w:rsidP="007149CF">
            <w:pPr>
              <w:rPr>
                <w:snapToGrid w:val="0"/>
                <w:color w:val="000000"/>
              </w:rPr>
            </w:pPr>
            <w:r w:rsidRPr="00374FE3">
              <w:rPr>
                <w:snapToGrid w:val="0"/>
                <w:color w:val="000000"/>
              </w:rPr>
              <w:t>Stockholders’ equity</w:t>
            </w:r>
            <w:r w:rsidR="00262FED">
              <w:rPr>
                <w:snapToGrid w:val="0"/>
                <w:color w:val="000000"/>
              </w:rPr>
              <w:t xml:space="preserve"> (deficit)</w:t>
            </w:r>
            <w:r w:rsidRPr="00374FE3">
              <w:rPr>
                <w:snapToGrid w:val="0"/>
                <w:color w:val="000000"/>
              </w:rPr>
              <w:t>:</w:t>
            </w:r>
          </w:p>
        </w:tc>
        <w:tc>
          <w:tcPr>
            <w:tcW w:w="90" w:type="dxa"/>
          </w:tcPr>
          <w:p w14:paraId="74964E7A" w14:textId="77777777" w:rsidR="004F2810" w:rsidRPr="00E74795" w:rsidRDefault="004F2810" w:rsidP="007149CF">
            <w:pPr>
              <w:jc w:val="right"/>
              <w:rPr>
                <w:snapToGrid w:val="0"/>
                <w:color w:val="000000"/>
              </w:rPr>
            </w:pPr>
          </w:p>
        </w:tc>
        <w:tc>
          <w:tcPr>
            <w:tcW w:w="1710" w:type="dxa"/>
          </w:tcPr>
          <w:p w14:paraId="454D8FD6" w14:textId="77777777" w:rsidR="004F2810" w:rsidRPr="00E74795" w:rsidRDefault="004F2810" w:rsidP="007149CF">
            <w:pPr>
              <w:tabs>
                <w:tab w:val="decimal" w:pos="1195"/>
              </w:tabs>
              <w:jc w:val="right"/>
              <w:rPr>
                <w:snapToGrid w:val="0"/>
                <w:color w:val="000000"/>
              </w:rPr>
            </w:pPr>
          </w:p>
        </w:tc>
        <w:tc>
          <w:tcPr>
            <w:tcW w:w="270" w:type="dxa"/>
          </w:tcPr>
          <w:p w14:paraId="4B93E5C6" w14:textId="77777777" w:rsidR="004F2810" w:rsidRPr="00E74795" w:rsidRDefault="004F2810" w:rsidP="007149CF">
            <w:pPr>
              <w:jc w:val="right"/>
              <w:rPr>
                <w:snapToGrid w:val="0"/>
                <w:color w:val="000000"/>
              </w:rPr>
            </w:pPr>
          </w:p>
        </w:tc>
        <w:tc>
          <w:tcPr>
            <w:tcW w:w="1890" w:type="dxa"/>
          </w:tcPr>
          <w:p w14:paraId="03E2BF64" w14:textId="77777777" w:rsidR="004F2810" w:rsidRPr="00E74795" w:rsidRDefault="004F2810" w:rsidP="007149CF">
            <w:pPr>
              <w:tabs>
                <w:tab w:val="decimal" w:pos="1195"/>
              </w:tabs>
              <w:jc w:val="right"/>
              <w:rPr>
                <w:snapToGrid w:val="0"/>
                <w:color w:val="000000"/>
              </w:rPr>
            </w:pPr>
          </w:p>
        </w:tc>
      </w:tr>
      <w:tr w:rsidR="004F2810" w:rsidRPr="00EB7BF0" w14:paraId="010E2926" w14:textId="77777777" w:rsidTr="007149CF">
        <w:trPr>
          <w:trHeight w:hRule="exact" w:val="230"/>
        </w:trPr>
        <w:tc>
          <w:tcPr>
            <w:tcW w:w="305" w:type="dxa"/>
          </w:tcPr>
          <w:p w14:paraId="03620FFB" w14:textId="77777777" w:rsidR="004F2810" w:rsidRPr="00EB7BF0" w:rsidRDefault="004F2810" w:rsidP="007149CF">
            <w:pPr>
              <w:jc w:val="right"/>
              <w:rPr>
                <w:snapToGrid w:val="0"/>
                <w:color w:val="000000"/>
              </w:rPr>
            </w:pPr>
          </w:p>
        </w:tc>
        <w:tc>
          <w:tcPr>
            <w:tcW w:w="5815" w:type="dxa"/>
            <w:gridSpan w:val="2"/>
          </w:tcPr>
          <w:p w14:paraId="640BBCC4" w14:textId="77777777" w:rsidR="004F2810" w:rsidRPr="00E74795" w:rsidRDefault="004F2810" w:rsidP="007149CF">
            <w:pPr>
              <w:rPr>
                <w:snapToGrid w:val="0"/>
                <w:color w:val="000000"/>
              </w:rPr>
            </w:pPr>
            <w:r w:rsidRPr="00374FE3">
              <w:rPr>
                <w:snapToGrid w:val="0"/>
                <w:color w:val="000000"/>
              </w:rPr>
              <w:t>Common stock, $.001 par value:</w:t>
            </w:r>
          </w:p>
        </w:tc>
        <w:tc>
          <w:tcPr>
            <w:tcW w:w="90" w:type="dxa"/>
          </w:tcPr>
          <w:p w14:paraId="315587F7" w14:textId="77777777" w:rsidR="004F2810" w:rsidRPr="00E74795" w:rsidRDefault="004F2810" w:rsidP="007149CF">
            <w:pPr>
              <w:jc w:val="right"/>
              <w:rPr>
                <w:snapToGrid w:val="0"/>
                <w:color w:val="000000"/>
              </w:rPr>
            </w:pPr>
          </w:p>
        </w:tc>
        <w:tc>
          <w:tcPr>
            <w:tcW w:w="1710" w:type="dxa"/>
          </w:tcPr>
          <w:p w14:paraId="394DE3A0" w14:textId="77777777" w:rsidR="004F2810" w:rsidRPr="00E74795" w:rsidRDefault="004F2810" w:rsidP="007149CF">
            <w:pPr>
              <w:tabs>
                <w:tab w:val="decimal" w:pos="1320"/>
              </w:tabs>
              <w:jc w:val="right"/>
              <w:rPr>
                <w:snapToGrid w:val="0"/>
                <w:color w:val="000000"/>
              </w:rPr>
            </w:pPr>
          </w:p>
        </w:tc>
        <w:tc>
          <w:tcPr>
            <w:tcW w:w="270" w:type="dxa"/>
          </w:tcPr>
          <w:p w14:paraId="7C22433E" w14:textId="77777777" w:rsidR="004F2810" w:rsidRPr="00E74795" w:rsidRDefault="004F2810" w:rsidP="007149CF">
            <w:pPr>
              <w:jc w:val="right"/>
              <w:rPr>
                <w:snapToGrid w:val="0"/>
                <w:color w:val="000000"/>
              </w:rPr>
            </w:pPr>
          </w:p>
        </w:tc>
        <w:tc>
          <w:tcPr>
            <w:tcW w:w="1890" w:type="dxa"/>
          </w:tcPr>
          <w:p w14:paraId="497AA4B9" w14:textId="77777777" w:rsidR="004F2810" w:rsidRPr="00E74795" w:rsidRDefault="004F2810" w:rsidP="007149CF">
            <w:pPr>
              <w:tabs>
                <w:tab w:val="decimal" w:pos="1500"/>
              </w:tabs>
              <w:jc w:val="right"/>
              <w:rPr>
                <w:snapToGrid w:val="0"/>
                <w:color w:val="000000"/>
              </w:rPr>
            </w:pPr>
          </w:p>
        </w:tc>
      </w:tr>
      <w:tr w:rsidR="004F2810" w:rsidRPr="00EB7BF0" w14:paraId="15BCD648" w14:textId="77777777" w:rsidTr="007149CF">
        <w:trPr>
          <w:trHeight w:hRule="exact" w:val="230"/>
        </w:trPr>
        <w:tc>
          <w:tcPr>
            <w:tcW w:w="305" w:type="dxa"/>
          </w:tcPr>
          <w:p w14:paraId="174D456A" w14:textId="77777777" w:rsidR="004F2810" w:rsidRPr="00EB7BF0" w:rsidRDefault="004F2810" w:rsidP="007149CF">
            <w:pPr>
              <w:jc w:val="right"/>
              <w:rPr>
                <w:snapToGrid w:val="0"/>
                <w:color w:val="000000"/>
              </w:rPr>
            </w:pPr>
            <w:bookmarkStart w:id="7" w:name="_Hlk12541074"/>
          </w:p>
        </w:tc>
        <w:tc>
          <w:tcPr>
            <w:tcW w:w="302" w:type="dxa"/>
          </w:tcPr>
          <w:p w14:paraId="0A6CA63D" w14:textId="77777777" w:rsidR="004F2810" w:rsidRPr="00EB7BF0" w:rsidRDefault="004F2810" w:rsidP="007149CF">
            <w:pPr>
              <w:jc w:val="right"/>
              <w:rPr>
                <w:snapToGrid w:val="0"/>
                <w:color w:val="000000"/>
              </w:rPr>
            </w:pPr>
          </w:p>
        </w:tc>
        <w:tc>
          <w:tcPr>
            <w:tcW w:w="5513" w:type="dxa"/>
          </w:tcPr>
          <w:p w14:paraId="05323004" w14:textId="77777777" w:rsidR="004F2810" w:rsidRDefault="004F2810" w:rsidP="007149CF">
            <w:pPr>
              <w:tabs>
                <w:tab w:val="left" w:pos="203"/>
              </w:tabs>
              <w:rPr>
                <w:snapToGrid w:val="0"/>
                <w:color w:val="000000"/>
              </w:rPr>
            </w:pPr>
            <w:r w:rsidRPr="00374FE3">
              <w:rPr>
                <w:snapToGrid w:val="0"/>
                <w:color w:val="000000"/>
              </w:rPr>
              <w:t xml:space="preserve">Authorized shares – </w:t>
            </w:r>
            <w:r>
              <w:rPr>
                <w:snapToGrid w:val="0"/>
                <w:color w:val="000000"/>
              </w:rPr>
              <w:t>150</w:t>
            </w:r>
            <w:r w:rsidRPr="00374FE3">
              <w:rPr>
                <w:snapToGrid w:val="0"/>
                <w:color w:val="000000"/>
              </w:rPr>
              <w:t>,000,000</w:t>
            </w:r>
            <w:r>
              <w:rPr>
                <w:snapToGrid w:val="0"/>
                <w:color w:val="000000"/>
              </w:rPr>
              <w:t xml:space="preserve"> and 600,000,000 at</w:t>
            </w:r>
          </w:p>
          <w:p w14:paraId="7168CDF9" w14:textId="77777777" w:rsidR="004F2810" w:rsidRDefault="004F2810" w:rsidP="007149CF">
            <w:pPr>
              <w:tabs>
                <w:tab w:val="left" w:pos="203"/>
              </w:tabs>
              <w:rPr>
                <w:snapToGrid w:val="0"/>
                <w:color w:val="000000"/>
              </w:rPr>
            </w:pPr>
          </w:p>
          <w:p w14:paraId="5CB2BAB6" w14:textId="77777777" w:rsidR="004F2810" w:rsidRPr="00374FE3" w:rsidRDefault="004F2810" w:rsidP="007149CF">
            <w:pPr>
              <w:tabs>
                <w:tab w:val="left" w:pos="203"/>
              </w:tabs>
              <w:rPr>
                <w:snapToGrid w:val="0"/>
                <w:color w:val="000000"/>
              </w:rPr>
            </w:pPr>
          </w:p>
          <w:p w14:paraId="4FB1B3E7" w14:textId="77777777" w:rsidR="004F2810" w:rsidRPr="00E74795" w:rsidRDefault="004F2810" w:rsidP="007149CF">
            <w:pPr>
              <w:tabs>
                <w:tab w:val="left" w:pos="203"/>
              </w:tabs>
              <w:rPr>
                <w:snapToGrid w:val="0"/>
                <w:color w:val="000000"/>
              </w:rPr>
            </w:pPr>
          </w:p>
        </w:tc>
        <w:tc>
          <w:tcPr>
            <w:tcW w:w="90" w:type="dxa"/>
          </w:tcPr>
          <w:p w14:paraId="6F4F9250" w14:textId="77777777" w:rsidR="004F2810" w:rsidRPr="00E74795" w:rsidRDefault="004F2810" w:rsidP="007149CF">
            <w:pPr>
              <w:jc w:val="right"/>
              <w:rPr>
                <w:snapToGrid w:val="0"/>
                <w:color w:val="000000"/>
              </w:rPr>
            </w:pPr>
          </w:p>
        </w:tc>
        <w:tc>
          <w:tcPr>
            <w:tcW w:w="1710" w:type="dxa"/>
          </w:tcPr>
          <w:p w14:paraId="5AACE865" w14:textId="77777777" w:rsidR="004F2810" w:rsidRPr="00E74795" w:rsidRDefault="004F2810" w:rsidP="007149CF">
            <w:pPr>
              <w:tabs>
                <w:tab w:val="decimal" w:pos="1320"/>
              </w:tabs>
              <w:jc w:val="right"/>
              <w:rPr>
                <w:snapToGrid w:val="0"/>
                <w:color w:val="000000"/>
              </w:rPr>
            </w:pPr>
          </w:p>
        </w:tc>
        <w:tc>
          <w:tcPr>
            <w:tcW w:w="270" w:type="dxa"/>
          </w:tcPr>
          <w:p w14:paraId="365C42BC" w14:textId="77777777" w:rsidR="004F2810" w:rsidRPr="00E74795" w:rsidRDefault="004F2810" w:rsidP="007149CF">
            <w:pPr>
              <w:jc w:val="right"/>
              <w:rPr>
                <w:snapToGrid w:val="0"/>
                <w:color w:val="000000"/>
              </w:rPr>
            </w:pPr>
          </w:p>
        </w:tc>
        <w:tc>
          <w:tcPr>
            <w:tcW w:w="1890" w:type="dxa"/>
          </w:tcPr>
          <w:p w14:paraId="0C78EA2F" w14:textId="77777777" w:rsidR="004F2810" w:rsidRPr="00E74795" w:rsidRDefault="004F2810" w:rsidP="007149CF">
            <w:pPr>
              <w:tabs>
                <w:tab w:val="decimal" w:pos="1500"/>
              </w:tabs>
              <w:jc w:val="right"/>
              <w:rPr>
                <w:snapToGrid w:val="0"/>
                <w:color w:val="000000"/>
              </w:rPr>
            </w:pPr>
          </w:p>
        </w:tc>
      </w:tr>
      <w:tr w:rsidR="004F2810" w:rsidRPr="00EB7BF0" w14:paraId="7978269E" w14:textId="77777777" w:rsidTr="007149CF">
        <w:trPr>
          <w:trHeight w:hRule="exact" w:val="230"/>
        </w:trPr>
        <w:tc>
          <w:tcPr>
            <w:tcW w:w="305" w:type="dxa"/>
          </w:tcPr>
          <w:p w14:paraId="08754D65" w14:textId="77777777" w:rsidR="004F2810" w:rsidRPr="00EB7BF0" w:rsidRDefault="004F2810" w:rsidP="007149CF">
            <w:pPr>
              <w:jc w:val="right"/>
              <w:rPr>
                <w:snapToGrid w:val="0"/>
                <w:color w:val="000000"/>
              </w:rPr>
            </w:pPr>
          </w:p>
        </w:tc>
        <w:tc>
          <w:tcPr>
            <w:tcW w:w="302" w:type="dxa"/>
          </w:tcPr>
          <w:p w14:paraId="1726C8E0" w14:textId="77777777" w:rsidR="004F2810" w:rsidRPr="00EB7BF0" w:rsidRDefault="004F2810" w:rsidP="007149CF">
            <w:pPr>
              <w:jc w:val="right"/>
              <w:rPr>
                <w:snapToGrid w:val="0"/>
                <w:color w:val="000000"/>
              </w:rPr>
            </w:pPr>
          </w:p>
        </w:tc>
        <w:tc>
          <w:tcPr>
            <w:tcW w:w="5513" w:type="dxa"/>
          </w:tcPr>
          <w:p w14:paraId="45F50128" w14:textId="5B7768B5" w:rsidR="004F2810" w:rsidRPr="00374FE3" w:rsidRDefault="004F2810" w:rsidP="007149CF">
            <w:pPr>
              <w:tabs>
                <w:tab w:val="left" w:pos="203"/>
              </w:tabs>
              <w:rPr>
                <w:snapToGrid w:val="0"/>
                <w:color w:val="000000"/>
              </w:rPr>
            </w:pPr>
            <w:r>
              <w:rPr>
                <w:snapToGrid w:val="0"/>
                <w:color w:val="000000"/>
              </w:rPr>
              <w:tab/>
              <w:t xml:space="preserve">June 30, </w:t>
            </w:r>
            <w:proofErr w:type="gramStart"/>
            <w:r>
              <w:rPr>
                <w:snapToGrid w:val="0"/>
                <w:color w:val="000000"/>
              </w:rPr>
              <w:t>2024</w:t>
            </w:r>
            <w:proofErr w:type="gramEnd"/>
            <w:r>
              <w:rPr>
                <w:snapToGrid w:val="0"/>
                <w:color w:val="000000"/>
              </w:rPr>
              <w:t xml:space="preserve"> and December 31, 2023, respectively</w:t>
            </w:r>
          </w:p>
        </w:tc>
        <w:tc>
          <w:tcPr>
            <w:tcW w:w="90" w:type="dxa"/>
          </w:tcPr>
          <w:p w14:paraId="633A35D1" w14:textId="77777777" w:rsidR="004F2810" w:rsidRPr="00E74795" w:rsidRDefault="004F2810" w:rsidP="007149CF">
            <w:pPr>
              <w:jc w:val="right"/>
              <w:rPr>
                <w:snapToGrid w:val="0"/>
                <w:color w:val="000000"/>
              </w:rPr>
            </w:pPr>
          </w:p>
        </w:tc>
        <w:tc>
          <w:tcPr>
            <w:tcW w:w="1710" w:type="dxa"/>
          </w:tcPr>
          <w:p w14:paraId="4B2F8E68" w14:textId="77777777" w:rsidR="004F2810" w:rsidRPr="00E74795" w:rsidRDefault="004F2810" w:rsidP="007149CF">
            <w:pPr>
              <w:tabs>
                <w:tab w:val="decimal" w:pos="1320"/>
              </w:tabs>
              <w:jc w:val="right"/>
              <w:rPr>
                <w:snapToGrid w:val="0"/>
                <w:color w:val="000000"/>
              </w:rPr>
            </w:pPr>
          </w:p>
        </w:tc>
        <w:tc>
          <w:tcPr>
            <w:tcW w:w="270" w:type="dxa"/>
          </w:tcPr>
          <w:p w14:paraId="7A7712CE" w14:textId="77777777" w:rsidR="004F2810" w:rsidRPr="00E74795" w:rsidRDefault="004F2810" w:rsidP="007149CF">
            <w:pPr>
              <w:jc w:val="right"/>
              <w:rPr>
                <w:snapToGrid w:val="0"/>
                <w:color w:val="000000"/>
              </w:rPr>
            </w:pPr>
          </w:p>
        </w:tc>
        <w:tc>
          <w:tcPr>
            <w:tcW w:w="1890" w:type="dxa"/>
          </w:tcPr>
          <w:p w14:paraId="45195FAC" w14:textId="77777777" w:rsidR="004F2810" w:rsidRPr="00E74795" w:rsidRDefault="004F2810" w:rsidP="007149CF">
            <w:pPr>
              <w:tabs>
                <w:tab w:val="decimal" w:pos="1500"/>
              </w:tabs>
              <w:jc w:val="right"/>
              <w:rPr>
                <w:snapToGrid w:val="0"/>
                <w:color w:val="000000"/>
              </w:rPr>
            </w:pPr>
          </w:p>
        </w:tc>
      </w:tr>
      <w:tr w:rsidR="004F2810" w:rsidRPr="00EB7BF0" w14:paraId="2B63030A" w14:textId="77777777" w:rsidTr="007149CF">
        <w:trPr>
          <w:trHeight w:hRule="exact" w:val="230"/>
        </w:trPr>
        <w:tc>
          <w:tcPr>
            <w:tcW w:w="305" w:type="dxa"/>
          </w:tcPr>
          <w:p w14:paraId="116E7323" w14:textId="77777777" w:rsidR="004F2810" w:rsidRPr="00EB7BF0" w:rsidRDefault="004F2810" w:rsidP="007149CF">
            <w:pPr>
              <w:jc w:val="right"/>
              <w:rPr>
                <w:snapToGrid w:val="0"/>
                <w:color w:val="000000"/>
              </w:rPr>
            </w:pPr>
          </w:p>
        </w:tc>
        <w:tc>
          <w:tcPr>
            <w:tcW w:w="302" w:type="dxa"/>
          </w:tcPr>
          <w:p w14:paraId="5543C361" w14:textId="77777777" w:rsidR="004F2810" w:rsidRPr="00EB7BF0" w:rsidRDefault="004F2810" w:rsidP="007149CF">
            <w:pPr>
              <w:jc w:val="right"/>
              <w:rPr>
                <w:snapToGrid w:val="0"/>
                <w:color w:val="000000"/>
              </w:rPr>
            </w:pPr>
          </w:p>
        </w:tc>
        <w:tc>
          <w:tcPr>
            <w:tcW w:w="5513" w:type="dxa"/>
          </w:tcPr>
          <w:p w14:paraId="23AB4CE3" w14:textId="3320C05F" w:rsidR="004F2810" w:rsidRPr="00E74795" w:rsidRDefault="004F2810" w:rsidP="007149CF">
            <w:pPr>
              <w:tabs>
                <w:tab w:val="left" w:pos="203"/>
              </w:tabs>
              <w:rPr>
                <w:snapToGrid w:val="0"/>
                <w:color w:val="000000"/>
              </w:rPr>
            </w:pPr>
            <w:r w:rsidRPr="00374FE3">
              <w:rPr>
                <w:snapToGrid w:val="0"/>
                <w:color w:val="000000"/>
              </w:rPr>
              <w:t xml:space="preserve">Issued and outstanding shares – </w:t>
            </w:r>
            <w:r w:rsidR="00772FEB">
              <w:rPr>
                <w:snapToGrid w:val="0"/>
                <w:color w:val="000000"/>
              </w:rPr>
              <w:t>4,</w:t>
            </w:r>
            <w:r w:rsidR="001112D9">
              <w:rPr>
                <w:snapToGrid w:val="0"/>
                <w:color w:val="000000"/>
              </w:rPr>
              <w:t>17</w:t>
            </w:r>
            <w:r w:rsidR="00772FEB">
              <w:rPr>
                <w:snapToGrid w:val="0"/>
                <w:color w:val="000000"/>
              </w:rPr>
              <w:t>8,700</w:t>
            </w:r>
            <w:r>
              <w:rPr>
                <w:snapToGrid w:val="0"/>
                <w:color w:val="000000"/>
              </w:rPr>
              <w:t xml:space="preserve"> </w:t>
            </w:r>
            <w:r w:rsidRPr="00374FE3">
              <w:rPr>
                <w:snapToGrid w:val="0"/>
                <w:color w:val="000000"/>
              </w:rPr>
              <w:t xml:space="preserve">and </w:t>
            </w:r>
            <w:r>
              <w:rPr>
                <w:snapToGrid w:val="0"/>
                <w:color w:val="000000"/>
              </w:rPr>
              <w:t>1,977,152</w:t>
            </w:r>
            <w:r w:rsidRPr="00374FE3">
              <w:rPr>
                <w:snapToGrid w:val="0"/>
                <w:color w:val="000000"/>
              </w:rPr>
              <w:t xml:space="preserve"> at</w:t>
            </w:r>
          </w:p>
        </w:tc>
        <w:tc>
          <w:tcPr>
            <w:tcW w:w="90" w:type="dxa"/>
          </w:tcPr>
          <w:p w14:paraId="7DB16279" w14:textId="77777777" w:rsidR="004F2810" w:rsidRPr="00E74795" w:rsidRDefault="004F2810" w:rsidP="007149CF">
            <w:pPr>
              <w:jc w:val="right"/>
              <w:rPr>
                <w:snapToGrid w:val="0"/>
                <w:color w:val="000000"/>
              </w:rPr>
            </w:pPr>
          </w:p>
        </w:tc>
        <w:tc>
          <w:tcPr>
            <w:tcW w:w="1710" w:type="dxa"/>
          </w:tcPr>
          <w:p w14:paraId="191BBD23" w14:textId="77777777" w:rsidR="004F2810" w:rsidRPr="00E74795" w:rsidRDefault="004F2810" w:rsidP="007149CF">
            <w:pPr>
              <w:tabs>
                <w:tab w:val="decimal" w:pos="1320"/>
              </w:tabs>
              <w:jc w:val="right"/>
              <w:rPr>
                <w:snapToGrid w:val="0"/>
                <w:color w:val="000000"/>
              </w:rPr>
            </w:pPr>
          </w:p>
        </w:tc>
        <w:tc>
          <w:tcPr>
            <w:tcW w:w="270" w:type="dxa"/>
          </w:tcPr>
          <w:p w14:paraId="5833A0E2" w14:textId="77777777" w:rsidR="004F2810" w:rsidRPr="00E74795" w:rsidRDefault="004F2810" w:rsidP="007149CF">
            <w:pPr>
              <w:jc w:val="right"/>
              <w:rPr>
                <w:snapToGrid w:val="0"/>
                <w:color w:val="000000"/>
              </w:rPr>
            </w:pPr>
          </w:p>
        </w:tc>
        <w:tc>
          <w:tcPr>
            <w:tcW w:w="1890" w:type="dxa"/>
          </w:tcPr>
          <w:p w14:paraId="4FAFEEA5" w14:textId="77777777" w:rsidR="004F2810" w:rsidRPr="00E74795" w:rsidRDefault="004F2810" w:rsidP="007149CF">
            <w:pPr>
              <w:tabs>
                <w:tab w:val="decimal" w:pos="1500"/>
              </w:tabs>
              <w:jc w:val="right"/>
              <w:rPr>
                <w:snapToGrid w:val="0"/>
                <w:color w:val="000000"/>
              </w:rPr>
            </w:pPr>
          </w:p>
        </w:tc>
      </w:tr>
      <w:tr w:rsidR="004F2810" w:rsidRPr="00EB7BF0" w14:paraId="3F426412" w14:textId="77777777" w:rsidTr="007149CF">
        <w:trPr>
          <w:trHeight w:hRule="exact" w:val="230"/>
        </w:trPr>
        <w:tc>
          <w:tcPr>
            <w:tcW w:w="305" w:type="dxa"/>
          </w:tcPr>
          <w:p w14:paraId="10785AF8" w14:textId="77777777" w:rsidR="004F2810" w:rsidRPr="00EB7BF0" w:rsidRDefault="004F2810" w:rsidP="007149CF">
            <w:pPr>
              <w:jc w:val="right"/>
              <w:rPr>
                <w:snapToGrid w:val="0"/>
                <w:color w:val="000000"/>
              </w:rPr>
            </w:pPr>
          </w:p>
        </w:tc>
        <w:tc>
          <w:tcPr>
            <w:tcW w:w="302" w:type="dxa"/>
          </w:tcPr>
          <w:p w14:paraId="7446A8BE" w14:textId="77777777" w:rsidR="004F2810" w:rsidRPr="00EB7BF0" w:rsidRDefault="004F2810" w:rsidP="007149CF">
            <w:pPr>
              <w:jc w:val="right"/>
              <w:rPr>
                <w:snapToGrid w:val="0"/>
                <w:color w:val="000000"/>
              </w:rPr>
            </w:pPr>
          </w:p>
        </w:tc>
        <w:tc>
          <w:tcPr>
            <w:tcW w:w="5513" w:type="dxa"/>
          </w:tcPr>
          <w:p w14:paraId="55C47A42" w14:textId="4FE31559" w:rsidR="004F2810" w:rsidRPr="00E74795" w:rsidRDefault="004F2810" w:rsidP="007149CF">
            <w:pPr>
              <w:tabs>
                <w:tab w:val="left" w:pos="203"/>
              </w:tabs>
              <w:rPr>
                <w:snapToGrid w:val="0"/>
                <w:color w:val="000000"/>
              </w:rPr>
            </w:pPr>
            <w:r w:rsidRPr="00374FE3">
              <w:rPr>
                <w:snapToGrid w:val="0"/>
                <w:color w:val="000000"/>
              </w:rPr>
              <w:tab/>
            </w:r>
            <w:r>
              <w:rPr>
                <w:snapToGrid w:val="0"/>
                <w:color w:val="000000"/>
              </w:rPr>
              <w:t>June</w:t>
            </w:r>
            <w:r w:rsidRPr="00374FE3">
              <w:rPr>
                <w:snapToGrid w:val="0"/>
                <w:color w:val="000000"/>
              </w:rPr>
              <w:t xml:space="preserve"> 3</w:t>
            </w:r>
            <w:r>
              <w:rPr>
                <w:snapToGrid w:val="0"/>
                <w:color w:val="000000"/>
              </w:rPr>
              <w:t>0</w:t>
            </w:r>
            <w:r w:rsidRPr="00374FE3">
              <w:rPr>
                <w:snapToGrid w:val="0"/>
                <w:color w:val="000000"/>
              </w:rPr>
              <w:t xml:space="preserve">, </w:t>
            </w:r>
            <w:proofErr w:type="gramStart"/>
            <w:r w:rsidRPr="00374FE3">
              <w:rPr>
                <w:snapToGrid w:val="0"/>
                <w:color w:val="000000"/>
              </w:rPr>
              <w:t>20</w:t>
            </w:r>
            <w:r>
              <w:rPr>
                <w:snapToGrid w:val="0"/>
                <w:color w:val="000000"/>
              </w:rPr>
              <w:t>24</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23</w:t>
            </w:r>
            <w:r w:rsidRPr="00374FE3">
              <w:rPr>
                <w:snapToGrid w:val="0"/>
                <w:color w:val="000000"/>
              </w:rPr>
              <w:t>, respectively</w:t>
            </w:r>
          </w:p>
        </w:tc>
        <w:tc>
          <w:tcPr>
            <w:tcW w:w="90" w:type="dxa"/>
          </w:tcPr>
          <w:p w14:paraId="6D930BEB" w14:textId="77777777" w:rsidR="004F2810" w:rsidRPr="00E74795" w:rsidRDefault="004F2810" w:rsidP="007149CF">
            <w:pPr>
              <w:jc w:val="right"/>
              <w:rPr>
                <w:snapToGrid w:val="0"/>
                <w:color w:val="000000"/>
              </w:rPr>
            </w:pPr>
          </w:p>
        </w:tc>
        <w:tc>
          <w:tcPr>
            <w:tcW w:w="1710" w:type="dxa"/>
          </w:tcPr>
          <w:p w14:paraId="3D3D1D53" w14:textId="4E7CEED8" w:rsidR="004F2810" w:rsidRPr="00E74795" w:rsidRDefault="00262FED" w:rsidP="007149CF">
            <w:pPr>
              <w:tabs>
                <w:tab w:val="decimal" w:pos="1320"/>
              </w:tabs>
              <w:rPr>
                <w:snapToGrid w:val="0"/>
                <w:color w:val="000000"/>
              </w:rPr>
            </w:pPr>
            <w:r>
              <w:rPr>
                <w:snapToGrid w:val="0"/>
                <w:color w:val="000000"/>
              </w:rPr>
              <w:t>4,179</w:t>
            </w:r>
          </w:p>
        </w:tc>
        <w:tc>
          <w:tcPr>
            <w:tcW w:w="270" w:type="dxa"/>
          </w:tcPr>
          <w:p w14:paraId="6C9AC2CE" w14:textId="77777777" w:rsidR="004F2810" w:rsidRPr="00E74795" w:rsidRDefault="004F2810" w:rsidP="007149CF">
            <w:pPr>
              <w:jc w:val="right"/>
              <w:rPr>
                <w:snapToGrid w:val="0"/>
                <w:color w:val="000000"/>
              </w:rPr>
            </w:pPr>
          </w:p>
        </w:tc>
        <w:tc>
          <w:tcPr>
            <w:tcW w:w="1890" w:type="dxa"/>
          </w:tcPr>
          <w:p w14:paraId="083047E2" w14:textId="77777777" w:rsidR="004F2810" w:rsidRPr="00E74795" w:rsidRDefault="004F2810" w:rsidP="007149CF">
            <w:pPr>
              <w:tabs>
                <w:tab w:val="decimal" w:pos="1500"/>
              </w:tabs>
              <w:rPr>
                <w:snapToGrid w:val="0"/>
                <w:color w:val="000000"/>
              </w:rPr>
            </w:pPr>
            <w:r>
              <w:rPr>
                <w:snapToGrid w:val="0"/>
                <w:color w:val="000000"/>
              </w:rPr>
              <w:t>1,977</w:t>
            </w:r>
          </w:p>
        </w:tc>
      </w:tr>
      <w:bookmarkEnd w:id="7"/>
      <w:tr w:rsidR="004F2810" w:rsidRPr="00EB7BF0" w14:paraId="5BB3D539" w14:textId="77777777" w:rsidTr="007149CF">
        <w:trPr>
          <w:trHeight w:hRule="exact" w:val="230"/>
        </w:trPr>
        <w:tc>
          <w:tcPr>
            <w:tcW w:w="305" w:type="dxa"/>
          </w:tcPr>
          <w:p w14:paraId="7105DE81" w14:textId="77777777" w:rsidR="004F2810" w:rsidRPr="00EB7BF0" w:rsidRDefault="004F2810" w:rsidP="007149CF">
            <w:pPr>
              <w:jc w:val="right"/>
              <w:rPr>
                <w:snapToGrid w:val="0"/>
                <w:color w:val="000000"/>
              </w:rPr>
            </w:pPr>
          </w:p>
        </w:tc>
        <w:tc>
          <w:tcPr>
            <w:tcW w:w="5815" w:type="dxa"/>
            <w:gridSpan w:val="2"/>
          </w:tcPr>
          <w:p w14:paraId="0935DE26" w14:textId="77777777" w:rsidR="004F2810" w:rsidRPr="00E74795" w:rsidRDefault="004F2810" w:rsidP="007149CF">
            <w:pPr>
              <w:rPr>
                <w:snapToGrid w:val="0"/>
                <w:color w:val="000000"/>
              </w:rPr>
            </w:pPr>
            <w:r w:rsidRPr="00374FE3">
              <w:rPr>
                <w:snapToGrid w:val="0"/>
                <w:color w:val="000000"/>
              </w:rPr>
              <w:t>Additional paid-in capital</w:t>
            </w:r>
          </w:p>
        </w:tc>
        <w:tc>
          <w:tcPr>
            <w:tcW w:w="90" w:type="dxa"/>
          </w:tcPr>
          <w:p w14:paraId="7297FED7" w14:textId="77777777" w:rsidR="004F2810" w:rsidRPr="00E74795" w:rsidRDefault="004F2810" w:rsidP="007149CF">
            <w:pPr>
              <w:jc w:val="right"/>
              <w:rPr>
                <w:snapToGrid w:val="0"/>
                <w:color w:val="000000"/>
              </w:rPr>
            </w:pPr>
          </w:p>
        </w:tc>
        <w:tc>
          <w:tcPr>
            <w:tcW w:w="1710" w:type="dxa"/>
          </w:tcPr>
          <w:p w14:paraId="4C18704C" w14:textId="0AEEC9AD" w:rsidR="004F2810" w:rsidRPr="00E74795" w:rsidRDefault="00262FED" w:rsidP="007149CF">
            <w:pPr>
              <w:tabs>
                <w:tab w:val="decimal" w:pos="1320"/>
              </w:tabs>
              <w:rPr>
                <w:snapToGrid w:val="0"/>
                <w:color w:val="000000"/>
              </w:rPr>
            </w:pPr>
            <w:r>
              <w:rPr>
                <w:snapToGrid w:val="0"/>
                <w:color w:val="000000"/>
              </w:rPr>
              <w:t>112,964,554</w:t>
            </w:r>
          </w:p>
        </w:tc>
        <w:tc>
          <w:tcPr>
            <w:tcW w:w="270" w:type="dxa"/>
          </w:tcPr>
          <w:p w14:paraId="6098E68E" w14:textId="77777777" w:rsidR="004F2810" w:rsidRPr="00E74795" w:rsidRDefault="004F2810" w:rsidP="007149CF">
            <w:pPr>
              <w:jc w:val="right"/>
              <w:rPr>
                <w:snapToGrid w:val="0"/>
                <w:color w:val="000000"/>
              </w:rPr>
            </w:pPr>
          </w:p>
        </w:tc>
        <w:tc>
          <w:tcPr>
            <w:tcW w:w="1890" w:type="dxa"/>
          </w:tcPr>
          <w:p w14:paraId="64D1B258" w14:textId="77777777" w:rsidR="004F2810" w:rsidRPr="00E74795" w:rsidRDefault="004F2810" w:rsidP="007149CF">
            <w:pPr>
              <w:tabs>
                <w:tab w:val="decimal" w:pos="1500"/>
              </w:tabs>
              <w:rPr>
                <w:snapToGrid w:val="0"/>
                <w:color w:val="000000"/>
              </w:rPr>
            </w:pPr>
            <w:r>
              <w:rPr>
                <w:snapToGrid w:val="0"/>
                <w:color w:val="000000"/>
              </w:rPr>
              <w:t>110,125,146</w:t>
            </w:r>
          </w:p>
        </w:tc>
      </w:tr>
      <w:tr w:rsidR="004F2810" w:rsidRPr="00EB7BF0" w14:paraId="27FA1218" w14:textId="77777777" w:rsidTr="007149CF">
        <w:trPr>
          <w:trHeight w:hRule="exact" w:val="230"/>
        </w:trPr>
        <w:tc>
          <w:tcPr>
            <w:tcW w:w="305" w:type="dxa"/>
          </w:tcPr>
          <w:p w14:paraId="1D07E432" w14:textId="77777777" w:rsidR="004F2810" w:rsidRPr="00EB7BF0" w:rsidRDefault="004F2810" w:rsidP="007149CF">
            <w:pPr>
              <w:jc w:val="right"/>
              <w:rPr>
                <w:snapToGrid w:val="0"/>
                <w:color w:val="000000"/>
              </w:rPr>
            </w:pPr>
          </w:p>
        </w:tc>
        <w:tc>
          <w:tcPr>
            <w:tcW w:w="5815" w:type="dxa"/>
            <w:gridSpan w:val="2"/>
          </w:tcPr>
          <w:p w14:paraId="52CA08A3" w14:textId="77777777" w:rsidR="004F2810" w:rsidRPr="00E74795" w:rsidRDefault="004F2810" w:rsidP="007149CF">
            <w:pPr>
              <w:rPr>
                <w:snapToGrid w:val="0"/>
                <w:color w:val="000000"/>
              </w:rPr>
            </w:pPr>
            <w:r w:rsidRPr="00374FE3">
              <w:rPr>
                <w:snapToGrid w:val="0"/>
                <w:color w:val="000000"/>
              </w:rPr>
              <w:t>Accumulated deficit</w:t>
            </w:r>
          </w:p>
        </w:tc>
        <w:tc>
          <w:tcPr>
            <w:tcW w:w="90" w:type="dxa"/>
          </w:tcPr>
          <w:p w14:paraId="2BBA3114" w14:textId="77777777" w:rsidR="004F2810" w:rsidRPr="00E74795" w:rsidRDefault="004F2810" w:rsidP="007149CF">
            <w:pPr>
              <w:jc w:val="right"/>
              <w:rPr>
                <w:snapToGrid w:val="0"/>
                <w:color w:val="000000"/>
              </w:rPr>
            </w:pPr>
          </w:p>
        </w:tc>
        <w:tc>
          <w:tcPr>
            <w:tcW w:w="1710" w:type="dxa"/>
            <w:tcBorders>
              <w:bottom w:val="single" w:sz="4" w:space="0" w:color="auto"/>
            </w:tcBorders>
          </w:tcPr>
          <w:p w14:paraId="20F99A45" w14:textId="2F3CB996" w:rsidR="004F2810" w:rsidRPr="00E74795" w:rsidRDefault="00262FED" w:rsidP="007149CF">
            <w:pPr>
              <w:tabs>
                <w:tab w:val="decimal" w:pos="1320"/>
              </w:tabs>
              <w:rPr>
                <w:snapToGrid w:val="0"/>
                <w:color w:val="000000"/>
              </w:rPr>
            </w:pPr>
            <w:r>
              <w:rPr>
                <w:snapToGrid w:val="0"/>
                <w:color w:val="000000"/>
              </w:rPr>
              <w:t>(115,</w:t>
            </w:r>
            <w:r w:rsidR="006B0CFA">
              <w:rPr>
                <w:snapToGrid w:val="0"/>
                <w:color w:val="000000"/>
              </w:rPr>
              <w:t>277,959</w:t>
            </w:r>
            <w:r>
              <w:rPr>
                <w:snapToGrid w:val="0"/>
                <w:color w:val="000000"/>
              </w:rPr>
              <w:t>)</w:t>
            </w:r>
          </w:p>
        </w:tc>
        <w:tc>
          <w:tcPr>
            <w:tcW w:w="270" w:type="dxa"/>
          </w:tcPr>
          <w:p w14:paraId="229FFFEB" w14:textId="77777777" w:rsidR="004F2810" w:rsidRPr="00E74795" w:rsidRDefault="004F2810" w:rsidP="007149CF">
            <w:pPr>
              <w:jc w:val="right"/>
              <w:rPr>
                <w:snapToGrid w:val="0"/>
                <w:color w:val="000000"/>
              </w:rPr>
            </w:pPr>
          </w:p>
        </w:tc>
        <w:tc>
          <w:tcPr>
            <w:tcW w:w="1890" w:type="dxa"/>
            <w:tcBorders>
              <w:bottom w:val="single" w:sz="4" w:space="0" w:color="auto"/>
            </w:tcBorders>
          </w:tcPr>
          <w:p w14:paraId="6F298C59" w14:textId="77777777" w:rsidR="004F2810" w:rsidRPr="00E74795" w:rsidRDefault="004F2810" w:rsidP="007149CF">
            <w:pPr>
              <w:tabs>
                <w:tab w:val="decimal" w:pos="1500"/>
              </w:tabs>
              <w:rPr>
                <w:snapToGrid w:val="0"/>
                <w:color w:val="000000"/>
              </w:rPr>
            </w:pPr>
            <w:r w:rsidRPr="00E74795">
              <w:rPr>
                <w:snapToGrid w:val="0"/>
                <w:color w:val="000000"/>
              </w:rPr>
              <w:t>(</w:t>
            </w:r>
            <w:r>
              <w:rPr>
                <w:snapToGrid w:val="0"/>
                <w:color w:val="000000"/>
              </w:rPr>
              <w:t>104,363,785</w:t>
            </w:r>
            <w:r w:rsidRPr="00E74795">
              <w:rPr>
                <w:snapToGrid w:val="0"/>
                <w:color w:val="000000"/>
              </w:rPr>
              <w:t>)</w:t>
            </w:r>
          </w:p>
        </w:tc>
      </w:tr>
      <w:tr w:rsidR="004F2810" w:rsidRPr="00EB7BF0" w14:paraId="2C31CA8F" w14:textId="77777777" w:rsidTr="007149CF">
        <w:trPr>
          <w:trHeight w:hRule="exact" w:val="230"/>
        </w:trPr>
        <w:tc>
          <w:tcPr>
            <w:tcW w:w="6120" w:type="dxa"/>
            <w:gridSpan w:val="3"/>
          </w:tcPr>
          <w:p w14:paraId="3F94DB97" w14:textId="1657C42E" w:rsidR="004F2810" w:rsidRPr="00E74795" w:rsidRDefault="004F2810" w:rsidP="007149CF">
            <w:pPr>
              <w:rPr>
                <w:snapToGrid w:val="0"/>
                <w:color w:val="000000"/>
              </w:rPr>
            </w:pPr>
            <w:r w:rsidRPr="00374FE3">
              <w:rPr>
                <w:snapToGrid w:val="0"/>
                <w:color w:val="000000"/>
              </w:rPr>
              <w:t>Total stockholders’ equity</w:t>
            </w:r>
            <w:r w:rsidR="00262FED">
              <w:rPr>
                <w:snapToGrid w:val="0"/>
                <w:color w:val="000000"/>
              </w:rPr>
              <w:t xml:space="preserve"> (deficit)</w:t>
            </w:r>
          </w:p>
        </w:tc>
        <w:tc>
          <w:tcPr>
            <w:tcW w:w="90" w:type="dxa"/>
          </w:tcPr>
          <w:p w14:paraId="4CB90486" w14:textId="77777777" w:rsidR="004F2810" w:rsidRPr="00E74795" w:rsidRDefault="004F2810" w:rsidP="007149CF">
            <w:pPr>
              <w:jc w:val="right"/>
              <w:rPr>
                <w:snapToGrid w:val="0"/>
                <w:color w:val="000000"/>
              </w:rPr>
            </w:pPr>
          </w:p>
        </w:tc>
        <w:tc>
          <w:tcPr>
            <w:tcW w:w="1710" w:type="dxa"/>
            <w:tcBorders>
              <w:bottom w:val="single" w:sz="4" w:space="0" w:color="auto"/>
            </w:tcBorders>
          </w:tcPr>
          <w:p w14:paraId="70EF6C42" w14:textId="3934BE03" w:rsidR="004F2810" w:rsidRPr="00E74795" w:rsidRDefault="00262FED" w:rsidP="007149CF">
            <w:pPr>
              <w:tabs>
                <w:tab w:val="decimal" w:pos="1320"/>
              </w:tabs>
              <w:rPr>
                <w:snapToGrid w:val="0"/>
                <w:color w:val="000000"/>
              </w:rPr>
            </w:pPr>
            <w:r>
              <w:rPr>
                <w:snapToGrid w:val="0"/>
                <w:color w:val="000000"/>
              </w:rPr>
              <w:t>(2,</w:t>
            </w:r>
            <w:r w:rsidR="006B0CFA">
              <w:rPr>
                <w:snapToGrid w:val="0"/>
                <w:color w:val="000000"/>
              </w:rPr>
              <w:t>309,226</w:t>
            </w:r>
            <w:r>
              <w:rPr>
                <w:snapToGrid w:val="0"/>
                <w:color w:val="000000"/>
              </w:rPr>
              <w:t>)</w:t>
            </w:r>
          </w:p>
        </w:tc>
        <w:tc>
          <w:tcPr>
            <w:tcW w:w="270" w:type="dxa"/>
          </w:tcPr>
          <w:p w14:paraId="2C19092D" w14:textId="77777777" w:rsidR="004F2810" w:rsidRPr="00E74795" w:rsidRDefault="004F2810" w:rsidP="007149CF">
            <w:pPr>
              <w:jc w:val="right"/>
              <w:rPr>
                <w:snapToGrid w:val="0"/>
                <w:color w:val="000000"/>
              </w:rPr>
            </w:pPr>
          </w:p>
        </w:tc>
        <w:tc>
          <w:tcPr>
            <w:tcW w:w="1890" w:type="dxa"/>
            <w:tcBorders>
              <w:bottom w:val="single" w:sz="4" w:space="0" w:color="auto"/>
            </w:tcBorders>
          </w:tcPr>
          <w:p w14:paraId="5781DE16" w14:textId="77777777" w:rsidR="004F2810" w:rsidRPr="00E74795" w:rsidRDefault="004F2810" w:rsidP="007149CF">
            <w:pPr>
              <w:tabs>
                <w:tab w:val="decimal" w:pos="1500"/>
              </w:tabs>
              <w:rPr>
                <w:snapToGrid w:val="0"/>
                <w:color w:val="000000"/>
              </w:rPr>
            </w:pPr>
            <w:r>
              <w:rPr>
                <w:snapToGrid w:val="0"/>
                <w:color w:val="000000"/>
              </w:rPr>
              <w:t>5,763,338</w:t>
            </w:r>
          </w:p>
        </w:tc>
      </w:tr>
      <w:tr w:rsidR="004F2810" w:rsidRPr="00EB7BF0" w14:paraId="47396AD1" w14:textId="77777777" w:rsidTr="007149CF">
        <w:trPr>
          <w:trHeight w:hRule="exact" w:val="230"/>
        </w:trPr>
        <w:tc>
          <w:tcPr>
            <w:tcW w:w="305" w:type="dxa"/>
          </w:tcPr>
          <w:p w14:paraId="0D349E41" w14:textId="77777777" w:rsidR="004F2810" w:rsidRPr="00EB7BF0" w:rsidRDefault="004F2810" w:rsidP="007149CF">
            <w:pPr>
              <w:jc w:val="right"/>
              <w:rPr>
                <w:snapToGrid w:val="0"/>
                <w:color w:val="000000"/>
              </w:rPr>
            </w:pPr>
          </w:p>
        </w:tc>
        <w:tc>
          <w:tcPr>
            <w:tcW w:w="302" w:type="dxa"/>
          </w:tcPr>
          <w:p w14:paraId="36A7CFF9" w14:textId="77777777" w:rsidR="004F2810" w:rsidRPr="00EB7BF0" w:rsidRDefault="004F2810" w:rsidP="007149CF">
            <w:pPr>
              <w:jc w:val="right"/>
              <w:rPr>
                <w:snapToGrid w:val="0"/>
                <w:color w:val="000000"/>
              </w:rPr>
            </w:pPr>
          </w:p>
        </w:tc>
        <w:tc>
          <w:tcPr>
            <w:tcW w:w="5513" w:type="dxa"/>
          </w:tcPr>
          <w:p w14:paraId="5EE24B50" w14:textId="77777777" w:rsidR="004F2810" w:rsidRPr="00E74795" w:rsidRDefault="004F2810" w:rsidP="007149CF">
            <w:pPr>
              <w:jc w:val="right"/>
              <w:rPr>
                <w:snapToGrid w:val="0"/>
                <w:color w:val="000000"/>
              </w:rPr>
            </w:pPr>
          </w:p>
        </w:tc>
        <w:tc>
          <w:tcPr>
            <w:tcW w:w="90" w:type="dxa"/>
          </w:tcPr>
          <w:p w14:paraId="2A701D52" w14:textId="77777777" w:rsidR="004F2810" w:rsidRPr="00E74795" w:rsidRDefault="004F2810" w:rsidP="007149CF">
            <w:pPr>
              <w:jc w:val="right"/>
              <w:rPr>
                <w:snapToGrid w:val="0"/>
                <w:color w:val="000000"/>
              </w:rPr>
            </w:pPr>
          </w:p>
        </w:tc>
        <w:tc>
          <w:tcPr>
            <w:tcW w:w="1710" w:type="dxa"/>
            <w:tcBorders>
              <w:top w:val="single" w:sz="4" w:space="0" w:color="auto"/>
            </w:tcBorders>
          </w:tcPr>
          <w:p w14:paraId="2A21A3CA" w14:textId="77777777" w:rsidR="004F2810" w:rsidRPr="00E74795" w:rsidRDefault="004F2810" w:rsidP="007149CF">
            <w:pPr>
              <w:tabs>
                <w:tab w:val="decimal" w:pos="1320"/>
              </w:tabs>
              <w:rPr>
                <w:snapToGrid w:val="0"/>
                <w:color w:val="000000"/>
              </w:rPr>
            </w:pPr>
          </w:p>
        </w:tc>
        <w:tc>
          <w:tcPr>
            <w:tcW w:w="270" w:type="dxa"/>
          </w:tcPr>
          <w:p w14:paraId="67953D6B" w14:textId="77777777" w:rsidR="004F2810" w:rsidRPr="00E74795" w:rsidRDefault="004F2810" w:rsidP="007149CF">
            <w:pPr>
              <w:jc w:val="right"/>
              <w:rPr>
                <w:snapToGrid w:val="0"/>
                <w:color w:val="000000"/>
              </w:rPr>
            </w:pPr>
          </w:p>
        </w:tc>
        <w:tc>
          <w:tcPr>
            <w:tcW w:w="1890" w:type="dxa"/>
            <w:tcBorders>
              <w:top w:val="single" w:sz="4" w:space="0" w:color="auto"/>
            </w:tcBorders>
          </w:tcPr>
          <w:p w14:paraId="6362252F" w14:textId="77777777" w:rsidR="004F2810" w:rsidRPr="00E74795" w:rsidRDefault="004F2810" w:rsidP="007149CF">
            <w:pPr>
              <w:tabs>
                <w:tab w:val="decimal" w:pos="1195"/>
              </w:tabs>
              <w:jc w:val="center"/>
              <w:rPr>
                <w:snapToGrid w:val="0"/>
                <w:color w:val="000000"/>
              </w:rPr>
            </w:pPr>
          </w:p>
        </w:tc>
      </w:tr>
      <w:tr w:rsidR="004F2810" w:rsidRPr="00EB7BF0" w14:paraId="390C143F" w14:textId="77777777" w:rsidTr="007149CF">
        <w:trPr>
          <w:trHeight w:hRule="exact" w:val="230"/>
        </w:trPr>
        <w:tc>
          <w:tcPr>
            <w:tcW w:w="6120" w:type="dxa"/>
            <w:gridSpan w:val="3"/>
          </w:tcPr>
          <w:p w14:paraId="00C3BF9A" w14:textId="36CD3E89" w:rsidR="004F2810" w:rsidRPr="00E74795" w:rsidRDefault="004F2810" w:rsidP="007149CF">
            <w:pPr>
              <w:rPr>
                <w:snapToGrid w:val="0"/>
                <w:color w:val="000000"/>
              </w:rPr>
            </w:pPr>
            <w:r w:rsidRPr="00374FE3">
              <w:rPr>
                <w:snapToGrid w:val="0"/>
                <w:color w:val="000000"/>
              </w:rPr>
              <w:t>Total liabilities and stockholders’ equity</w:t>
            </w:r>
            <w:r w:rsidR="005F1378">
              <w:rPr>
                <w:snapToGrid w:val="0"/>
                <w:color w:val="000000"/>
              </w:rPr>
              <w:t xml:space="preserve"> (deficit)</w:t>
            </w:r>
          </w:p>
        </w:tc>
        <w:tc>
          <w:tcPr>
            <w:tcW w:w="90" w:type="dxa"/>
          </w:tcPr>
          <w:p w14:paraId="709A2B18" w14:textId="77777777" w:rsidR="004F2810" w:rsidRPr="00E74795" w:rsidRDefault="004F2810" w:rsidP="007149CF">
            <w:pPr>
              <w:jc w:val="right"/>
              <w:rPr>
                <w:snapToGrid w:val="0"/>
                <w:color w:val="000000"/>
              </w:rPr>
            </w:pPr>
          </w:p>
        </w:tc>
        <w:tc>
          <w:tcPr>
            <w:tcW w:w="1710" w:type="dxa"/>
          </w:tcPr>
          <w:p w14:paraId="657421BE" w14:textId="6401C5ED" w:rsidR="004F2810" w:rsidRPr="00E74795" w:rsidRDefault="004F2810" w:rsidP="007149CF">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262FED">
              <w:rPr>
                <w:snapToGrid w:val="0"/>
                <w:color w:val="000000"/>
              </w:rPr>
              <w:t>4,095,070</w:t>
            </w:r>
          </w:p>
        </w:tc>
        <w:tc>
          <w:tcPr>
            <w:tcW w:w="270" w:type="dxa"/>
          </w:tcPr>
          <w:p w14:paraId="333F5C4D" w14:textId="77777777" w:rsidR="004F2810" w:rsidRPr="00E74795" w:rsidRDefault="004F2810" w:rsidP="007149CF">
            <w:pPr>
              <w:jc w:val="right"/>
              <w:rPr>
                <w:snapToGrid w:val="0"/>
                <w:color w:val="000000"/>
              </w:rPr>
            </w:pPr>
          </w:p>
        </w:tc>
        <w:tc>
          <w:tcPr>
            <w:tcW w:w="1890" w:type="dxa"/>
          </w:tcPr>
          <w:p w14:paraId="20C4CD7E" w14:textId="77777777" w:rsidR="004F2810" w:rsidRPr="00E74795" w:rsidRDefault="004F2810" w:rsidP="007149CF">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9,283,219</w:t>
            </w:r>
          </w:p>
        </w:tc>
      </w:tr>
      <w:tr w:rsidR="004F2810" w:rsidRPr="00EB7BF0" w14:paraId="4BED8A80" w14:textId="77777777" w:rsidTr="007149CF">
        <w:trPr>
          <w:trHeight w:hRule="exact" w:val="230"/>
        </w:trPr>
        <w:tc>
          <w:tcPr>
            <w:tcW w:w="305" w:type="dxa"/>
          </w:tcPr>
          <w:p w14:paraId="1F717494" w14:textId="77777777" w:rsidR="004F2810" w:rsidRPr="00EB7BF0" w:rsidRDefault="004F2810" w:rsidP="007149CF">
            <w:pPr>
              <w:jc w:val="right"/>
              <w:rPr>
                <w:snapToGrid w:val="0"/>
                <w:color w:val="000000"/>
              </w:rPr>
            </w:pPr>
          </w:p>
        </w:tc>
        <w:tc>
          <w:tcPr>
            <w:tcW w:w="302" w:type="dxa"/>
          </w:tcPr>
          <w:p w14:paraId="5E921460" w14:textId="77777777" w:rsidR="004F2810" w:rsidRPr="00EB7BF0" w:rsidRDefault="004F2810" w:rsidP="007149CF">
            <w:pPr>
              <w:jc w:val="right"/>
              <w:rPr>
                <w:snapToGrid w:val="0"/>
                <w:color w:val="000000"/>
              </w:rPr>
            </w:pPr>
          </w:p>
        </w:tc>
        <w:tc>
          <w:tcPr>
            <w:tcW w:w="5513" w:type="dxa"/>
          </w:tcPr>
          <w:p w14:paraId="25249313" w14:textId="77777777" w:rsidR="004F2810" w:rsidRPr="00EB7BF0" w:rsidRDefault="004F2810" w:rsidP="007149CF">
            <w:pPr>
              <w:jc w:val="right"/>
              <w:rPr>
                <w:snapToGrid w:val="0"/>
                <w:color w:val="000000"/>
              </w:rPr>
            </w:pPr>
          </w:p>
        </w:tc>
        <w:tc>
          <w:tcPr>
            <w:tcW w:w="90" w:type="dxa"/>
          </w:tcPr>
          <w:p w14:paraId="072AFE79" w14:textId="77777777" w:rsidR="004F2810" w:rsidRPr="00EB7BF0" w:rsidRDefault="004F2810" w:rsidP="007149CF">
            <w:pPr>
              <w:jc w:val="right"/>
              <w:rPr>
                <w:snapToGrid w:val="0"/>
                <w:color w:val="000000"/>
              </w:rPr>
            </w:pPr>
          </w:p>
        </w:tc>
        <w:tc>
          <w:tcPr>
            <w:tcW w:w="1710" w:type="dxa"/>
            <w:tcBorders>
              <w:top w:val="double" w:sz="6" w:space="0" w:color="auto"/>
            </w:tcBorders>
          </w:tcPr>
          <w:p w14:paraId="17710EC6" w14:textId="77777777" w:rsidR="004F2810" w:rsidRPr="00EB7BF0" w:rsidRDefault="004F2810" w:rsidP="007149CF">
            <w:pPr>
              <w:jc w:val="right"/>
              <w:rPr>
                <w:snapToGrid w:val="0"/>
                <w:color w:val="000000"/>
              </w:rPr>
            </w:pPr>
          </w:p>
        </w:tc>
        <w:tc>
          <w:tcPr>
            <w:tcW w:w="270" w:type="dxa"/>
          </w:tcPr>
          <w:p w14:paraId="675078DA" w14:textId="77777777" w:rsidR="004F2810" w:rsidRPr="00EB7BF0" w:rsidRDefault="004F2810" w:rsidP="007149CF">
            <w:pPr>
              <w:jc w:val="right"/>
              <w:rPr>
                <w:snapToGrid w:val="0"/>
                <w:color w:val="000000"/>
              </w:rPr>
            </w:pPr>
          </w:p>
        </w:tc>
        <w:tc>
          <w:tcPr>
            <w:tcW w:w="1890" w:type="dxa"/>
            <w:tcBorders>
              <w:top w:val="double" w:sz="6" w:space="0" w:color="auto"/>
            </w:tcBorders>
          </w:tcPr>
          <w:p w14:paraId="15392282" w14:textId="77777777" w:rsidR="004F2810" w:rsidRPr="00EB7BF0" w:rsidRDefault="004F2810" w:rsidP="007149CF">
            <w:pPr>
              <w:jc w:val="right"/>
              <w:rPr>
                <w:snapToGrid w:val="0"/>
                <w:color w:val="000000"/>
              </w:rPr>
            </w:pPr>
          </w:p>
        </w:tc>
      </w:tr>
    </w:tbl>
    <w:p w14:paraId="72E72FF5" w14:textId="77777777" w:rsidR="004F2810" w:rsidRDefault="004F2810" w:rsidP="004F2810">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p w14:paraId="5FAF8C6D" w14:textId="77777777" w:rsidR="00034E07" w:rsidRDefault="00034E07" w:rsidP="00034E07">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034E07" w:rsidRPr="000D3DC5" w14:paraId="160CFC04" w14:textId="77777777" w:rsidTr="00F67DB5">
        <w:tc>
          <w:tcPr>
            <w:tcW w:w="378" w:type="dxa"/>
          </w:tcPr>
          <w:p w14:paraId="6CAB219D" w14:textId="77777777" w:rsidR="00034E07" w:rsidRPr="000D3DC5" w:rsidRDefault="00034E07" w:rsidP="00F67DB5">
            <w:pPr>
              <w:ind w:right="-360"/>
            </w:pPr>
          </w:p>
        </w:tc>
        <w:tc>
          <w:tcPr>
            <w:tcW w:w="450" w:type="dxa"/>
          </w:tcPr>
          <w:p w14:paraId="7C357313" w14:textId="77777777" w:rsidR="00034E07" w:rsidRPr="000D3DC5" w:rsidRDefault="00034E07" w:rsidP="00F67DB5">
            <w:pPr>
              <w:ind w:right="-360"/>
            </w:pPr>
          </w:p>
        </w:tc>
        <w:tc>
          <w:tcPr>
            <w:tcW w:w="450" w:type="dxa"/>
          </w:tcPr>
          <w:p w14:paraId="298CA799" w14:textId="77777777" w:rsidR="00034E07" w:rsidRPr="000D3DC5" w:rsidRDefault="00034E07" w:rsidP="00F67DB5">
            <w:pPr>
              <w:ind w:right="-360"/>
            </w:pPr>
          </w:p>
        </w:tc>
        <w:tc>
          <w:tcPr>
            <w:tcW w:w="2160" w:type="dxa"/>
          </w:tcPr>
          <w:p w14:paraId="140670A0" w14:textId="77777777" w:rsidR="00034E07" w:rsidRPr="000D3DC5" w:rsidRDefault="00034E07" w:rsidP="00F67DB5">
            <w:pPr>
              <w:tabs>
                <w:tab w:val="right" w:pos="9180"/>
              </w:tabs>
              <w:ind w:right="-360"/>
            </w:pPr>
          </w:p>
        </w:tc>
        <w:tc>
          <w:tcPr>
            <w:tcW w:w="3240" w:type="dxa"/>
            <w:gridSpan w:val="3"/>
            <w:tcBorders>
              <w:bottom w:val="single" w:sz="4" w:space="0" w:color="auto"/>
            </w:tcBorders>
          </w:tcPr>
          <w:p w14:paraId="561B6E02" w14:textId="77777777" w:rsidR="00034E07" w:rsidRDefault="00034E07" w:rsidP="00F67DB5">
            <w:pPr>
              <w:tabs>
                <w:tab w:val="right" w:pos="9180"/>
              </w:tabs>
              <w:ind w:right="-46"/>
              <w:jc w:val="center"/>
            </w:pPr>
            <w:r>
              <w:t>Three Months Ended June 30,</w:t>
            </w:r>
          </w:p>
        </w:tc>
        <w:tc>
          <w:tcPr>
            <w:tcW w:w="450" w:type="dxa"/>
          </w:tcPr>
          <w:p w14:paraId="7558324B" w14:textId="77777777" w:rsidR="00034E07" w:rsidRPr="000D3DC5" w:rsidRDefault="00034E07" w:rsidP="00F67DB5">
            <w:pPr>
              <w:tabs>
                <w:tab w:val="right" w:pos="9180"/>
              </w:tabs>
              <w:ind w:right="-360"/>
              <w:jc w:val="center"/>
            </w:pPr>
          </w:p>
        </w:tc>
        <w:tc>
          <w:tcPr>
            <w:tcW w:w="3240" w:type="dxa"/>
            <w:gridSpan w:val="3"/>
            <w:tcBorders>
              <w:bottom w:val="single" w:sz="4" w:space="0" w:color="auto"/>
            </w:tcBorders>
          </w:tcPr>
          <w:p w14:paraId="538E52D8" w14:textId="77777777" w:rsidR="00034E07" w:rsidRDefault="00034E07" w:rsidP="00F67DB5">
            <w:pPr>
              <w:tabs>
                <w:tab w:val="right" w:pos="9180"/>
              </w:tabs>
              <w:ind w:right="-18"/>
              <w:jc w:val="center"/>
            </w:pPr>
            <w:r>
              <w:t>Six Months Ended June 30,</w:t>
            </w:r>
          </w:p>
        </w:tc>
      </w:tr>
      <w:tr w:rsidR="00034E07" w:rsidRPr="000D3DC5" w14:paraId="669979A6" w14:textId="77777777" w:rsidTr="00F67DB5">
        <w:tc>
          <w:tcPr>
            <w:tcW w:w="378" w:type="dxa"/>
          </w:tcPr>
          <w:p w14:paraId="0B2CED3D" w14:textId="77777777" w:rsidR="00034E07" w:rsidRPr="000D3DC5" w:rsidRDefault="00034E07" w:rsidP="00F67DB5">
            <w:pPr>
              <w:ind w:right="-360"/>
            </w:pPr>
          </w:p>
        </w:tc>
        <w:tc>
          <w:tcPr>
            <w:tcW w:w="450" w:type="dxa"/>
          </w:tcPr>
          <w:p w14:paraId="5595F116" w14:textId="77777777" w:rsidR="00034E07" w:rsidRPr="000D3DC5" w:rsidRDefault="00034E07" w:rsidP="00F67DB5">
            <w:pPr>
              <w:ind w:right="-360"/>
            </w:pPr>
          </w:p>
        </w:tc>
        <w:tc>
          <w:tcPr>
            <w:tcW w:w="450" w:type="dxa"/>
          </w:tcPr>
          <w:p w14:paraId="744EAE1C" w14:textId="77777777" w:rsidR="00034E07" w:rsidRPr="000D3DC5" w:rsidRDefault="00034E07" w:rsidP="00F67DB5">
            <w:pPr>
              <w:ind w:right="-360"/>
            </w:pPr>
          </w:p>
        </w:tc>
        <w:tc>
          <w:tcPr>
            <w:tcW w:w="2160" w:type="dxa"/>
          </w:tcPr>
          <w:p w14:paraId="097A4F34"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343D2814" w14:textId="2E5A59C3" w:rsidR="00034E07" w:rsidRPr="000D3DC5" w:rsidRDefault="00034E07" w:rsidP="00F67DB5">
            <w:pPr>
              <w:tabs>
                <w:tab w:val="right" w:pos="9180"/>
              </w:tabs>
              <w:ind w:right="-18"/>
              <w:jc w:val="center"/>
            </w:pPr>
            <w:r>
              <w:t>202</w:t>
            </w:r>
            <w:r w:rsidR="00772FEB">
              <w:t>4</w:t>
            </w:r>
          </w:p>
        </w:tc>
        <w:tc>
          <w:tcPr>
            <w:tcW w:w="270" w:type="dxa"/>
            <w:tcBorders>
              <w:top w:val="single" w:sz="4" w:space="0" w:color="auto"/>
            </w:tcBorders>
          </w:tcPr>
          <w:p w14:paraId="293744DC" w14:textId="77777777" w:rsidR="00034E07" w:rsidRPr="000D3DC5" w:rsidRDefault="00034E07" w:rsidP="00F67DB5">
            <w:pPr>
              <w:tabs>
                <w:tab w:val="right" w:pos="9180"/>
              </w:tabs>
              <w:ind w:right="-360"/>
              <w:jc w:val="center"/>
            </w:pPr>
          </w:p>
        </w:tc>
        <w:tc>
          <w:tcPr>
            <w:tcW w:w="1440" w:type="dxa"/>
            <w:tcBorders>
              <w:top w:val="single" w:sz="4" w:space="0" w:color="auto"/>
              <w:bottom w:val="single" w:sz="4" w:space="0" w:color="auto"/>
            </w:tcBorders>
          </w:tcPr>
          <w:p w14:paraId="48596B3C" w14:textId="643C06A9" w:rsidR="00034E07" w:rsidRPr="000D3DC5" w:rsidRDefault="00034E07" w:rsidP="00F67DB5">
            <w:pPr>
              <w:tabs>
                <w:tab w:val="right" w:pos="9180"/>
              </w:tabs>
              <w:ind w:right="-46"/>
              <w:jc w:val="center"/>
            </w:pPr>
            <w:r>
              <w:t>202</w:t>
            </w:r>
            <w:r w:rsidR="00772FEB">
              <w:t>3</w:t>
            </w:r>
          </w:p>
        </w:tc>
        <w:tc>
          <w:tcPr>
            <w:tcW w:w="450" w:type="dxa"/>
          </w:tcPr>
          <w:p w14:paraId="2973C94B" w14:textId="77777777" w:rsidR="00034E07" w:rsidRPr="000D3DC5" w:rsidRDefault="00034E07" w:rsidP="00F67DB5">
            <w:pPr>
              <w:tabs>
                <w:tab w:val="right" w:pos="9180"/>
              </w:tabs>
              <w:ind w:right="-360"/>
              <w:jc w:val="center"/>
            </w:pPr>
          </w:p>
        </w:tc>
        <w:tc>
          <w:tcPr>
            <w:tcW w:w="1440" w:type="dxa"/>
            <w:tcBorders>
              <w:bottom w:val="single" w:sz="4" w:space="0" w:color="auto"/>
            </w:tcBorders>
          </w:tcPr>
          <w:p w14:paraId="59FE1CAF" w14:textId="28912F72" w:rsidR="00034E07" w:rsidRPr="000D3DC5" w:rsidRDefault="00034E07" w:rsidP="00F67DB5">
            <w:pPr>
              <w:tabs>
                <w:tab w:val="right" w:pos="9180"/>
              </w:tabs>
              <w:ind w:right="-18"/>
              <w:jc w:val="center"/>
            </w:pPr>
            <w:r>
              <w:t>202</w:t>
            </w:r>
            <w:r w:rsidR="00772FEB">
              <w:t>4</w:t>
            </w:r>
          </w:p>
        </w:tc>
        <w:tc>
          <w:tcPr>
            <w:tcW w:w="270" w:type="dxa"/>
          </w:tcPr>
          <w:p w14:paraId="049F48A2" w14:textId="77777777" w:rsidR="00034E07" w:rsidRPr="000D3DC5" w:rsidRDefault="00034E07" w:rsidP="00F67DB5">
            <w:pPr>
              <w:tabs>
                <w:tab w:val="right" w:pos="9180"/>
              </w:tabs>
              <w:ind w:right="-360"/>
              <w:jc w:val="center"/>
            </w:pPr>
          </w:p>
        </w:tc>
        <w:tc>
          <w:tcPr>
            <w:tcW w:w="1530" w:type="dxa"/>
            <w:tcBorders>
              <w:bottom w:val="single" w:sz="4" w:space="0" w:color="auto"/>
            </w:tcBorders>
          </w:tcPr>
          <w:p w14:paraId="6DB22745" w14:textId="1B476293" w:rsidR="00034E07" w:rsidRPr="000D3DC5" w:rsidRDefault="00034E07" w:rsidP="00F67DB5">
            <w:pPr>
              <w:tabs>
                <w:tab w:val="right" w:pos="9180"/>
              </w:tabs>
              <w:ind w:right="-18"/>
              <w:jc w:val="center"/>
            </w:pPr>
            <w:r>
              <w:t>202</w:t>
            </w:r>
            <w:r w:rsidR="00772FEB">
              <w:t>3</w:t>
            </w:r>
          </w:p>
        </w:tc>
      </w:tr>
      <w:tr w:rsidR="00034E07" w:rsidRPr="000D3DC5" w14:paraId="7A660DB1" w14:textId="77777777" w:rsidTr="00F67DB5">
        <w:tc>
          <w:tcPr>
            <w:tcW w:w="3438" w:type="dxa"/>
            <w:gridSpan w:val="4"/>
          </w:tcPr>
          <w:p w14:paraId="28DCD19D" w14:textId="4A90292A" w:rsidR="00034E07" w:rsidRPr="000D3DC5" w:rsidRDefault="0010791D" w:rsidP="00F67DB5">
            <w:pPr>
              <w:tabs>
                <w:tab w:val="right" w:pos="9180"/>
              </w:tabs>
              <w:ind w:right="-360"/>
            </w:pPr>
            <w:r w:rsidRPr="0010791D">
              <w:t>R</w:t>
            </w:r>
            <w:r w:rsidR="00034E07" w:rsidRPr="0010791D">
              <w:t>evenue</w:t>
            </w:r>
            <w:r>
              <w:t xml:space="preserve"> from government contract</w:t>
            </w:r>
          </w:p>
        </w:tc>
        <w:tc>
          <w:tcPr>
            <w:tcW w:w="1530" w:type="dxa"/>
          </w:tcPr>
          <w:p w14:paraId="3A6234A0" w14:textId="4A0DCB5F" w:rsidR="00034E07" w:rsidRPr="000D3DC5" w:rsidRDefault="00034E07" w:rsidP="00F67DB5">
            <w:pPr>
              <w:tabs>
                <w:tab w:val="decimal" w:pos="1152"/>
                <w:tab w:val="right" w:pos="9180"/>
              </w:tabs>
              <w:ind w:right="-18"/>
            </w:pPr>
            <w:r>
              <w:t>$</w:t>
            </w:r>
            <w:r>
              <w:tab/>
            </w:r>
            <w:r w:rsidR="00262FED">
              <w:t>300,677</w:t>
            </w:r>
          </w:p>
        </w:tc>
        <w:tc>
          <w:tcPr>
            <w:tcW w:w="270" w:type="dxa"/>
          </w:tcPr>
          <w:p w14:paraId="6489A7A1" w14:textId="77777777" w:rsidR="00034E07" w:rsidRPr="000D3DC5" w:rsidRDefault="00034E07" w:rsidP="00F67DB5">
            <w:pPr>
              <w:tabs>
                <w:tab w:val="right" w:pos="9180"/>
              </w:tabs>
              <w:ind w:right="-360"/>
            </w:pPr>
          </w:p>
        </w:tc>
        <w:tc>
          <w:tcPr>
            <w:tcW w:w="1440" w:type="dxa"/>
          </w:tcPr>
          <w:p w14:paraId="0FF0AC99" w14:textId="35CEB2F7" w:rsidR="00034E07" w:rsidRPr="000D3DC5" w:rsidRDefault="00034E07" w:rsidP="00F67DB5">
            <w:pPr>
              <w:tabs>
                <w:tab w:val="decimal" w:pos="1062"/>
                <w:tab w:val="right" w:pos="9180"/>
              </w:tabs>
              <w:ind w:right="-46"/>
            </w:pPr>
            <w:r>
              <w:t>$</w:t>
            </w:r>
            <w:r>
              <w:tab/>
              <w:t>-</w:t>
            </w:r>
          </w:p>
        </w:tc>
        <w:tc>
          <w:tcPr>
            <w:tcW w:w="450" w:type="dxa"/>
          </w:tcPr>
          <w:p w14:paraId="1F1A2CA5" w14:textId="77777777" w:rsidR="00034E07" w:rsidRPr="000D3DC5" w:rsidRDefault="00034E07" w:rsidP="00F67DB5">
            <w:pPr>
              <w:tabs>
                <w:tab w:val="right" w:pos="9180"/>
              </w:tabs>
              <w:ind w:right="-360"/>
            </w:pPr>
          </w:p>
        </w:tc>
        <w:tc>
          <w:tcPr>
            <w:tcW w:w="1440" w:type="dxa"/>
          </w:tcPr>
          <w:p w14:paraId="4A2F7F39" w14:textId="3C076DD8" w:rsidR="00034E07" w:rsidRPr="000D3DC5" w:rsidRDefault="00034E07" w:rsidP="00F67DB5">
            <w:pPr>
              <w:tabs>
                <w:tab w:val="decimal" w:pos="1062"/>
                <w:tab w:val="right" w:pos="9180"/>
              </w:tabs>
              <w:ind w:right="-18"/>
            </w:pPr>
            <w:r w:rsidRPr="000D3DC5">
              <w:t>$</w:t>
            </w:r>
            <w:r w:rsidRPr="000D3DC5">
              <w:tab/>
            </w:r>
            <w:r w:rsidR="00262FED">
              <w:t>300,677</w:t>
            </w:r>
          </w:p>
        </w:tc>
        <w:tc>
          <w:tcPr>
            <w:tcW w:w="270" w:type="dxa"/>
          </w:tcPr>
          <w:p w14:paraId="1B3079E9" w14:textId="77777777" w:rsidR="00034E07" w:rsidRPr="000D3DC5" w:rsidRDefault="00034E07" w:rsidP="00F67DB5">
            <w:pPr>
              <w:tabs>
                <w:tab w:val="right" w:pos="9180"/>
              </w:tabs>
              <w:ind w:right="-360"/>
            </w:pPr>
          </w:p>
        </w:tc>
        <w:tc>
          <w:tcPr>
            <w:tcW w:w="1530" w:type="dxa"/>
          </w:tcPr>
          <w:p w14:paraId="2DC1AF12" w14:textId="0FDDCB0F" w:rsidR="00034E07" w:rsidRPr="000D3DC5" w:rsidRDefault="00034E07" w:rsidP="00F67DB5">
            <w:pPr>
              <w:tabs>
                <w:tab w:val="decimal" w:pos="1152"/>
                <w:tab w:val="right" w:pos="9180"/>
              </w:tabs>
              <w:ind w:right="-18"/>
            </w:pPr>
            <w:r w:rsidRPr="000D3DC5">
              <w:t>$</w:t>
            </w:r>
            <w:r w:rsidRPr="000D3DC5">
              <w:tab/>
            </w:r>
            <w:r w:rsidR="00772FEB">
              <w:t>-</w:t>
            </w:r>
          </w:p>
        </w:tc>
      </w:tr>
      <w:tr w:rsidR="00034E07" w:rsidRPr="000D3DC5" w14:paraId="4360BB98" w14:textId="77777777" w:rsidTr="00F67DB5">
        <w:tc>
          <w:tcPr>
            <w:tcW w:w="378" w:type="dxa"/>
          </w:tcPr>
          <w:p w14:paraId="38283C6F" w14:textId="77777777" w:rsidR="00034E07" w:rsidRPr="000D3DC5" w:rsidRDefault="00034E07" w:rsidP="00F67DB5">
            <w:pPr>
              <w:ind w:right="-360"/>
            </w:pPr>
          </w:p>
        </w:tc>
        <w:tc>
          <w:tcPr>
            <w:tcW w:w="450" w:type="dxa"/>
          </w:tcPr>
          <w:p w14:paraId="7AA32EFC" w14:textId="77777777" w:rsidR="00034E07" w:rsidRPr="000D3DC5" w:rsidRDefault="00034E07" w:rsidP="00F67DB5">
            <w:pPr>
              <w:ind w:right="-360"/>
            </w:pPr>
          </w:p>
        </w:tc>
        <w:tc>
          <w:tcPr>
            <w:tcW w:w="450" w:type="dxa"/>
          </w:tcPr>
          <w:p w14:paraId="614E7062" w14:textId="77777777" w:rsidR="00034E07" w:rsidRPr="000D3DC5" w:rsidRDefault="00034E07" w:rsidP="00F67DB5">
            <w:pPr>
              <w:ind w:right="-360"/>
            </w:pPr>
          </w:p>
        </w:tc>
        <w:tc>
          <w:tcPr>
            <w:tcW w:w="2160" w:type="dxa"/>
          </w:tcPr>
          <w:p w14:paraId="193A3CBD" w14:textId="77777777" w:rsidR="00034E07" w:rsidRPr="000D3DC5" w:rsidRDefault="00034E07" w:rsidP="00F67DB5">
            <w:pPr>
              <w:tabs>
                <w:tab w:val="right" w:pos="9180"/>
              </w:tabs>
              <w:ind w:right="-360"/>
            </w:pPr>
          </w:p>
        </w:tc>
        <w:tc>
          <w:tcPr>
            <w:tcW w:w="1530" w:type="dxa"/>
          </w:tcPr>
          <w:p w14:paraId="6A38F008" w14:textId="77777777" w:rsidR="00034E07" w:rsidRPr="000D3DC5" w:rsidRDefault="00034E07" w:rsidP="00F67DB5">
            <w:pPr>
              <w:tabs>
                <w:tab w:val="right" w:pos="9180"/>
              </w:tabs>
              <w:ind w:right="-18"/>
            </w:pPr>
          </w:p>
        </w:tc>
        <w:tc>
          <w:tcPr>
            <w:tcW w:w="270" w:type="dxa"/>
          </w:tcPr>
          <w:p w14:paraId="255D46CA" w14:textId="77777777" w:rsidR="00034E07" w:rsidRPr="000D3DC5" w:rsidRDefault="00034E07" w:rsidP="00F67DB5">
            <w:pPr>
              <w:tabs>
                <w:tab w:val="right" w:pos="9180"/>
              </w:tabs>
              <w:ind w:right="-360"/>
            </w:pPr>
          </w:p>
        </w:tc>
        <w:tc>
          <w:tcPr>
            <w:tcW w:w="1440" w:type="dxa"/>
          </w:tcPr>
          <w:p w14:paraId="06716BBC" w14:textId="77777777" w:rsidR="00034E07" w:rsidRPr="000D3DC5" w:rsidRDefault="00034E07" w:rsidP="00F67DB5">
            <w:pPr>
              <w:tabs>
                <w:tab w:val="right" w:pos="9180"/>
              </w:tabs>
              <w:ind w:right="-46"/>
            </w:pPr>
          </w:p>
        </w:tc>
        <w:tc>
          <w:tcPr>
            <w:tcW w:w="450" w:type="dxa"/>
          </w:tcPr>
          <w:p w14:paraId="483EAF30" w14:textId="77777777" w:rsidR="00034E07" w:rsidRPr="000D3DC5" w:rsidRDefault="00034E07" w:rsidP="00F67DB5">
            <w:pPr>
              <w:tabs>
                <w:tab w:val="right" w:pos="9180"/>
              </w:tabs>
              <w:ind w:right="-360"/>
            </w:pPr>
          </w:p>
        </w:tc>
        <w:tc>
          <w:tcPr>
            <w:tcW w:w="1440" w:type="dxa"/>
          </w:tcPr>
          <w:p w14:paraId="27D39E81" w14:textId="77777777" w:rsidR="00034E07" w:rsidRPr="000D3DC5" w:rsidRDefault="00034E07" w:rsidP="00F67DB5">
            <w:pPr>
              <w:tabs>
                <w:tab w:val="right" w:pos="9180"/>
              </w:tabs>
              <w:ind w:right="-18"/>
            </w:pPr>
          </w:p>
        </w:tc>
        <w:tc>
          <w:tcPr>
            <w:tcW w:w="270" w:type="dxa"/>
          </w:tcPr>
          <w:p w14:paraId="7C747B13" w14:textId="77777777" w:rsidR="00034E07" w:rsidRPr="000D3DC5" w:rsidRDefault="00034E07" w:rsidP="00F67DB5">
            <w:pPr>
              <w:tabs>
                <w:tab w:val="right" w:pos="9180"/>
              </w:tabs>
              <w:ind w:right="-360"/>
            </w:pPr>
          </w:p>
        </w:tc>
        <w:tc>
          <w:tcPr>
            <w:tcW w:w="1530" w:type="dxa"/>
          </w:tcPr>
          <w:p w14:paraId="1BA27B4B" w14:textId="77777777" w:rsidR="00034E07" w:rsidRPr="000D3DC5" w:rsidRDefault="00034E07" w:rsidP="00F67DB5">
            <w:pPr>
              <w:tabs>
                <w:tab w:val="right" w:pos="9180"/>
              </w:tabs>
              <w:ind w:right="-18"/>
            </w:pPr>
          </w:p>
        </w:tc>
      </w:tr>
      <w:tr w:rsidR="00034E07" w:rsidRPr="000D3DC5" w14:paraId="624F0B03" w14:textId="77777777" w:rsidTr="00F67DB5">
        <w:tc>
          <w:tcPr>
            <w:tcW w:w="3438" w:type="dxa"/>
            <w:gridSpan w:val="4"/>
          </w:tcPr>
          <w:p w14:paraId="71099DC4" w14:textId="77777777" w:rsidR="00034E07" w:rsidRPr="000D3DC5" w:rsidRDefault="00034E07" w:rsidP="00F67DB5">
            <w:pPr>
              <w:tabs>
                <w:tab w:val="right" w:pos="9180"/>
              </w:tabs>
              <w:ind w:right="-360"/>
            </w:pPr>
            <w:r w:rsidRPr="000D3DC5">
              <w:t>Operating expenses:</w:t>
            </w:r>
          </w:p>
        </w:tc>
        <w:tc>
          <w:tcPr>
            <w:tcW w:w="1530" w:type="dxa"/>
          </w:tcPr>
          <w:p w14:paraId="18F66975" w14:textId="77777777" w:rsidR="00034E07" w:rsidRPr="000D3DC5" w:rsidRDefault="00034E07" w:rsidP="00F67DB5">
            <w:pPr>
              <w:tabs>
                <w:tab w:val="right" w:pos="9180"/>
              </w:tabs>
              <w:ind w:right="-18"/>
            </w:pPr>
          </w:p>
        </w:tc>
        <w:tc>
          <w:tcPr>
            <w:tcW w:w="270" w:type="dxa"/>
          </w:tcPr>
          <w:p w14:paraId="40386DB8" w14:textId="77777777" w:rsidR="00034E07" w:rsidRPr="000D3DC5" w:rsidRDefault="00034E07" w:rsidP="00F67DB5">
            <w:pPr>
              <w:tabs>
                <w:tab w:val="right" w:pos="9180"/>
              </w:tabs>
              <w:ind w:right="-360"/>
            </w:pPr>
          </w:p>
        </w:tc>
        <w:tc>
          <w:tcPr>
            <w:tcW w:w="1440" w:type="dxa"/>
          </w:tcPr>
          <w:p w14:paraId="4FD5F8DF" w14:textId="77777777" w:rsidR="00034E07" w:rsidRPr="000D3DC5" w:rsidRDefault="00034E07" w:rsidP="00F67DB5">
            <w:pPr>
              <w:tabs>
                <w:tab w:val="right" w:pos="9180"/>
              </w:tabs>
              <w:ind w:right="-46"/>
            </w:pPr>
          </w:p>
        </w:tc>
        <w:tc>
          <w:tcPr>
            <w:tcW w:w="450" w:type="dxa"/>
          </w:tcPr>
          <w:p w14:paraId="5EB9525C" w14:textId="77777777" w:rsidR="00034E07" w:rsidRPr="000D3DC5" w:rsidRDefault="00034E07" w:rsidP="00F67DB5">
            <w:pPr>
              <w:tabs>
                <w:tab w:val="right" w:pos="9180"/>
              </w:tabs>
              <w:ind w:right="-360"/>
            </w:pPr>
          </w:p>
        </w:tc>
        <w:tc>
          <w:tcPr>
            <w:tcW w:w="1440" w:type="dxa"/>
          </w:tcPr>
          <w:p w14:paraId="06997AFA" w14:textId="77777777" w:rsidR="00034E07" w:rsidRPr="000D3DC5" w:rsidRDefault="00034E07" w:rsidP="00F67DB5">
            <w:pPr>
              <w:tabs>
                <w:tab w:val="right" w:pos="9180"/>
              </w:tabs>
              <w:ind w:right="-18"/>
            </w:pPr>
          </w:p>
        </w:tc>
        <w:tc>
          <w:tcPr>
            <w:tcW w:w="270" w:type="dxa"/>
          </w:tcPr>
          <w:p w14:paraId="490F7D58" w14:textId="77777777" w:rsidR="00034E07" w:rsidRPr="000D3DC5" w:rsidRDefault="00034E07" w:rsidP="00F67DB5">
            <w:pPr>
              <w:tabs>
                <w:tab w:val="right" w:pos="9180"/>
              </w:tabs>
              <w:ind w:right="-360"/>
            </w:pPr>
          </w:p>
        </w:tc>
        <w:tc>
          <w:tcPr>
            <w:tcW w:w="1530" w:type="dxa"/>
          </w:tcPr>
          <w:p w14:paraId="72487F78" w14:textId="77777777" w:rsidR="00034E07" w:rsidRPr="000D3DC5" w:rsidRDefault="00034E07" w:rsidP="00F67DB5">
            <w:pPr>
              <w:tabs>
                <w:tab w:val="right" w:pos="9180"/>
              </w:tabs>
              <w:ind w:right="-18"/>
            </w:pPr>
          </w:p>
        </w:tc>
      </w:tr>
      <w:tr w:rsidR="00034E07" w:rsidRPr="000D3DC5" w14:paraId="0BA3DD21" w14:textId="77777777" w:rsidTr="00F67DB5">
        <w:tc>
          <w:tcPr>
            <w:tcW w:w="378" w:type="dxa"/>
          </w:tcPr>
          <w:p w14:paraId="0D666C00" w14:textId="77777777" w:rsidR="00034E07" w:rsidRPr="000D3DC5" w:rsidRDefault="00034E07" w:rsidP="00F67DB5">
            <w:pPr>
              <w:ind w:right="-360"/>
            </w:pPr>
          </w:p>
        </w:tc>
        <w:tc>
          <w:tcPr>
            <w:tcW w:w="3060" w:type="dxa"/>
            <w:gridSpan w:val="3"/>
          </w:tcPr>
          <w:p w14:paraId="2D4A03C8" w14:textId="77777777" w:rsidR="00034E07" w:rsidRPr="000D3DC5" w:rsidRDefault="00034E07" w:rsidP="00F67DB5">
            <w:pPr>
              <w:tabs>
                <w:tab w:val="right" w:pos="9180"/>
              </w:tabs>
              <w:ind w:right="-360"/>
            </w:pPr>
            <w:r w:rsidRPr="000D3DC5">
              <w:t>Research and development</w:t>
            </w:r>
          </w:p>
        </w:tc>
        <w:tc>
          <w:tcPr>
            <w:tcW w:w="1530" w:type="dxa"/>
          </w:tcPr>
          <w:p w14:paraId="0B7FE9F3" w14:textId="5AC99F33" w:rsidR="00034E07" w:rsidRPr="000D3DC5" w:rsidRDefault="00034E07" w:rsidP="00F67DB5">
            <w:pPr>
              <w:tabs>
                <w:tab w:val="decimal" w:pos="1152"/>
                <w:tab w:val="right" w:pos="9180"/>
              </w:tabs>
              <w:ind w:right="-18"/>
            </w:pPr>
            <w:r w:rsidRPr="000D3DC5">
              <w:tab/>
            </w:r>
            <w:r w:rsidR="00262FED">
              <w:t>4,</w:t>
            </w:r>
            <w:r w:rsidR="006B0CFA">
              <w:t>276,868</w:t>
            </w:r>
          </w:p>
        </w:tc>
        <w:tc>
          <w:tcPr>
            <w:tcW w:w="270" w:type="dxa"/>
          </w:tcPr>
          <w:p w14:paraId="453EBE08" w14:textId="77777777" w:rsidR="00034E07" w:rsidRPr="000D3DC5" w:rsidRDefault="00034E07" w:rsidP="00F67DB5">
            <w:pPr>
              <w:tabs>
                <w:tab w:val="right" w:pos="9180"/>
              </w:tabs>
              <w:ind w:right="-360"/>
            </w:pPr>
          </w:p>
        </w:tc>
        <w:tc>
          <w:tcPr>
            <w:tcW w:w="1440" w:type="dxa"/>
          </w:tcPr>
          <w:p w14:paraId="130D1FF0" w14:textId="40BFCC62" w:rsidR="00034E07" w:rsidRPr="000D3DC5" w:rsidRDefault="00034E07" w:rsidP="00F67DB5">
            <w:pPr>
              <w:tabs>
                <w:tab w:val="decimal" w:pos="1062"/>
                <w:tab w:val="right" w:pos="9180"/>
              </w:tabs>
              <w:ind w:right="-46"/>
            </w:pPr>
            <w:r>
              <w:tab/>
            </w:r>
            <w:r w:rsidR="00772FEB">
              <w:t>4,719,728</w:t>
            </w:r>
          </w:p>
        </w:tc>
        <w:tc>
          <w:tcPr>
            <w:tcW w:w="450" w:type="dxa"/>
          </w:tcPr>
          <w:p w14:paraId="798EE44B" w14:textId="77777777" w:rsidR="00034E07" w:rsidRPr="000D3DC5" w:rsidRDefault="00034E07" w:rsidP="00F67DB5">
            <w:pPr>
              <w:tabs>
                <w:tab w:val="right" w:pos="9180"/>
              </w:tabs>
              <w:ind w:right="-360"/>
            </w:pPr>
          </w:p>
        </w:tc>
        <w:tc>
          <w:tcPr>
            <w:tcW w:w="1440" w:type="dxa"/>
          </w:tcPr>
          <w:p w14:paraId="79D91498" w14:textId="2A0E192C" w:rsidR="00034E07" w:rsidRPr="000D3DC5" w:rsidRDefault="00034E07" w:rsidP="00F67DB5">
            <w:pPr>
              <w:tabs>
                <w:tab w:val="decimal" w:pos="1062"/>
                <w:tab w:val="right" w:pos="9180"/>
              </w:tabs>
              <w:ind w:right="-18"/>
            </w:pPr>
            <w:r>
              <w:tab/>
            </w:r>
            <w:r w:rsidR="00262FED">
              <w:t>8,</w:t>
            </w:r>
            <w:r w:rsidR="006B0CFA">
              <w:t>702,596</w:t>
            </w:r>
          </w:p>
        </w:tc>
        <w:tc>
          <w:tcPr>
            <w:tcW w:w="270" w:type="dxa"/>
          </w:tcPr>
          <w:p w14:paraId="17F7F518" w14:textId="77777777" w:rsidR="00034E07" w:rsidRPr="000D3DC5" w:rsidRDefault="00034E07" w:rsidP="00F67DB5">
            <w:pPr>
              <w:tabs>
                <w:tab w:val="right" w:pos="9180"/>
              </w:tabs>
              <w:ind w:right="-360"/>
            </w:pPr>
          </w:p>
        </w:tc>
        <w:tc>
          <w:tcPr>
            <w:tcW w:w="1530" w:type="dxa"/>
          </w:tcPr>
          <w:p w14:paraId="1E826686" w14:textId="620B3B4B" w:rsidR="00034E07" w:rsidRPr="000D3DC5" w:rsidRDefault="00034E07" w:rsidP="00F67DB5">
            <w:pPr>
              <w:tabs>
                <w:tab w:val="decimal" w:pos="1152"/>
                <w:tab w:val="right" w:pos="9180"/>
              </w:tabs>
              <w:ind w:right="-18"/>
            </w:pPr>
            <w:r>
              <w:tab/>
            </w:r>
            <w:r w:rsidR="00772FEB">
              <w:t>7,538,917</w:t>
            </w:r>
          </w:p>
        </w:tc>
      </w:tr>
      <w:tr w:rsidR="00034E07" w:rsidRPr="000D3DC5" w14:paraId="2B1E0F39" w14:textId="77777777" w:rsidTr="00F67DB5">
        <w:tc>
          <w:tcPr>
            <w:tcW w:w="378" w:type="dxa"/>
          </w:tcPr>
          <w:p w14:paraId="2866E22D" w14:textId="77777777" w:rsidR="00034E07" w:rsidRPr="000D3DC5" w:rsidRDefault="00034E07" w:rsidP="00F67DB5">
            <w:pPr>
              <w:ind w:right="-360"/>
            </w:pPr>
          </w:p>
        </w:tc>
        <w:tc>
          <w:tcPr>
            <w:tcW w:w="3060" w:type="dxa"/>
            <w:gridSpan w:val="3"/>
          </w:tcPr>
          <w:p w14:paraId="0DFFB21D" w14:textId="77777777" w:rsidR="00034E07" w:rsidRPr="000D3DC5" w:rsidRDefault="00034E07" w:rsidP="00F67DB5">
            <w:pPr>
              <w:tabs>
                <w:tab w:val="right" w:pos="9180"/>
              </w:tabs>
              <w:ind w:right="-360"/>
            </w:pPr>
            <w:r w:rsidRPr="000D3DC5">
              <w:t>General and administrative</w:t>
            </w:r>
          </w:p>
        </w:tc>
        <w:tc>
          <w:tcPr>
            <w:tcW w:w="1530" w:type="dxa"/>
          </w:tcPr>
          <w:p w14:paraId="2560CD3E" w14:textId="349D2C4F" w:rsidR="00034E07" w:rsidRPr="000D3DC5" w:rsidRDefault="00034E07" w:rsidP="00F67DB5">
            <w:pPr>
              <w:tabs>
                <w:tab w:val="decimal" w:pos="1152"/>
                <w:tab w:val="right" w:pos="9180"/>
              </w:tabs>
              <w:ind w:right="-18"/>
            </w:pPr>
            <w:r w:rsidRPr="000D3DC5">
              <w:tab/>
            </w:r>
            <w:r w:rsidR="00262FED">
              <w:t>1,086,030</w:t>
            </w:r>
          </w:p>
        </w:tc>
        <w:tc>
          <w:tcPr>
            <w:tcW w:w="270" w:type="dxa"/>
          </w:tcPr>
          <w:p w14:paraId="0DAE7AAD" w14:textId="77777777" w:rsidR="00034E07" w:rsidRPr="000D3DC5" w:rsidRDefault="00034E07" w:rsidP="00F67DB5">
            <w:pPr>
              <w:tabs>
                <w:tab w:val="right" w:pos="9180"/>
              </w:tabs>
              <w:ind w:right="-360"/>
            </w:pPr>
          </w:p>
        </w:tc>
        <w:tc>
          <w:tcPr>
            <w:tcW w:w="1440" w:type="dxa"/>
          </w:tcPr>
          <w:p w14:paraId="79A4E655" w14:textId="35FF6BCB" w:rsidR="00034E07" w:rsidRPr="000D3DC5" w:rsidRDefault="00034E07" w:rsidP="00F67DB5">
            <w:pPr>
              <w:tabs>
                <w:tab w:val="decimal" w:pos="1062"/>
                <w:tab w:val="right" w:pos="9180"/>
              </w:tabs>
              <w:ind w:right="-46"/>
            </w:pPr>
            <w:r>
              <w:tab/>
            </w:r>
            <w:r w:rsidR="00772FEB">
              <w:t>1,459,093</w:t>
            </w:r>
          </w:p>
        </w:tc>
        <w:tc>
          <w:tcPr>
            <w:tcW w:w="450" w:type="dxa"/>
          </w:tcPr>
          <w:p w14:paraId="46254084" w14:textId="77777777" w:rsidR="00034E07" w:rsidRPr="000D3DC5" w:rsidRDefault="00034E07" w:rsidP="00F67DB5">
            <w:pPr>
              <w:tabs>
                <w:tab w:val="right" w:pos="9180"/>
              </w:tabs>
              <w:ind w:right="-360"/>
            </w:pPr>
          </w:p>
        </w:tc>
        <w:tc>
          <w:tcPr>
            <w:tcW w:w="1440" w:type="dxa"/>
          </w:tcPr>
          <w:p w14:paraId="1E28E8B0" w14:textId="74B6B0DB" w:rsidR="00034E07" w:rsidRPr="000D3DC5" w:rsidRDefault="00034E07" w:rsidP="00F67DB5">
            <w:pPr>
              <w:tabs>
                <w:tab w:val="decimal" w:pos="1062"/>
                <w:tab w:val="right" w:pos="9180"/>
              </w:tabs>
              <w:ind w:right="-18"/>
            </w:pPr>
            <w:r w:rsidRPr="000D3DC5">
              <w:tab/>
            </w:r>
            <w:r w:rsidR="00262FED">
              <w:t>2,5</w:t>
            </w:r>
            <w:r w:rsidR="006B0CFA">
              <w:t>43,383</w:t>
            </w:r>
          </w:p>
        </w:tc>
        <w:tc>
          <w:tcPr>
            <w:tcW w:w="270" w:type="dxa"/>
          </w:tcPr>
          <w:p w14:paraId="22736E86" w14:textId="77777777" w:rsidR="00034E07" w:rsidRPr="000D3DC5" w:rsidRDefault="00034E07" w:rsidP="00F67DB5">
            <w:pPr>
              <w:tabs>
                <w:tab w:val="right" w:pos="9180"/>
              </w:tabs>
              <w:ind w:right="-360"/>
            </w:pPr>
          </w:p>
        </w:tc>
        <w:tc>
          <w:tcPr>
            <w:tcW w:w="1530" w:type="dxa"/>
          </w:tcPr>
          <w:p w14:paraId="4163C234" w14:textId="64DB7CEC" w:rsidR="00034E07" w:rsidRPr="000D3DC5" w:rsidRDefault="00034E07" w:rsidP="00F67DB5">
            <w:pPr>
              <w:tabs>
                <w:tab w:val="decimal" w:pos="1152"/>
                <w:tab w:val="right" w:pos="9180"/>
              </w:tabs>
              <w:ind w:right="-18"/>
            </w:pPr>
            <w:r>
              <w:tab/>
              <w:t>2,</w:t>
            </w:r>
            <w:r w:rsidR="00772FEB">
              <w:t>910,518</w:t>
            </w:r>
          </w:p>
        </w:tc>
      </w:tr>
      <w:tr w:rsidR="00034E07" w:rsidRPr="000D3DC5" w14:paraId="20A10794" w14:textId="77777777" w:rsidTr="00F67DB5">
        <w:tc>
          <w:tcPr>
            <w:tcW w:w="3438" w:type="dxa"/>
            <w:gridSpan w:val="4"/>
          </w:tcPr>
          <w:p w14:paraId="3B3AB860" w14:textId="77777777" w:rsidR="00034E07" w:rsidRPr="000D3DC5" w:rsidRDefault="00034E07" w:rsidP="00F67DB5">
            <w:pPr>
              <w:tabs>
                <w:tab w:val="right" w:pos="9180"/>
              </w:tabs>
              <w:ind w:right="-360"/>
            </w:pPr>
            <w:r>
              <w:t>Total operating expenses</w:t>
            </w:r>
          </w:p>
        </w:tc>
        <w:tc>
          <w:tcPr>
            <w:tcW w:w="1530" w:type="dxa"/>
            <w:tcBorders>
              <w:top w:val="single" w:sz="4" w:space="0" w:color="auto"/>
              <w:bottom w:val="single" w:sz="4" w:space="0" w:color="auto"/>
            </w:tcBorders>
          </w:tcPr>
          <w:p w14:paraId="56C01D54" w14:textId="0BB758EF" w:rsidR="00034E07" w:rsidRPr="000D3DC5" w:rsidRDefault="00034E07" w:rsidP="00F67DB5">
            <w:pPr>
              <w:tabs>
                <w:tab w:val="decimal" w:pos="1152"/>
                <w:tab w:val="right" w:pos="9180"/>
              </w:tabs>
              <w:ind w:right="-18"/>
            </w:pPr>
            <w:r w:rsidRPr="000D3DC5">
              <w:tab/>
            </w:r>
            <w:r w:rsidR="00262FED">
              <w:t>5,</w:t>
            </w:r>
            <w:r w:rsidR="006B0CFA">
              <w:t>362,898</w:t>
            </w:r>
          </w:p>
        </w:tc>
        <w:tc>
          <w:tcPr>
            <w:tcW w:w="270" w:type="dxa"/>
          </w:tcPr>
          <w:p w14:paraId="23321348"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31A7CFC" w14:textId="72858FC1" w:rsidR="00034E07" w:rsidRPr="000D3DC5" w:rsidRDefault="00034E07" w:rsidP="00F67DB5">
            <w:pPr>
              <w:tabs>
                <w:tab w:val="decimal" w:pos="1062"/>
                <w:tab w:val="right" w:pos="9180"/>
              </w:tabs>
              <w:ind w:right="-46"/>
            </w:pPr>
            <w:r>
              <w:tab/>
            </w:r>
            <w:r w:rsidR="00772FEB">
              <w:t>6,178,821</w:t>
            </w:r>
          </w:p>
        </w:tc>
        <w:tc>
          <w:tcPr>
            <w:tcW w:w="450" w:type="dxa"/>
          </w:tcPr>
          <w:p w14:paraId="3A39A27E"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01B9889" w14:textId="09BE5F0A" w:rsidR="00034E07" w:rsidRPr="000D3DC5" w:rsidRDefault="00034E07" w:rsidP="00F67DB5">
            <w:pPr>
              <w:tabs>
                <w:tab w:val="decimal" w:pos="1062"/>
                <w:tab w:val="right" w:pos="9180"/>
              </w:tabs>
              <w:ind w:right="-18"/>
            </w:pPr>
            <w:r w:rsidRPr="000D3DC5">
              <w:tab/>
            </w:r>
            <w:r w:rsidR="00262FED">
              <w:t>11,</w:t>
            </w:r>
            <w:r w:rsidR="006B0CFA">
              <w:t>245,979</w:t>
            </w:r>
          </w:p>
        </w:tc>
        <w:tc>
          <w:tcPr>
            <w:tcW w:w="270" w:type="dxa"/>
          </w:tcPr>
          <w:p w14:paraId="4DB794AA"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16CF0FE2" w14:textId="40CD0855" w:rsidR="00034E07" w:rsidRPr="000D3DC5" w:rsidRDefault="00034E07" w:rsidP="00F67DB5">
            <w:pPr>
              <w:tabs>
                <w:tab w:val="decimal" w:pos="1152"/>
                <w:tab w:val="right" w:pos="9180"/>
              </w:tabs>
              <w:ind w:right="-18"/>
            </w:pPr>
            <w:r>
              <w:tab/>
            </w:r>
            <w:r w:rsidR="00772FEB">
              <w:t>10,449,435</w:t>
            </w:r>
          </w:p>
        </w:tc>
      </w:tr>
      <w:tr w:rsidR="00034E07" w:rsidRPr="000D3DC5" w14:paraId="773AF28B" w14:textId="77777777" w:rsidTr="00F67DB5">
        <w:tc>
          <w:tcPr>
            <w:tcW w:w="378" w:type="dxa"/>
          </w:tcPr>
          <w:p w14:paraId="5CAC6E43" w14:textId="77777777" w:rsidR="00034E07" w:rsidRPr="000D3DC5" w:rsidRDefault="00034E07" w:rsidP="00F67DB5">
            <w:pPr>
              <w:ind w:right="-360"/>
            </w:pPr>
          </w:p>
        </w:tc>
        <w:tc>
          <w:tcPr>
            <w:tcW w:w="450" w:type="dxa"/>
          </w:tcPr>
          <w:p w14:paraId="5E0EF4B4" w14:textId="77777777" w:rsidR="00034E07" w:rsidRPr="000D3DC5" w:rsidRDefault="00034E07" w:rsidP="00F67DB5">
            <w:pPr>
              <w:ind w:right="-360"/>
            </w:pPr>
          </w:p>
        </w:tc>
        <w:tc>
          <w:tcPr>
            <w:tcW w:w="450" w:type="dxa"/>
          </w:tcPr>
          <w:p w14:paraId="7ECE7A99" w14:textId="77777777" w:rsidR="00034E07" w:rsidRPr="000D3DC5" w:rsidRDefault="00034E07" w:rsidP="00F67DB5">
            <w:pPr>
              <w:ind w:right="-360"/>
            </w:pPr>
          </w:p>
        </w:tc>
        <w:tc>
          <w:tcPr>
            <w:tcW w:w="2160" w:type="dxa"/>
          </w:tcPr>
          <w:p w14:paraId="52423E49" w14:textId="77777777" w:rsidR="00034E07" w:rsidRPr="000D3DC5" w:rsidRDefault="00034E07" w:rsidP="00F67DB5">
            <w:pPr>
              <w:tabs>
                <w:tab w:val="right" w:pos="9180"/>
              </w:tabs>
              <w:ind w:right="-360"/>
            </w:pPr>
          </w:p>
        </w:tc>
        <w:tc>
          <w:tcPr>
            <w:tcW w:w="1530" w:type="dxa"/>
            <w:tcBorders>
              <w:top w:val="single" w:sz="4" w:space="0" w:color="auto"/>
            </w:tcBorders>
          </w:tcPr>
          <w:p w14:paraId="525C565A" w14:textId="77777777" w:rsidR="00034E07" w:rsidRPr="000D3DC5" w:rsidRDefault="00034E07" w:rsidP="00F67DB5">
            <w:pPr>
              <w:tabs>
                <w:tab w:val="right" w:pos="9180"/>
              </w:tabs>
              <w:ind w:right="-18"/>
            </w:pPr>
          </w:p>
        </w:tc>
        <w:tc>
          <w:tcPr>
            <w:tcW w:w="270" w:type="dxa"/>
          </w:tcPr>
          <w:p w14:paraId="3B69A0C0" w14:textId="77777777" w:rsidR="00034E07" w:rsidRPr="000D3DC5" w:rsidRDefault="00034E07" w:rsidP="00F67DB5">
            <w:pPr>
              <w:tabs>
                <w:tab w:val="right" w:pos="9180"/>
              </w:tabs>
              <w:ind w:right="-360"/>
            </w:pPr>
          </w:p>
        </w:tc>
        <w:tc>
          <w:tcPr>
            <w:tcW w:w="1440" w:type="dxa"/>
            <w:tcBorders>
              <w:top w:val="single" w:sz="4" w:space="0" w:color="auto"/>
            </w:tcBorders>
          </w:tcPr>
          <w:p w14:paraId="5E48A85C" w14:textId="77777777" w:rsidR="00034E07" w:rsidRPr="000D3DC5" w:rsidRDefault="00034E07" w:rsidP="00F67DB5">
            <w:pPr>
              <w:tabs>
                <w:tab w:val="right" w:pos="9180"/>
              </w:tabs>
              <w:ind w:right="-46"/>
            </w:pPr>
          </w:p>
        </w:tc>
        <w:tc>
          <w:tcPr>
            <w:tcW w:w="450" w:type="dxa"/>
          </w:tcPr>
          <w:p w14:paraId="246FBD9F" w14:textId="77777777" w:rsidR="00034E07" w:rsidRPr="000D3DC5" w:rsidRDefault="00034E07" w:rsidP="00F67DB5">
            <w:pPr>
              <w:tabs>
                <w:tab w:val="right" w:pos="9180"/>
              </w:tabs>
              <w:ind w:right="-360"/>
            </w:pPr>
          </w:p>
        </w:tc>
        <w:tc>
          <w:tcPr>
            <w:tcW w:w="1440" w:type="dxa"/>
            <w:tcBorders>
              <w:top w:val="single" w:sz="4" w:space="0" w:color="auto"/>
            </w:tcBorders>
          </w:tcPr>
          <w:p w14:paraId="6DCA3B53" w14:textId="77777777" w:rsidR="00034E07" w:rsidRPr="000D3DC5" w:rsidRDefault="00034E07" w:rsidP="00F67DB5">
            <w:pPr>
              <w:tabs>
                <w:tab w:val="right" w:pos="9180"/>
              </w:tabs>
              <w:ind w:right="-18"/>
            </w:pPr>
          </w:p>
        </w:tc>
        <w:tc>
          <w:tcPr>
            <w:tcW w:w="270" w:type="dxa"/>
          </w:tcPr>
          <w:p w14:paraId="0252D2B2" w14:textId="77777777" w:rsidR="00034E07" w:rsidRPr="000D3DC5" w:rsidRDefault="00034E07" w:rsidP="00F67DB5">
            <w:pPr>
              <w:tabs>
                <w:tab w:val="right" w:pos="9180"/>
              </w:tabs>
              <w:ind w:right="-360"/>
            </w:pPr>
          </w:p>
        </w:tc>
        <w:tc>
          <w:tcPr>
            <w:tcW w:w="1530" w:type="dxa"/>
            <w:tcBorders>
              <w:top w:val="single" w:sz="4" w:space="0" w:color="auto"/>
            </w:tcBorders>
          </w:tcPr>
          <w:p w14:paraId="3E69ADBD" w14:textId="77777777" w:rsidR="00034E07" w:rsidRPr="000D3DC5" w:rsidRDefault="00034E07" w:rsidP="00F67DB5">
            <w:pPr>
              <w:tabs>
                <w:tab w:val="right" w:pos="9180"/>
              </w:tabs>
              <w:ind w:right="-18"/>
            </w:pPr>
          </w:p>
        </w:tc>
      </w:tr>
      <w:tr w:rsidR="00034E07" w:rsidRPr="000D3DC5" w14:paraId="14E283D5" w14:textId="77777777" w:rsidTr="00F67DB5">
        <w:tc>
          <w:tcPr>
            <w:tcW w:w="3438" w:type="dxa"/>
            <w:gridSpan w:val="4"/>
          </w:tcPr>
          <w:p w14:paraId="2B77A8E5" w14:textId="77777777" w:rsidR="00034E07" w:rsidRPr="000D3DC5" w:rsidRDefault="00034E07" w:rsidP="00F67DB5">
            <w:pPr>
              <w:tabs>
                <w:tab w:val="right" w:pos="9180"/>
              </w:tabs>
              <w:ind w:right="-360"/>
            </w:pPr>
            <w:r>
              <w:t>L</w:t>
            </w:r>
            <w:r w:rsidRPr="000D3DC5">
              <w:t>oss from operations</w:t>
            </w:r>
          </w:p>
        </w:tc>
        <w:tc>
          <w:tcPr>
            <w:tcW w:w="1530" w:type="dxa"/>
          </w:tcPr>
          <w:p w14:paraId="28973056" w14:textId="315485AA" w:rsidR="00034E07" w:rsidRPr="000D3DC5" w:rsidRDefault="00034E07" w:rsidP="00F67DB5">
            <w:pPr>
              <w:tabs>
                <w:tab w:val="decimal" w:pos="1152"/>
                <w:tab w:val="right" w:pos="9180"/>
              </w:tabs>
              <w:ind w:right="-18"/>
            </w:pPr>
            <w:r>
              <w:tab/>
            </w:r>
            <w:r w:rsidR="00262FED">
              <w:t>(</w:t>
            </w:r>
            <w:r w:rsidR="006B0CFA">
              <w:t>5,062,221</w:t>
            </w:r>
            <w:r w:rsidR="00262FED">
              <w:t>)</w:t>
            </w:r>
          </w:p>
        </w:tc>
        <w:tc>
          <w:tcPr>
            <w:tcW w:w="270" w:type="dxa"/>
          </w:tcPr>
          <w:p w14:paraId="4B26103C" w14:textId="77777777" w:rsidR="00034E07" w:rsidRPr="000D3DC5" w:rsidRDefault="00034E07" w:rsidP="00F67DB5">
            <w:pPr>
              <w:tabs>
                <w:tab w:val="right" w:pos="9180"/>
              </w:tabs>
              <w:ind w:right="-360"/>
            </w:pPr>
          </w:p>
        </w:tc>
        <w:tc>
          <w:tcPr>
            <w:tcW w:w="1440" w:type="dxa"/>
          </w:tcPr>
          <w:p w14:paraId="0E49A218" w14:textId="6744B54E" w:rsidR="00034E07" w:rsidRPr="000D3DC5" w:rsidRDefault="00034E07" w:rsidP="00F67DB5">
            <w:pPr>
              <w:tabs>
                <w:tab w:val="decimal" w:pos="1062"/>
                <w:tab w:val="right" w:pos="9180"/>
              </w:tabs>
              <w:ind w:right="-46"/>
            </w:pPr>
            <w:r>
              <w:tab/>
              <w:t>(</w:t>
            </w:r>
            <w:r w:rsidR="00772FEB">
              <w:t>6,178,821</w:t>
            </w:r>
            <w:r>
              <w:t>)</w:t>
            </w:r>
          </w:p>
        </w:tc>
        <w:tc>
          <w:tcPr>
            <w:tcW w:w="450" w:type="dxa"/>
          </w:tcPr>
          <w:p w14:paraId="39DC3375" w14:textId="77777777" w:rsidR="00034E07" w:rsidRPr="000D3DC5" w:rsidRDefault="00034E07" w:rsidP="00F67DB5">
            <w:pPr>
              <w:tabs>
                <w:tab w:val="right" w:pos="9180"/>
              </w:tabs>
              <w:ind w:right="-360"/>
            </w:pPr>
          </w:p>
        </w:tc>
        <w:tc>
          <w:tcPr>
            <w:tcW w:w="1440" w:type="dxa"/>
          </w:tcPr>
          <w:p w14:paraId="4FAEE6F2" w14:textId="6DFB5A1E" w:rsidR="00034E07" w:rsidRPr="000D3DC5" w:rsidRDefault="00034E07" w:rsidP="00F67DB5">
            <w:pPr>
              <w:tabs>
                <w:tab w:val="decimal" w:pos="1044"/>
                <w:tab w:val="right" w:pos="9180"/>
              </w:tabs>
              <w:ind w:right="-18"/>
            </w:pPr>
            <w:r w:rsidRPr="000D3DC5">
              <w:tab/>
            </w:r>
            <w:r w:rsidR="00262FED">
              <w:t>(10,</w:t>
            </w:r>
            <w:r w:rsidR="006B0CFA">
              <w:t>945,302</w:t>
            </w:r>
            <w:r w:rsidR="00262FED">
              <w:t>)</w:t>
            </w:r>
          </w:p>
        </w:tc>
        <w:tc>
          <w:tcPr>
            <w:tcW w:w="270" w:type="dxa"/>
          </w:tcPr>
          <w:p w14:paraId="03DEAAC8" w14:textId="77777777" w:rsidR="00034E07" w:rsidRPr="000D3DC5" w:rsidRDefault="00034E07" w:rsidP="00F67DB5">
            <w:pPr>
              <w:tabs>
                <w:tab w:val="right" w:pos="9180"/>
              </w:tabs>
              <w:ind w:right="-360"/>
            </w:pPr>
          </w:p>
        </w:tc>
        <w:tc>
          <w:tcPr>
            <w:tcW w:w="1530" w:type="dxa"/>
          </w:tcPr>
          <w:p w14:paraId="104A7E78" w14:textId="2971A46D" w:rsidR="00034E07" w:rsidRPr="000D3DC5" w:rsidRDefault="00034E07" w:rsidP="00F67DB5">
            <w:pPr>
              <w:tabs>
                <w:tab w:val="decimal" w:pos="1152"/>
                <w:tab w:val="right" w:pos="9180"/>
              </w:tabs>
              <w:ind w:right="-18"/>
            </w:pPr>
            <w:r>
              <w:tab/>
              <w:t>(</w:t>
            </w:r>
            <w:r w:rsidR="00772FEB">
              <w:t>10,449,435</w:t>
            </w:r>
            <w:r>
              <w:t>)</w:t>
            </w:r>
          </w:p>
        </w:tc>
      </w:tr>
      <w:tr w:rsidR="00034E07" w:rsidRPr="000D3DC5" w14:paraId="2308D372" w14:textId="77777777" w:rsidTr="00F67DB5">
        <w:tc>
          <w:tcPr>
            <w:tcW w:w="378" w:type="dxa"/>
          </w:tcPr>
          <w:p w14:paraId="50E84BBC" w14:textId="77777777" w:rsidR="00034E07" w:rsidRPr="000D3DC5" w:rsidRDefault="00034E07" w:rsidP="00F67DB5">
            <w:pPr>
              <w:ind w:right="-360"/>
            </w:pPr>
          </w:p>
        </w:tc>
        <w:tc>
          <w:tcPr>
            <w:tcW w:w="450" w:type="dxa"/>
          </w:tcPr>
          <w:p w14:paraId="7AAE3E77" w14:textId="77777777" w:rsidR="00034E07" w:rsidRPr="000D3DC5" w:rsidRDefault="00034E07" w:rsidP="00F67DB5">
            <w:pPr>
              <w:ind w:right="-360"/>
            </w:pPr>
          </w:p>
        </w:tc>
        <w:tc>
          <w:tcPr>
            <w:tcW w:w="450" w:type="dxa"/>
          </w:tcPr>
          <w:p w14:paraId="099F4CE6" w14:textId="77777777" w:rsidR="00034E07" w:rsidRPr="000D3DC5" w:rsidRDefault="00034E07" w:rsidP="00F67DB5">
            <w:pPr>
              <w:ind w:right="-360"/>
            </w:pPr>
          </w:p>
        </w:tc>
        <w:tc>
          <w:tcPr>
            <w:tcW w:w="2160" w:type="dxa"/>
          </w:tcPr>
          <w:p w14:paraId="3F55DC29" w14:textId="77777777" w:rsidR="00034E07" w:rsidRPr="000D3DC5" w:rsidRDefault="00034E07" w:rsidP="00F67DB5">
            <w:pPr>
              <w:tabs>
                <w:tab w:val="right" w:pos="9180"/>
              </w:tabs>
              <w:ind w:right="-360"/>
            </w:pPr>
          </w:p>
        </w:tc>
        <w:tc>
          <w:tcPr>
            <w:tcW w:w="1530" w:type="dxa"/>
          </w:tcPr>
          <w:p w14:paraId="5BEBEB1B" w14:textId="77777777" w:rsidR="00034E07" w:rsidRPr="000D3DC5" w:rsidRDefault="00034E07" w:rsidP="00F67DB5">
            <w:pPr>
              <w:tabs>
                <w:tab w:val="right" w:pos="9180"/>
              </w:tabs>
              <w:ind w:right="-18"/>
            </w:pPr>
          </w:p>
        </w:tc>
        <w:tc>
          <w:tcPr>
            <w:tcW w:w="270" w:type="dxa"/>
          </w:tcPr>
          <w:p w14:paraId="04A75F53" w14:textId="77777777" w:rsidR="00034E07" w:rsidRPr="000D3DC5" w:rsidRDefault="00034E07" w:rsidP="00F67DB5">
            <w:pPr>
              <w:tabs>
                <w:tab w:val="right" w:pos="9180"/>
              </w:tabs>
              <w:ind w:right="-360"/>
            </w:pPr>
          </w:p>
        </w:tc>
        <w:tc>
          <w:tcPr>
            <w:tcW w:w="1440" w:type="dxa"/>
          </w:tcPr>
          <w:p w14:paraId="2400B7F0" w14:textId="77777777" w:rsidR="00034E07" w:rsidRPr="000D3DC5" w:rsidRDefault="00034E07" w:rsidP="00F67DB5">
            <w:pPr>
              <w:tabs>
                <w:tab w:val="right" w:pos="9180"/>
              </w:tabs>
              <w:ind w:right="-46"/>
            </w:pPr>
          </w:p>
        </w:tc>
        <w:tc>
          <w:tcPr>
            <w:tcW w:w="450" w:type="dxa"/>
          </w:tcPr>
          <w:p w14:paraId="4A9D4249" w14:textId="77777777" w:rsidR="00034E07" w:rsidRPr="000D3DC5" w:rsidRDefault="00034E07" w:rsidP="00F67DB5">
            <w:pPr>
              <w:tabs>
                <w:tab w:val="right" w:pos="9180"/>
              </w:tabs>
              <w:ind w:right="-360"/>
            </w:pPr>
          </w:p>
        </w:tc>
        <w:tc>
          <w:tcPr>
            <w:tcW w:w="1440" w:type="dxa"/>
          </w:tcPr>
          <w:p w14:paraId="0E04CB08" w14:textId="77777777" w:rsidR="00034E07" w:rsidRPr="000D3DC5" w:rsidRDefault="00034E07" w:rsidP="00F67DB5">
            <w:pPr>
              <w:tabs>
                <w:tab w:val="right" w:pos="9180"/>
              </w:tabs>
              <w:ind w:right="-18"/>
            </w:pPr>
          </w:p>
        </w:tc>
        <w:tc>
          <w:tcPr>
            <w:tcW w:w="270" w:type="dxa"/>
          </w:tcPr>
          <w:p w14:paraId="68EDA395" w14:textId="77777777" w:rsidR="00034E07" w:rsidRPr="000D3DC5" w:rsidRDefault="00034E07" w:rsidP="00F67DB5">
            <w:pPr>
              <w:tabs>
                <w:tab w:val="right" w:pos="9180"/>
              </w:tabs>
              <w:ind w:right="-360"/>
            </w:pPr>
          </w:p>
        </w:tc>
        <w:tc>
          <w:tcPr>
            <w:tcW w:w="1530" w:type="dxa"/>
          </w:tcPr>
          <w:p w14:paraId="7FA97560" w14:textId="77777777" w:rsidR="00034E07" w:rsidRPr="000D3DC5" w:rsidRDefault="00034E07" w:rsidP="00F67DB5">
            <w:pPr>
              <w:tabs>
                <w:tab w:val="right" w:pos="9180"/>
              </w:tabs>
              <w:ind w:right="-18"/>
            </w:pPr>
          </w:p>
        </w:tc>
      </w:tr>
      <w:tr w:rsidR="00034E07" w:rsidRPr="000D3DC5" w14:paraId="710D25B6" w14:textId="77777777" w:rsidTr="00F67DB5">
        <w:tc>
          <w:tcPr>
            <w:tcW w:w="3438" w:type="dxa"/>
            <w:gridSpan w:val="4"/>
          </w:tcPr>
          <w:p w14:paraId="24A481BA" w14:textId="4C0F2BD8" w:rsidR="00034E07" w:rsidRPr="000D3DC5" w:rsidRDefault="00034E07" w:rsidP="00F67DB5">
            <w:pPr>
              <w:tabs>
                <w:tab w:val="right" w:pos="9180"/>
              </w:tabs>
              <w:ind w:right="-360"/>
            </w:pPr>
            <w:r>
              <w:t>Other income</w:t>
            </w:r>
            <w:r w:rsidR="00262FED">
              <w:t xml:space="preserve"> (expense)</w:t>
            </w:r>
            <w:r>
              <w:t>:</w:t>
            </w:r>
          </w:p>
        </w:tc>
        <w:tc>
          <w:tcPr>
            <w:tcW w:w="1530" w:type="dxa"/>
          </w:tcPr>
          <w:p w14:paraId="561170B8" w14:textId="77777777" w:rsidR="00034E07" w:rsidRPr="000D3DC5" w:rsidRDefault="00034E07" w:rsidP="00F67DB5">
            <w:pPr>
              <w:tabs>
                <w:tab w:val="decimal" w:pos="1062"/>
                <w:tab w:val="right" w:pos="9180"/>
              </w:tabs>
              <w:ind w:right="-18"/>
            </w:pPr>
          </w:p>
        </w:tc>
        <w:tc>
          <w:tcPr>
            <w:tcW w:w="270" w:type="dxa"/>
          </w:tcPr>
          <w:p w14:paraId="761E2CDD" w14:textId="77777777" w:rsidR="00034E07" w:rsidRPr="000D3DC5" w:rsidRDefault="00034E07" w:rsidP="00F67DB5">
            <w:pPr>
              <w:tabs>
                <w:tab w:val="right" w:pos="9180"/>
              </w:tabs>
              <w:ind w:right="-360"/>
            </w:pPr>
          </w:p>
        </w:tc>
        <w:tc>
          <w:tcPr>
            <w:tcW w:w="1440" w:type="dxa"/>
          </w:tcPr>
          <w:p w14:paraId="7EAC1B4F" w14:textId="77777777" w:rsidR="00034E07" w:rsidRPr="000D3DC5" w:rsidRDefault="00034E07" w:rsidP="00F67DB5">
            <w:pPr>
              <w:tabs>
                <w:tab w:val="decimal" w:pos="864"/>
                <w:tab w:val="right" w:pos="9180"/>
              </w:tabs>
              <w:ind w:right="-46"/>
            </w:pPr>
          </w:p>
        </w:tc>
        <w:tc>
          <w:tcPr>
            <w:tcW w:w="450" w:type="dxa"/>
          </w:tcPr>
          <w:p w14:paraId="2BA09DD0" w14:textId="77777777" w:rsidR="00034E07" w:rsidRPr="000D3DC5" w:rsidRDefault="00034E07" w:rsidP="00F67DB5">
            <w:pPr>
              <w:tabs>
                <w:tab w:val="right" w:pos="9180"/>
              </w:tabs>
              <w:ind w:right="-360"/>
            </w:pPr>
          </w:p>
        </w:tc>
        <w:tc>
          <w:tcPr>
            <w:tcW w:w="1440" w:type="dxa"/>
          </w:tcPr>
          <w:p w14:paraId="4BD2EEA2" w14:textId="77777777" w:rsidR="00034E07" w:rsidRPr="000D3DC5" w:rsidRDefault="00034E07" w:rsidP="00F67DB5">
            <w:pPr>
              <w:tabs>
                <w:tab w:val="decimal" w:pos="864"/>
                <w:tab w:val="right" w:pos="9180"/>
              </w:tabs>
              <w:ind w:right="-18"/>
            </w:pPr>
          </w:p>
        </w:tc>
        <w:tc>
          <w:tcPr>
            <w:tcW w:w="270" w:type="dxa"/>
          </w:tcPr>
          <w:p w14:paraId="76198DEC" w14:textId="77777777" w:rsidR="00034E07" w:rsidRPr="000D3DC5" w:rsidRDefault="00034E07" w:rsidP="00F67DB5">
            <w:pPr>
              <w:tabs>
                <w:tab w:val="right" w:pos="9180"/>
              </w:tabs>
              <w:ind w:right="-360"/>
            </w:pPr>
          </w:p>
        </w:tc>
        <w:tc>
          <w:tcPr>
            <w:tcW w:w="1530" w:type="dxa"/>
          </w:tcPr>
          <w:p w14:paraId="4D66851A" w14:textId="77777777" w:rsidR="00034E07" w:rsidRPr="000D3DC5" w:rsidRDefault="00034E07" w:rsidP="00F67DB5">
            <w:pPr>
              <w:tabs>
                <w:tab w:val="decimal" w:pos="864"/>
                <w:tab w:val="right" w:pos="9180"/>
              </w:tabs>
              <w:ind w:right="-18"/>
            </w:pPr>
          </w:p>
        </w:tc>
      </w:tr>
      <w:tr w:rsidR="00034E07" w:rsidRPr="000D3DC5" w14:paraId="23B68751" w14:textId="77777777" w:rsidTr="00F67DB5">
        <w:tc>
          <w:tcPr>
            <w:tcW w:w="378" w:type="dxa"/>
          </w:tcPr>
          <w:p w14:paraId="206CAD35" w14:textId="77777777" w:rsidR="00034E07" w:rsidRPr="000D3DC5" w:rsidRDefault="00034E07" w:rsidP="00F67DB5">
            <w:pPr>
              <w:ind w:right="-360"/>
            </w:pPr>
          </w:p>
        </w:tc>
        <w:tc>
          <w:tcPr>
            <w:tcW w:w="3060" w:type="dxa"/>
            <w:gridSpan w:val="3"/>
          </w:tcPr>
          <w:p w14:paraId="043D87ED" w14:textId="77777777" w:rsidR="00034E07" w:rsidRPr="000D3DC5" w:rsidRDefault="00034E07" w:rsidP="00F67DB5">
            <w:pPr>
              <w:tabs>
                <w:tab w:val="right" w:pos="9180"/>
              </w:tabs>
              <w:ind w:right="-360"/>
            </w:pPr>
            <w:r w:rsidRPr="000D3DC5">
              <w:t>Interest income</w:t>
            </w:r>
          </w:p>
        </w:tc>
        <w:tc>
          <w:tcPr>
            <w:tcW w:w="1530" w:type="dxa"/>
          </w:tcPr>
          <w:p w14:paraId="47942F04" w14:textId="1377893C" w:rsidR="00034E07" w:rsidRPr="000D3DC5" w:rsidRDefault="00034E07" w:rsidP="00F67DB5">
            <w:pPr>
              <w:tabs>
                <w:tab w:val="decimal" w:pos="1152"/>
                <w:tab w:val="right" w:pos="9180"/>
              </w:tabs>
              <w:ind w:right="-18"/>
            </w:pPr>
            <w:r w:rsidRPr="000D3DC5">
              <w:tab/>
            </w:r>
            <w:r w:rsidR="00262FED">
              <w:t>5,4</w:t>
            </w:r>
            <w:r w:rsidR="005F1378">
              <w:t>71</w:t>
            </w:r>
          </w:p>
        </w:tc>
        <w:tc>
          <w:tcPr>
            <w:tcW w:w="270" w:type="dxa"/>
          </w:tcPr>
          <w:p w14:paraId="1ADC94D5" w14:textId="77777777" w:rsidR="00034E07" w:rsidRPr="000D3DC5" w:rsidRDefault="00034E07" w:rsidP="00F67DB5">
            <w:pPr>
              <w:tabs>
                <w:tab w:val="right" w:pos="9180"/>
              </w:tabs>
              <w:ind w:right="-360"/>
            </w:pPr>
          </w:p>
        </w:tc>
        <w:tc>
          <w:tcPr>
            <w:tcW w:w="1440" w:type="dxa"/>
          </w:tcPr>
          <w:p w14:paraId="1B4663D5" w14:textId="31F14402" w:rsidR="00034E07" w:rsidRPr="000D3DC5" w:rsidRDefault="00034E07" w:rsidP="00F67DB5">
            <w:pPr>
              <w:tabs>
                <w:tab w:val="decimal" w:pos="1062"/>
                <w:tab w:val="right" w:pos="9180"/>
              </w:tabs>
              <w:ind w:right="-46"/>
            </w:pPr>
            <w:r w:rsidRPr="000D3DC5">
              <w:tab/>
            </w:r>
            <w:r w:rsidR="00772FEB">
              <w:t>251,201</w:t>
            </w:r>
          </w:p>
        </w:tc>
        <w:tc>
          <w:tcPr>
            <w:tcW w:w="450" w:type="dxa"/>
          </w:tcPr>
          <w:p w14:paraId="76709B8C" w14:textId="77777777" w:rsidR="00034E07" w:rsidRPr="000D3DC5" w:rsidRDefault="00034E07" w:rsidP="00F67DB5">
            <w:pPr>
              <w:tabs>
                <w:tab w:val="right" w:pos="9180"/>
              </w:tabs>
              <w:ind w:right="-360"/>
            </w:pPr>
          </w:p>
        </w:tc>
        <w:tc>
          <w:tcPr>
            <w:tcW w:w="1440" w:type="dxa"/>
          </w:tcPr>
          <w:p w14:paraId="590C3A67" w14:textId="4BB9EEE4" w:rsidR="00034E07" w:rsidRPr="000D3DC5" w:rsidRDefault="00034E07" w:rsidP="00F67DB5">
            <w:pPr>
              <w:tabs>
                <w:tab w:val="decimal" w:pos="1062"/>
                <w:tab w:val="right" w:pos="9180"/>
              </w:tabs>
              <w:ind w:right="-18"/>
            </w:pPr>
            <w:r w:rsidRPr="000D3DC5">
              <w:tab/>
            </w:r>
            <w:r w:rsidR="00262FED">
              <w:t>38,420</w:t>
            </w:r>
          </w:p>
        </w:tc>
        <w:tc>
          <w:tcPr>
            <w:tcW w:w="270" w:type="dxa"/>
          </w:tcPr>
          <w:p w14:paraId="452954AA" w14:textId="77777777" w:rsidR="00034E07" w:rsidRPr="000D3DC5" w:rsidRDefault="00034E07" w:rsidP="00F67DB5">
            <w:pPr>
              <w:tabs>
                <w:tab w:val="right" w:pos="9180"/>
              </w:tabs>
              <w:ind w:right="-360"/>
            </w:pPr>
          </w:p>
        </w:tc>
        <w:tc>
          <w:tcPr>
            <w:tcW w:w="1530" w:type="dxa"/>
          </w:tcPr>
          <w:p w14:paraId="5DA1D007" w14:textId="1D522A6C" w:rsidR="00034E07" w:rsidRPr="000D3DC5" w:rsidRDefault="00034E07" w:rsidP="00F67DB5">
            <w:pPr>
              <w:tabs>
                <w:tab w:val="decimal" w:pos="1152"/>
                <w:tab w:val="right" w:pos="9180"/>
              </w:tabs>
              <w:ind w:right="-18"/>
            </w:pPr>
            <w:r w:rsidRPr="000D3DC5">
              <w:tab/>
            </w:r>
            <w:r w:rsidR="00772FEB">
              <w:t>483,899</w:t>
            </w:r>
          </w:p>
        </w:tc>
      </w:tr>
      <w:tr w:rsidR="00262FED" w:rsidRPr="000D3DC5" w14:paraId="3CFAB38B" w14:textId="77777777" w:rsidTr="00F67DB5">
        <w:tc>
          <w:tcPr>
            <w:tcW w:w="378" w:type="dxa"/>
          </w:tcPr>
          <w:p w14:paraId="1B67BD3E" w14:textId="77777777" w:rsidR="00262FED" w:rsidRPr="000D3DC5" w:rsidRDefault="00262FED" w:rsidP="00F67DB5">
            <w:pPr>
              <w:ind w:right="-360"/>
            </w:pPr>
          </w:p>
        </w:tc>
        <w:tc>
          <w:tcPr>
            <w:tcW w:w="3060" w:type="dxa"/>
            <w:gridSpan w:val="3"/>
          </w:tcPr>
          <w:p w14:paraId="75D3BA54" w14:textId="73F9EF2C" w:rsidR="00262FED" w:rsidRPr="000D3DC5" w:rsidRDefault="00262FED" w:rsidP="00F67DB5">
            <w:pPr>
              <w:tabs>
                <w:tab w:val="right" w:pos="9180"/>
              </w:tabs>
              <w:ind w:right="-360"/>
            </w:pPr>
            <w:r>
              <w:t>Interest expense</w:t>
            </w:r>
          </w:p>
        </w:tc>
        <w:tc>
          <w:tcPr>
            <w:tcW w:w="1530" w:type="dxa"/>
          </w:tcPr>
          <w:p w14:paraId="56A01B4E" w14:textId="75402AD3" w:rsidR="00262FED" w:rsidRPr="000D3DC5" w:rsidRDefault="00262FED" w:rsidP="00F67DB5">
            <w:pPr>
              <w:tabs>
                <w:tab w:val="decimal" w:pos="1152"/>
                <w:tab w:val="right" w:pos="9180"/>
              </w:tabs>
              <w:ind w:right="-18"/>
            </w:pPr>
            <w:r>
              <w:tab/>
            </w:r>
            <w:r w:rsidRPr="006B0CFA">
              <w:t>(</w:t>
            </w:r>
            <w:r w:rsidR="006B0CFA" w:rsidRPr="006B0CFA">
              <w:t>7,292</w:t>
            </w:r>
            <w:r w:rsidRPr="006B0CFA">
              <w:t>)</w:t>
            </w:r>
          </w:p>
        </w:tc>
        <w:tc>
          <w:tcPr>
            <w:tcW w:w="270" w:type="dxa"/>
          </w:tcPr>
          <w:p w14:paraId="574463AA" w14:textId="77777777" w:rsidR="00262FED" w:rsidRPr="000D3DC5" w:rsidRDefault="00262FED" w:rsidP="00F67DB5">
            <w:pPr>
              <w:tabs>
                <w:tab w:val="right" w:pos="9180"/>
              </w:tabs>
              <w:ind w:right="-360"/>
            </w:pPr>
          </w:p>
        </w:tc>
        <w:tc>
          <w:tcPr>
            <w:tcW w:w="1440" w:type="dxa"/>
          </w:tcPr>
          <w:p w14:paraId="75B052E9" w14:textId="652681B0" w:rsidR="00262FED" w:rsidRPr="000D3DC5" w:rsidRDefault="00262FED" w:rsidP="00F67DB5">
            <w:pPr>
              <w:tabs>
                <w:tab w:val="decimal" w:pos="1062"/>
                <w:tab w:val="right" w:pos="9180"/>
              </w:tabs>
              <w:ind w:right="-46"/>
            </w:pPr>
            <w:r>
              <w:tab/>
              <w:t>-</w:t>
            </w:r>
          </w:p>
        </w:tc>
        <w:tc>
          <w:tcPr>
            <w:tcW w:w="450" w:type="dxa"/>
          </w:tcPr>
          <w:p w14:paraId="0869B2E7" w14:textId="77777777" w:rsidR="00262FED" w:rsidRPr="000D3DC5" w:rsidRDefault="00262FED" w:rsidP="00F67DB5">
            <w:pPr>
              <w:tabs>
                <w:tab w:val="right" w:pos="9180"/>
              </w:tabs>
              <w:ind w:right="-360"/>
            </w:pPr>
          </w:p>
        </w:tc>
        <w:tc>
          <w:tcPr>
            <w:tcW w:w="1440" w:type="dxa"/>
          </w:tcPr>
          <w:p w14:paraId="5A00FDF1" w14:textId="7C3C8350" w:rsidR="00262FED" w:rsidRPr="000D3DC5" w:rsidRDefault="00262FED" w:rsidP="00F67DB5">
            <w:pPr>
              <w:tabs>
                <w:tab w:val="decimal" w:pos="1062"/>
                <w:tab w:val="right" w:pos="9180"/>
              </w:tabs>
              <w:ind w:right="-18"/>
            </w:pPr>
            <w:r>
              <w:tab/>
              <w:t>(</w:t>
            </w:r>
            <w:r w:rsidR="006B0CFA">
              <w:t>7,292</w:t>
            </w:r>
            <w:r>
              <w:t>)</w:t>
            </w:r>
          </w:p>
        </w:tc>
        <w:tc>
          <w:tcPr>
            <w:tcW w:w="270" w:type="dxa"/>
          </w:tcPr>
          <w:p w14:paraId="731ADEF7" w14:textId="77777777" w:rsidR="00262FED" w:rsidRPr="000D3DC5" w:rsidRDefault="00262FED" w:rsidP="00F67DB5">
            <w:pPr>
              <w:tabs>
                <w:tab w:val="right" w:pos="9180"/>
              </w:tabs>
              <w:ind w:right="-360"/>
            </w:pPr>
          </w:p>
        </w:tc>
        <w:tc>
          <w:tcPr>
            <w:tcW w:w="1530" w:type="dxa"/>
          </w:tcPr>
          <w:p w14:paraId="68E89074" w14:textId="0BD14597" w:rsidR="00262FED" w:rsidRPr="000D3DC5" w:rsidRDefault="00262FED" w:rsidP="00F67DB5">
            <w:pPr>
              <w:tabs>
                <w:tab w:val="decimal" w:pos="1152"/>
                <w:tab w:val="right" w:pos="9180"/>
              </w:tabs>
              <w:ind w:right="-18"/>
            </w:pPr>
            <w:r>
              <w:tab/>
              <w:t>-</w:t>
            </w:r>
          </w:p>
        </w:tc>
      </w:tr>
      <w:tr w:rsidR="006B0CFA" w:rsidRPr="000D3DC5" w14:paraId="223FB3B8" w14:textId="77777777" w:rsidTr="009B157C">
        <w:tc>
          <w:tcPr>
            <w:tcW w:w="3438" w:type="dxa"/>
            <w:gridSpan w:val="4"/>
          </w:tcPr>
          <w:p w14:paraId="44C6336F" w14:textId="68AF1612" w:rsidR="006B0CFA" w:rsidRPr="000D3DC5" w:rsidRDefault="006B0CFA" w:rsidP="00F67DB5">
            <w:pPr>
              <w:tabs>
                <w:tab w:val="right" w:pos="9180"/>
              </w:tabs>
              <w:ind w:right="-360"/>
            </w:pPr>
            <w:r>
              <w:t>Total other income (expense)</w:t>
            </w:r>
          </w:p>
        </w:tc>
        <w:tc>
          <w:tcPr>
            <w:tcW w:w="1530" w:type="dxa"/>
            <w:tcBorders>
              <w:top w:val="single" w:sz="4" w:space="0" w:color="auto"/>
            </w:tcBorders>
          </w:tcPr>
          <w:p w14:paraId="02AFFDEC" w14:textId="5E864330" w:rsidR="006B0CFA" w:rsidRPr="000D3DC5" w:rsidRDefault="006B0CFA" w:rsidP="006B0CFA">
            <w:pPr>
              <w:tabs>
                <w:tab w:val="decimal" w:pos="1137"/>
                <w:tab w:val="right" w:pos="9180"/>
              </w:tabs>
              <w:ind w:right="-18"/>
            </w:pPr>
            <w:r>
              <w:tab/>
              <w:t>(1,8</w:t>
            </w:r>
            <w:r w:rsidR="005F1378">
              <w:t>21</w:t>
            </w:r>
            <w:r>
              <w:t>)</w:t>
            </w:r>
          </w:p>
        </w:tc>
        <w:tc>
          <w:tcPr>
            <w:tcW w:w="270" w:type="dxa"/>
          </w:tcPr>
          <w:p w14:paraId="34ACFCFC" w14:textId="77777777" w:rsidR="006B0CFA" w:rsidRPr="000D3DC5" w:rsidRDefault="006B0CFA" w:rsidP="00F67DB5">
            <w:pPr>
              <w:tabs>
                <w:tab w:val="right" w:pos="9180"/>
              </w:tabs>
              <w:ind w:right="-360"/>
            </w:pPr>
          </w:p>
        </w:tc>
        <w:tc>
          <w:tcPr>
            <w:tcW w:w="1440" w:type="dxa"/>
            <w:tcBorders>
              <w:top w:val="single" w:sz="4" w:space="0" w:color="auto"/>
            </w:tcBorders>
          </w:tcPr>
          <w:p w14:paraId="6B721681" w14:textId="413F8057" w:rsidR="006B0CFA" w:rsidRPr="000D3DC5" w:rsidRDefault="006B0CFA" w:rsidP="006B0CFA">
            <w:pPr>
              <w:tabs>
                <w:tab w:val="decimal" w:pos="1052"/>
                <w:tab w:val="right" w:pos="9180"/>
              </w:tabs>
              <w:ind w:right="-46"/>
            </w:pPr>
            <w:r>
              <w:tab/>
              <w:t>251,201</w:t>
            </w:r>
          </w:p>
        </w:tc>
        <w:tc>
          <w:tcPr>
            <w:tcW w:w="450" w:type="dxa"/>
          </w:tcPr>
          <w:p w14:paraId="12D6443C" w14:textId="77777777" w:rsidR="006B0CFA" w:rsidRPr="000D3DC5" w:rsidRDefault="006B0CFA" w:rsidP="00F67DB5">
            <w:pPr>
              <w:tabs>
                <w:tab w:val="right" w:pos="9180"/>
              </w:tabs>
              <w:ind w:right="-360"/>
            </w:pPr>
          </w:p>
        </w:tc>
        <w:tc>
          <w:tcPr>
            <w:tcW w:w="1440" w:type="dxa"/>
            <w:tcBorders>
              <w:top w:val="single" w:sz="4" w:space="0" w:color="auto"/>
            </w:tcBorders>
          </w:tcPr>
          <w:p w14:paraId="41045E88" w14:textId="541D223D" w:rsidR="006B0CFA" w:rsidRPr="000D3DC5" w:rsidRDefault="006B0CFA" w:rsidP="006B0CFA">
            <w:pPr>
              <w:tabs>
                <w:tab w:val="decimal" w:pos="1027"/>
                <w:tab w:val="right" w:pos="9180"/>
              </w:tabs>
              <w:ind w:right="-18"/>
            </w:pPr>
            <w:r>
              <w:tab/>
              <w:t>31,128</w:t>
            </w:r>
          </w:p>
        </w:tc>
        <w:tc>
          <w:tcPr>
            <w:tcW w:w="270" w:type="dxa"/>
          </w:tcPr>
          <w:p w14:paraId="5FAB4BBD" w14:textId="77777777" w:rsidR="006B0CFA" w:rsidRPr="000D3DC5" w:rsidRDefault="006B0CFA" w:rsidP="00F67DB5">
            <w:pPr>
              <w:tabs>
                <w:tab w:val="right" w:pos="9180"/>
              </w:tabs>
              <w:ind w:right="-360"/>
            </w:pPr>
          </w:p>
        </w:tc>
        <w:tc>
          <w:tcPr>
            <w:tcW w:w="1530" w:type="dxa"/>
            <w:tcBorders>
              <w:top w:val="single" w:sz="4" w:space="0" w:color="auto"/>
            </w:tcBorders>
          </w:tcPr>
          <w:p w14:paraId="498584AD" w14:textId="1E153A0E" w:rsidR="006B0CFA" w:rsidRPr="000D3DC5" w:rsidRDefault="006B0CFA" w:rsidP="006B0CFA">
            <w:pPr>
              <w:tabs>
                <w:tab w:val="decimal" w:pos="1140"/>
                <w:tab w:val="right" w:pos="9180"/>
              </w:tabs>
              <w:ind w:right="-18"/>
            </w:pPr>
            <w:r>
              <w:tab/>
              <w:t>483,899</w:t>
            </w:r>
          </w:p>
        </w:tc>
      </w:tr>
      <w:tr w:rsidR="006B0CFA" w:rsidRPr="000D3DC5" w14:paraId="0F954495" w14:textId="77777777" w:rsidTr="00F67DB5">
        <w:tc>
          <w:tcPr>
            <w:tcW w:w="378" w:type="dxa"/>
          </w:tcPr>
          <w:p w14:paraId="7A0A0FC8" w14:textId="77777777" w:rsidR="006B0CFA" w:rsidRPr="000D3DC5" w:rsidRDefault="006B0CFA" w:rsidP="00F67DB5">
            <w:pPr>
              <w:ind w:right="-360"/>
            </w:pPr>
          </w:p>
        </w:tc>
        <w:tc>
          <w:tcPr>
            <w:tcW w:w="450" w:type="dxa"/>
          </w:tcPr>
          <w:p w14:paraId="6F0C6EB4" w14:textId="77777777" w:rsidR="006B0CFA" w:rsidRPr="000D3DC5" w:rsidRDefault="006B0CFA" w:rsidP="00F67DB5">
            <w:pPr>
              <w:ind w:right="-360"/>
            </w:pPr>
          </w:p>
        </w:tc>
        <w:tc>
          <w:tcPr>
            <w:tcW w:w="450" w:type="dxa"/>
          </w:tcPr>
          <w:p w14:paraId="4AFFE3C1" w14:textId="77777777" w:rsidR="006B0CFA" w:rsidRPr="000D3DC5" w:rsidRDefault="006B0CFA" w:rsidP="00F67DB5">
            <w:pPr>
              <w:ind w:right="-360"/>
            </w:pPr>
          </w:p>
        </w:tc>
        <w:tc>
          <w:tcPr>
            <w:tcW w:w="2160" w:type="dxa"/>
          </w:tcPr>
          <w:p w14:paraId="55D14066" w14:textId="77777777" w:rsidR="006B0CFA" w:rsidRPr="000D3DC5" w:rsidRDefault="006B0CFA" w:rsidP="00F67DB5">
            <w:pPr>
              <w:tabs>
                <w:tab w:val="right" w:pos="9180"/>
              </w:tabs>
              <w:ind w:right="-360"/>
            </w:pPr>
          </w:p>
        </w:tc>
        <w:tc>
          <w:tcPr>
            <w:tcW w:w="1530" w:type="dxa"/>
            <w:tcBorders>
              <w:top w:val="single" w:sz="4" w:space="0" w:color="auto"/>
            </w:tcBorders>
          </w:tcPr>
          <w:p w14:paraId="57A0685D" w14:textId="77777777" w:rsidR="006B0CFA" w:rsidRPr="000D3DC5" w:rsidRDefault="006B0CFA" w:rsidP="00F67DB5">
            <w:pPr>
              <w:tabs>
                <w:tab w:val="right" w:pos="9180"/>
              </w:tabs>
              <w:ind w:right="-18"/>
            </w:pPr>
          </w:p>
        </w:tc>
        <w:tc>
          <w:tcPr>
            <w:tcW w:w="270" w:type="dxa"/>
          </w:tcPr>
          <w:p w14:paraId="3FD0936C" w14:textId="77777777" w:rsidR="006B0CFA" w:rsidRPr="000D3DC5" w:rsidRDefault="006B0CFA" w:rsidP="00F67DB5">
            <w:pPr>
              <w:tabs>
                <w:tab w:val="right" w:pos="9180"/>
              </w:tabs>
              <w:ind w:right="-360"/>
            </w:pPr>
          </w:p>
        </w:tc>
        <w:tc>
          <w:tcPr>
            <w:tcW w:w="1440" w:type="dxa"/>
            <w:tcBorders>
              <w:top w:val="single" w:sz="4" w:space="0" w:color="auto"/>
            </w:tcBorders>
          </w:tcPr>
          <w:p w14:paraId="3FB475B2" w14:textId="77777777" w:rsidR="006B0CFA" w:rsidRPr="000D3DC5" w:rsidRDefault="006B0CFA" w:rsidP="00F67DB5">
            <w:pPr>
              <w:tabs>
                <w:tab w:val="right" w:pos="9180"/>
              </w:tabs>
              <w:ind w:right="-46"/>
            </w:pPr>
          </w:p>
        </w:tc>
        <w:tc>
          <w:tcPr>
            <w:tcW w:w="450" w:type="dxa"/>
          </w:tcPr>
          <w:p w14:paraId="0913F0E1" w14:textId="77777777" w:rsidR="006B0CFA" w:rsidRPr="000D3DC5" w:rsidRDefault="006B0CFA" w:rsidP="00F67DB5">
            <w:pPr>
              <w:tabs>
                <w:tab w:val="right" w:pos="9180"/>
              </w:tabs>
              <w:ind w:right="-360"/>
            </w:pPr>
          </w:p>
        </w:tc>
        <w:tc>
          <w:tcPr>
            <w:tcW w:w="1440" w:type="dxa"/>
            <w:tcBorders>
              <w:top w:val="single" w:sz="4" w:space="0" w:color="auto"/>
            </w:tcBorders>
          </w:tcPr>
          <w:p w14:paraId="5D0C9897" w14:textId="77777777" w:rsidR="006B0CFA" w:rsidRPr="000D3DC5" w:rsidRDefault="006B0CFA" w:rsidP="00F67DB5">
            <w:pPr>
              <w:tabs>
                <w:tab w:val="right" w:pos="9180"/>
              </w:tabs>
              <w:ind w:right="-18"/>
            </w:pPr>
          </w:p>
        </w:tc>
        <w:tc>
          <w:tcPr>
            <w:tcW w:w="270" w:type="dxa"/>
          </w:tcPr>
          <w:p w14:paraId="4746C32E" w14:textId="77777777" w:rsidR="006B0CFA" w:rsidRPr="000D3DC5" w:rsidRDefault="006B0CFA" w:rsidP="00F67DB5">
            <w:pPr>
              <w:tabs>
                <w:tab w:val="right" w:pos="9180"/>
              </w:tabs>
              <w:ind w:right="-360"/>
            </w:pPr>
          </w:p>
        </w:tc>
        <w:tc>
          <w:tcPr>
            <w:tcW w:w="1530" w:type="dxa"/>
            <w:tcBorders>
              <w:top w:val="single" w:sz="4" w:space="0" w:color="auto"/>
            </w:tcBorders>
          </w:tcPr>
          <w:p w14:paraId="00BA8BE3" w14:textId="77777777" w:rsidR="006B0CFA" w:rsidRPr="000D3DC5" w:rsidRDefault="006B0CFA" w:rsidP="00F67DB5">
            <w:pPr>
              <w:tabs>
                <w:tab w:val="right" w:pos="9180"/>
              </w:tabs>
              <w:ind w:right="-18"/>
            </w:pPr>
          </w:p>
        </w:tc>
      </w:tr>
      <w:tr w:rsidR="00034E07" w:rsidRPr="000D3DC5" w14:paraId="2CC57F00" w14:textId="77777777" w:rsidTr="00F67DB5">
        <w:tc>
          <w:tcPr>
            <w:tcW w:w="3438" w:type="dxa"/>
            <w:gridSpan w:val="4"/>
          </w:tcPr>
          <w:p w14:paraId="00DE6FA4" w14:textId="77777777" w:rsidR="00034E07" w:rsidRPr="000D3DC5" w:rsidRDefault="00034E07" w:rsidP="00F67DB5">
            <w:pPr>
              <w:tabs>
                <w:tab w:val="right" w:pos="9180"/>
              </w:tabs>
              <w:ind w:right="-360"/>
            </w:pPr>
            <w:r>
              <w:t>Net loss</w:t>
            </w:r>
          </w:p>
        </w:tc>
        <w:tc>
          <w:tcPr>
            <w:tcW w:w="1530" w:type="dxa"/>
            <w:tcBorders>
              <w:bottom w:val="double" w:sz="4" w:space="0" w:color="auto"/>
            </w:tcBorders>
          </w:tcPr>
          <w:p w14:paraId="706D993A" w14:textId="3CD57A31" w:rsidR="00034E07" w:rsidRPr="000D3DC5" w:rsidRDefault="00034E07" w:rsidP="00F67DB5">
            <w:pPr>
              <w:tabs>
                <w:tab w:val="decimal" w:pos="1152"/>
                <w:tab w:val="right" w:pos="9180"/>
              </w:tabs>
              <w:ind w:right="-18"/>
            </w:pPr>
            <w:r w:rsidRPr="000D3DC5">
              <w:t>$</w:t>
            </w:r>
            <w:r w:rsidRPr="000D3DC5">
              <w:tab/>
            </w:r>
            <w:r w:rsidR="00262FED">
              <w:t>(</w:t>
            </w:r>
            <w:r w:rsidR="006B0CFA">
              <w:t>5,064,042</w:t>
            </w:r>
            <w:r w:rsidR="00262FED">
              <w:t>)</w:t>
            </w:r>
          </w:p>
        </w:tc>
        <w:tc>
          <w:tcPr>
            <w:tcW w:w="270" w:type="dxa"/>
          </w:tcPr>
          <w:p w14:paraId="379C3E2F" w14:textId="77777777" w:rsidR="00034E07" w:rsidRPr="000D3DC5" w:rsidRDefault="00034E07" w:rsidP="00F67DB5">
            <w:pPr>
              <w:tabs>
                <w:tab w:val="right" w:pos="9180"/>
              </w:tabs>
              <w:ind w:right="-360"/>
            </w:pPr>
          </w:p>
        </w:tc>
        <w:tc>
          <w:tcPr>
            <w:tcW w:w="1440" w:type="dxa"/>
            <w:tcBorders>
              <w:bottom w:val="double" w:sz="4" w:space="0" w:color="auto"/>
            </w:tcBorders>
          </w:tcPr>
          <w:p w14:paraId="000A56B0" w14:textId="5A01BBE4" w:rsidR="00034E07" w:rsidRPr="000D3DC5" w:rsidRDefault="00034E07" w:rsidP="00F67DB5">
            <w:pPr>
              <w:tabs>
                <w:tab w:val="decimal" w:pos="1062"/>
                <w:tab w:val="right" w:pos="9180"/>
              </w:tabs>
              <w:ind w:right="-46"/>
            </w:pPr>
            <w:r>
              <w:t>$</w:t>
            </w:r>
            <w:r>
              <w:tab/>
              <w:t>(</w:t>
            </w:r>
            <w:r w:rsidR="00772FEB">
              <w:t>5,927,620</w:t>
            </w:r>
            <w:r>
              <w:t>)</w:t>
            </w:r>
          </w:p>
        </w:tc>
        <w:tc>
          <w:tcPr>
            <w:tcW w:w="450" w:type="dxa"/>
          </w:tcPr>
          <w:p w14:paraId="27AC4799" w14:textId="77777777" w:rsidR="00034E07" w:rsidRPr="000D3DC5" w:rsidRDefault="00034E07" w:rsidP="00F67DB5">
            <w:pPr>
              <w:tabs>
                <w:tab w:val="right" w:pos="9180"/>
              </w:tabs>
              <w:ind w:right="-360"/>
            </w:pPr>
          </w:p>
        </w:tc>
        <w:tc>
          <w:tcPr>
            <w:tcW w:w="1440" w:type="dxa"/>
            <w:tcBorders>
              <w:bottom w:val="double" w:sz="4" w:space="0" w:color="auto"/>
            </w:tcBorders>
          </w:tcPr>
          <w:p w14:paraId="17439220" w14:textId="28E98242" w:rsidR="00034E07" w:rsidRPr="000D3DC5" w:rsidRDefault="00034E07" w:rsidP="00F67DB5">
            <w:pPr>
              <w:tabs>
                <w:tab w:val="decimal" w:pos="1044"/>
                <w:tab w:val="right" w:pos="9180"/>
              </w:tabs>
              <w:ind w:right="-18"/>
            </w:pPr>
            <w:r w:rsidRPr="000D3DC5">
              <w:t>$</w:t>
            </w:r>
            <w:r w:rsidRPr="000D3DC5">
              <w:tab/>
            </w:r>
            <w:r w:rsidR="00262FED">
              <w:t>(10,</w:t>
            </w:r>
            <w:r w:rsidR="006B0CFA">
              <w:t>914,174</w:t>
            </w:r>
            <w:r w:rsidR="00262FED">
              <w:t>)</w:t>
            </w:r>
          </w:p>
        </w:tc>
        <w:tc>
          <w:tcPr>
            <w:tcW w:w="270" w:type="dxa"/>
          </w:tcPr>
          <w:p w14:paraId="16499910" w14:textId="77777777" w:rsidR="00034E07" w:rsidRPr="000D3DC5" w:rsidRDefault="00034E07" w:rsidP="00F67DB5">
            <w:pPr>
              <w:tabs>
                <w:tab w:val="right" w:pos="9180"/>
              </w:tabs>
              <w:ind w:right="-360"/>
            </w:pPr>
          </w:p>
        </w:tc>
        <w:tc>
          <w:tcPr>
            <w:tcW w:w="1530" w:type="dxa"/>
            <w:tcBorders>
              <w:bottom w:val="double" w:sz="4" w:space="0" w:color="auto"/>
            </w:tcBorders>
          </w:tcPr>
          <w:p w14:paraId="2081C093" w14:textId="070F933A" w:rsidR="00034E07" w:rsidRPr="000D3DC5" w:rsidRDefault="00034E07" w:rsidP="00F67DB5">
            <w:pPr>
              <w:tabs>
                <w:tab w:val="decimal" w:pos="1152"/>
                <w:tab w:val="right" w:pos="9180"/>
              </w:tabs>
              <w:ind w:right="-18"/>
            </w:pPr>
            <w:r>
              <w:t>$</w:t>
            </w:r>
            <w:r>
              <w:tab/>
              <w:t>(</w:t>
            </w:r>
            <w:r w:rsidR="00772FEB">
              <w:t>9,965,536</w:t>
            </w:r>
            <w:r>
              <w:t>)</w:t>
            </w:r>
          </w:p>
        </w:tc>
      </w:tr>
      <w:tr w:rsidR="00034E07" w:rsidRPr="000D3DC5" w14:paraId="6C56ED69" w14:textId="77777777" w:rsidTr="00F67DB5">
        <w:tc>
          <w:tcPr>
            <w:tcW w:w="378" w:type="dxa"/>
          </w:tcPr>
          <w:p w14:paraId="2FA5F44C" w14:textId="77777777" w:rsidR="00034E07" w:rsidRPr="000D3DC5" w:rsidRDefault="00034E07" w:rsidP="00F67DB5">
            <w:pPr>
              <w:ind w:right="-360"/>
            </w:pPr>
          </w:p>
        </w:tc>
        <w:tc>
          <w:tcPr>
            <w:tcW w:w="450" w:type="dxa"/>
          </w:tcPr>
          <w:p w14:paraId="0C99E486" w14:textId="77777777" w:rsidR="00034E07" w:rsidRPr="000D3DC5" w:rsidRDefault="00034E07" w:rsidP="00F67DB5">
            <w:pPr>
              <w:ind w:right="-360"/>
            </w:pPr>
          </w:p>
        </w:tc>
        <w:tc>
          <w:tcPr>
            <w:tcW w:w="450" w:type="dxa"/>
          </w:tcPr>
          <w:p w14:paraId="06E0A527" w14:textId="77777777" w:rsidR="00034E07" w:rsidRPr="000D3DC5" w:rsidRDefault="00034E07" w:rsidP="00F67DB5">
            <w:pPr>
              <w:ind w:right="-360"/>
            </w:pPr>
          </w:p>
        </w:tc>
        <w:tc>
          <w:tcPr>
            <w:tcW w:w="2160" w:type="dxa"/>
          </w:tcPr>
          <w:p w14:paraId="732C6CAE" w14:textId="77777777" w:rsidR="00034E07" w:rsidRPr="000D3DC5" w:rsidRDefault="00034E07" w:rsidP="00F67DB5">
            <w:pPr>
              <w:tabs>
                <w:tab w:val="right" w:pos="9180"/>
              </w:tabs>
              <w:ind w:right="-360"/>
            </w:pPr>
          </w:p>
        </w:tc>
        <w:tc>
          <w:tcPr>
            <w:tcW w:w="1530" w:type="dxa"/>
          </w:tcPr>
          <w:p w14:paraId="0A52532A" w14:textId="77777777" w:rsidR="00034E07" w:rsidRPr="000D3DC5" w:rsidRDefault="00034E07" w:rsidP="00F67DB5">
            <w:pPr>
              <w:tabs>
                <w:tab w:val="right" w:pos="9180"/>
              </w:tabs>
              <w:ind w:right="-18"/>
            </w:pPr>
          </w:p>
        </w:tc>
        <w:tc>
          <w:tcPr>
            <w:tcW w:w="270" w:type="dxa"/>
          </w:tcPr>
          <w:p w14:paraId="134D20CB" w14:textId="77777777" w:rsidR="00034E07" w:rsidRPr="000D3DC5" w:rsidRDefault="00034E07" w:rsidP="00F67DB5">
            <w:pPr>
              <w:tabs>
                <w:tab w:val="right" w:pos="9180"/>
              </w:tabs>
              <w:ind w:right="-360"/>
            </w:pPr>
          </w:p>
        </w:tc>
        <w:tc>
          <w:tcPr>
            <w:tcW w:w="1440" w:type="dxa"/>
          </w:tcPr>
          <w:p w14:paraId="10EFB782" w14:textId="77777777" w:rsidR="00034E07" w:rsidRPr="000D3DC5" w:rsidRDefault="00034E07" w:rsidP="00F67DB5">
            <w:pPr>
              <w:tabs>
                <w:tab w:val="right" w:pos="9180"/>
              </w:tabs>
              <w:ind w:right="-46"/>
            </w:pPr>
          </w:p>
        </w:tc>
        <w:tc>
          <w:tcPr>
            <w:tcW w:w="450" w:type="dxa"/>
          </w:tcPr>
          <w:p w14:paraId="575FACB3" w14:textId="77777777" w:rsidR="00034E07" w:rsidRPr="000D3DC5" w:rsidRDefault="00034E07" w:rsidP="00F67DB5">
            <w:pPr>
              <w:tabs>
                <w:tab w:val="right" w:pos="9180"/>
              </w:tabs>
              <w:ind w:right="-360"/>
            </w:pPr>
          </w:p>
        </w:tc>
        <w:tc>
          <w:tcPr>
            <w:tcW w:w="1440" w:type="dxa"/>
          </w:tcPr>
          <w:p w14:paraId="0C712AE5" w14:textId="77777777" w:rsidR="00034E07" w:rsidRPr="000D3DC5" w:rsidRDefault="00034E07" w:rsidP="00F67DB5">
            <w:pPr>
              <w:tabs>
                <w:tab w:val="right" w:pos="9180"/>
              </w:tabs>
              <w:ind w:right="-18"/>
            </w:pPr>
          </w:p>
        </w:tc>
        <w:tc>
          <w:tcPr>
            <w:tcW w:w="270" w:type="dxa"/>
          </w:tcPr>
          <w:p w14:paraId="6C873AD3" w14:textId="77777777" w:rsidR="00034E07" w:rsidRPr="000D3DC5" w:rsidRDefault="00034E07" w:rsidP="00F67DB5">
            <w:pPr>
              <w:tabs>
                <w:tab w:val="right" w:pos="9180"/>
              </w:tabs>
              <w:ind w:right="-360"/>
            </w:pPr>
          </w:p>
        </w:tc>
        <w:tc>
          <w:tcPr>
            <w:tcW w:w="1530" w:type="dxa"/>
          </w:tcPr>
          <w:p w14:paraId="1AE8B43B" w14:textId="77777777" w:rsidR="00034E07" w:rsidRPr="000D3DC5" w:rsidRDefault="00034E07" w:rsidP="00F67DB5">
            <w:pPr>
              <w:tabs>
                <w:tab w:val="right" w:pos="9180"/>
              </w:tabs>
              <w:ind w:right="-18"/>
            </w:pPr>
          </w:p>
        </w:tc>
      </w:tr>
      <w:tr w:rsidR="00034E07" w:rsidRPr="000D3DC5" w14:paraId="55C28C4D" w14:textId="77777777" w:rsidTr="00F67DB5">
        <w:tc>
          <w:tcPr>
            <w:tcW w:w="3438" w:type="dxa"/>
            <w:gridSpan w:val="4"/>
          </w:tcPr>
          <w:p w14:paraId="5DDEB4E7" w14:textId="77777777" w:rsidR="00034E07" w:rsidRPr="000D3DC5" w:rsidRDefault="00034E07" w:rsidP="00F67DB5">
            <w:pPr>
              <w:tabs>
                <w:tab w:val="right" w:pos="9180"/>
              </w:tabs>
              <w:ind w:right="-360"/>
            </w:pPr>
            <w:r w:rsidRPr="000D3DC5">
              <w:t>Basic and diluted:</w:t>
            </w:r>
          </w:p>
        </w:tc>
        <w:tc>
          <w:tcPr>
            <w:tcW w:w="1530" w:type="dxa"/>
          </w:tcPr>
          <w:p w14:paraId="43CEE127" w14:textId="77777777" w:rsidR="00034E07" w:rsidRPr="000D3DC5" w:rsidRDefault="00034E07" w:rsidP="00F67DB5">
            <w:pPr>
              <w:tabs>
                <w:tab w:val="decimal" w:pos="792"/>
                <w:tab w:val="right" w:pos="9180"/>
              </w:tabs>
              <w:ind w:right="-18"/>
            </w:pPr>
          </w:p>
        </w:tc>
        <w:tc>
          <w:tcPr>
            <w:tcW w:w="270" w:type="dxa"/>
          </w:tcPr>
          <w:p w14:paraId="72A069D6" w14:textId="77777777" w:rsidR="00034E07" w:rsidRPr="000D3DC5" w:rsidRDefault="00034E07" w:rsidP="00F67DB5">
            <w:pPr>
              <w:tabs>
                <w:tab w:val="right" w:pos="9180"/>
              </w:tabs>
              <w:ind w:right="-360"/>
            </w:pPr>
          </w:p>
        </w:tc>
        <w:tc>
          <w:tcPr>
            <w:tcW w:w="1440" w:type="dxa"/>
          </w:tcPr>
          <w:p w14:paraId="0F091A53" w14:textId="77777777" w:rsidR="00034E07" w:rsidRPr="00440A64" w:rsidRDefault="00034E07" w:rsidP="00F67DB5">
            <w:pPr>
              <w:tabs>
                <w:tab w:val="decimal" w:pos="612"/>
                <w:tab w:val="right" w:pos="9180"/>
              </w:tabs>
              <w:ind w:right="-46"/>
            </w:pPr>
          </w:p>
        </w:tc>
        <w:tc>
          <w:tcPr>
            <w:tcW w:w="450" w:type="dxa"/>
          </w:tcPr>
          <w:p w14:paraId="6B43A510" w14:textId="77777777" w:rsidR="00034E07" w:rsidRPr="00440A64" w:rsidRDefault="00034E07" w:rsidP="00F67DB5">
            <w:pPr>
              <w:tabs>
                <w:tab w:val="right" w:pos="9180"/>
              </w:tabs>
              <w:ind w:right="-360"/>
            </w:pPr>
          </w:p>
        </w:tc>
        <w:tc>
          <w:tcPr>
            <w:tcW w:w="1440" w:type="dxa"/>
          </w:tcPr>
          <w:p w14:paraId="1D203885" w14:textId="77777777" w:rsidR="00034E07" w:rsidRPr="00440A64" w:rsidRDefault="00034E07" w:rsidP="00F67DB5">
            <w:pPr>
              <w:tabs>
                <w:tab w:val="decimal" w:pos="792"/>
                <w:tab w:val="right" w:pos="9180"/>
              </w:tabs>
              <w:ind w:right="-18"/>
            </w:pPr>
          </w:p>
        </w:tc>
        <w:tc>
          <w:tcPr>
            <w:tcW w:w="270" w:type="dxa"/>
          </w:tcPr>
          <w:p w14:paraId="78251AC2" w14:textId="77777777" w:rsidR="00034E07" w:rsidRPr="00440A64" w:rsidRDefault="00034E07" w:rsidP="00F67DB5">
            <w:pPr>
              <w:tabs>
                <w:tab w:val="right" w:pos="9180"/>
              </w:tabs>
              <w:ind w:right="-360"/>
            </w:pPr>
          </w:p>
        </w:tc>
        <w:tc>
          <w:tcPr>
            <w:tcW w:w="1530" w:type="dxa"/>
          </w:tcPr>
          <w:p w14:paraId="42807984" w14:textId="77777777" w:rsidR="00034E07" w:rsidRPr="00440A64" w:rsidRDefault="00034E07" w:rsidP="00F67DB5">
            <w:pPr>
              <w:tabs>
                <w:tab w:val="decimal" w:pos="702"/>
                <w:tab w:val="right" w:pos="9180"/>
              </w:tabs>
              <w:ind w:right="-18"/>
            </w:pPr>
          </w:p>
        </w:tc>
      </w:tr>
      <w:tr w:rsidR="00034E07" w:rsidRPr="000D3DC5" w14:paraId="416FAB3D" w14:textId="77777777" w:rsidTr="00F67DB5">
        <w:tc>
          <w:tcPr>
            <w:tcW w:w="3438" w:type="dxa"/>
            <w:gridSpan w:val="4"/>
          </w:tcPr>
          <w:p w14:paraId="238D4D87" w14:textId="77777777" w:rsidR="00034E07" w:rsidRPr="00342196" w:rsidRDefault="00034E07" w:rsidP="00F67DB5">
            <w:pPr>
              <w:tabs>
                <w:tab w:val="right" w:pos="9180"/>
              </w:tabs>
              <w:ind w:right="-360"/>
            </w:pPr>
            <w:r>
              <w:t xml:space="preserve">  Net l</w:t>
            </w:r>
            <w:r w:rsidRPr="00342196">
              <w:t>oss per common share</w:t>
            </w:r>
          </w:p>
        </w:tc>
        <w:tc>
          <w:tcPr>
            <w:tcW w:w="1530" w:type="dxa"/>
          </w:tcPr>
          <w:p w14:paraId="7EE3E890" w14:textId="54AF64EA" w:rsidR="00034E07" w:rsidRPr="00342196" w:rsidRDefault="00034E07" w:rsidP="00F67DB5">
            <w:pPr>
              <w:tabs>
                <w:tab w:val="decimal" w:pos="882"/>
                <w:tab w:val="right" w:pos="9180"/>
              </w:tabs>
              <w:ind w:right="-18"/>
            </w:pPr>
            <w:r w:rsidRPr="00342196">
              <w:t>$</w:t>
            </w:r>
            <w:r w:rsidRPr="00342196">
              <w:tab/>
            </w:r>
            <w:r w:rsidR="00262FED">
              <w:t>(1.9</w:t>
            </w:r>
            <w:r w:rsidR="006B0CFA">
              <w:t>9</w:t>
            </w:r>
            <w:r w:rsidR="00262FED">
              <w:t>)</w:t>
            </w:r>
          </w:p>
        </w:tc>
        <w:tc>
          <w:tcPr>
            <w:tcW w:w="270" w:type="dxa"/>
          </w:tcPr>
          <w:p w14:paraId="085DE92E" w14:textId="77777777" w:rsidR="00034E07" w:rsidRPr="00342196" w:rsidRDefault="00034E07" w:rsidP="00F67DB5">
            <w:pPr>
              <w:tabs>
                <w:tab w:val="right" w:pos="9180"/>
              </w:tabs>
              <w:ind w:right="-360"/>
            </w:pPr>
          </w:p>
        </w:tc>
        <w:tc>
          <w:tcPr>
            <w:tcW w:w="1440" w:type="dxa"/>
          </w:tcPr>
          <w:p w14:paraId="15C74FC6" w14:textId="4FAA1BA2" w:rsidR="00034E07" w:rsidRPr="00440A64" w:rsidRDefault="00034E07" w:rsidP="00F67DB5">
            <w:pPr>
              <w:tabs>
                <w:tab w:val="decimal" w:pos="792"/>
                <w:tab w:val="right" w:pos="9180"/>
              </w:tabs>
              <w:ind w:right="-46"/>
            </w:pPr>
            <w:r w:rsidRPr="00440A64">
              <w:t>$</w:t>
            </w:r>
            <w:r w:rsidRPr="00440A64">
              <w:tab/>
              <w:t>(</w:t>
            </w:r>
            <w:r w:rsidR="00440A64" w:rsidRPr="00440A64">
              <w:t>3.79</w:t>
            </w:r>
            <w:r w:rsidRPr="00440A64">
              <w:t>)</w:t>
            </w:r>
          </w:p>
        </w:tc>
        <w:tc>
          <w:tcPr>
            <w:tcW w:w="450" w:type="dxa"/>
          </w:tcPr>
          <w:p w14:paraId="1A4C0C0A" w14:textId="77777777" w:rsidR="00034E07" w:rsidRPr="00440A64" w:rsidRDefault="00034E07" w:rsidP="00F67DB5">
            <w:pPr>
              <w:tabs>
                <w:tab w:val="right" w:pos="9180"/>
              </w:tabs>
              <w:ind w:right="-360"/>
            </w:pPr>
          </w:p>
        </w:tc>
        <w:tc>
          <w:tcPr>
            <w:tcW w:w="1440" w:type="dxa"/>
          </w:tcPr>
          <w:p w14:paraId="72769C71" w14:textId="54EA9D4E" w:rsidR="00034E07" w:rsidRPr="00440A64" w:rsidRDefault="00034E07" w:rsidP="00F67DB5">
            <w:pPr>
              <w:tabs>
                <w:tab w:val="decimal" w:pos="792"/>
                <w:tab w:val="right" w:pos="9180"/>
              </w:tabs>
              <w:ind w:right="-18"/>
            </w:pPr>
            <w:r w:rsidRPr="00440A64">
              <w:t>$</w:t>
            </w:r>
            <w:r w:rsidRPr="00440A64">
              <w:tab/>
            </w:r>
            <w:r w:rsidR="00262FED">
              <w:t>(4.6</w:t>
            </w:r>
            <w:r w:rsidR="006B0CFA">
              <w:t>8</w:t>
            </w:r>
            <w:r w:rsidR="00262FED">
              <w:t>)</w:t>
            </w:r>
          </w:p>
        </w:tc>
        <w:tc>
          <w:tcPr>
            <w:tcW w:w="270" w:type="dxa"/>
          </w:tcPr>
          <w:p w14:paraId="4B5C9FD3" w14:textId="77777777" w:rsidR="00034E07" w:rsidRPr="00440A64" w:rsidRDefault="00034E07" w:rsidP="00F67DB5">
            <w:pPr>
              <w:tabs>
                <w:tab w:val="right" w:pos="9180"/>
              </w:tabs>
              <w:ind w:right="-360"/>
            </w:pPr>
          </w:p>
        </w:tc>
        <w:tc>
          <w:tcPr>
            <w:tcW w:w="1530" w:type="dxa"/>
          </w:tcPr>
          <w:p w14:paraId="3B6C3666" w14:textId="5C36B378" w:rsidR="00034E07" w:rsidRPr="00440A64" w:rsidRDefault="00034E07" w:rsidP="00F67DB5">
            <w:pPr>
              <w:tabs>
                <w:tab w:val="decimal" w:pos="882"/>
                <w:tab w:val="right" w:pos="9180"/>
              </w:tabs>
              <w:ind w:right="-18"/>
            </w:pPr>
            <w:r w:rsidRPr="00440A64">
              <w:t>$</w:t>
            </w:r>
            <w:r w:rsidRPr="00440A64">
              <w:tab/>
              <w:t>(</w:t>
            </w:r>
            <w:r w:rsidR="00440A64" w:rsidRPr="00440A64">
              <w:t>5.66</w:t>
            </w:r>
            <w:r w:rsidRPr="00440A64">
              <w:t>)</w:t>
            </w:r>
          </w:p>
        </w:tc>
      </w:tr>
      <w:tr w:rsidR="00034E07" w:rsidRPr="000D3DC5" w14:paraId="00EE55D7" w14:textId="77777777" w:rsidTr="00F67DB5">
        <w:tc>
          <w:tcPr>
            <w:tcW w:w="3438" w:type="dxa"/>
            <w:gridSpan w:val="4"/>
          </w:tcPr>
          <w:p w14:paraId="7409283C" w14:textId="77777777" w:rsidR="00034E07" w:rsidRPr="000D3DC5" w:rsidRDefault="00034E07" w:rsidP="00F67DB5">
            <w:pPr>
              <w:tabs>
                <w:tab w:val="right" w:pos="9180"/>
              </w:tabs>
              <w:ind w:right="-360"/>
            </w:pPr>
            <w:r>
              <w:t xml:space="preserve">  Weighted average shares outstanding</w:t>
            </w:r>
          </w:p>
        </w:tc>
        <w:tc>
          <w:tcPr>
            <w:tcW w:w="1530" w:type="dxa"/>
          </w:tcPr>
          <w:p w14:paraId="1E598746" w14:textId="69A710AA" w:rsidR="00034E07" w:rsidRPr="000D3DC5" w:rsidRDefault="00034E07" w:rsidP="00F67DB5">
            <w:pPr>
              <w:tabs>
                <w:tab w:val="decimal" w:pos="1152"/>
                <w:tab w:val="right" w:pos="9180"/>
              </w:tabs>
              <w:ind w:right="-18"/>
            </w:pPr>
            <w:r>
              <w:tab/>
            </w:r>
            <w:r w:rsidR="00262FED">
              <w:t>2,539,878</w:t>
            </w:r>
          </w:p>
        </w:tc>
        <w:tc>
          <w:tcPr>
            <w:tcW w:w="270" w:type="dxa"/>
          </w:tcPr>
          <w:p w14:paraId="6BA75D79" w14:textId="77777777" w:rsidR="00034E07" w:rsidRPr="000D3DC5" w:rsidRDefault="00034E07" w:rsidP="00F67DB5">
            <w:pPr>
              <w:tabs>
                <w:tab w:val="right" w:pos="9180"/>
              </w:tabs>
              <w:ind w:right="-360"/>
            </w:pPr>
          </w:p>
        </w:tc>
        <w:tc>
          <w:tcPr>
            <w:tcW w:w="1440" w:type="dxa"/>
          </w:tcPr>
          <w:p w14:paraId="0EB9CB05" w14:textId="62EC24EC" w:rsidR="00034E07" w:rsidRPr="00440A64" w:rsidRDefault="00034E07" w:rsidP="00F67DB5">
            <w:pPr>
              <w:tabs>
                <w:tab w:val="decimal" w:pos="1062"/>
                <w:tab w:val="right" w:pos="9180"/>
              </w:tabs>
              <w:ind w:right="-46"/>
            </w:pPr>
            <w:r w:rsidRPr="00440A64">
              <w:tab/>
            </w:r>
            <w:r w:rsidR="00440A64" w:rsidRPr="00440A64">
              <w:t>1,562,910</w:t>
            </w:r>
          </w:p>
        </w:tc>
        <w:tc>
          <w:tcPr>
            <w:tcW w:w="450" w:type="dxa"/>
          </w:tcPr>
          <w:p w14:paraId="08AE2D33" w14:textId="77777777" w:rsidR="00034E07" w:rsidRPr="00440A64" w:rsidRDefault="00034E07" w:rsidP="00F67DB5">
            <w:pPr>
              <w:tabs>
                <w:tab w:val="right" w:pos="9180"/>
              </w:tabs>
              <w:ind w:right="-360"/>
            </w:pPr>
          </w:p>
        </w:tc>
        <w:tc>
          <w:tcPr>
            <w:tcW w:w="1440" w:type="dxa"/>
          </w:tcPr>
          <w:p w14:paraId="1D08C1B7" w14:textId="3A3B1C7A" w:rsidR="00034E07" w:rsidRPr="00440A64" w:rsidRDefault="00034E07" w:rsidP="00F67DB5">
            <w:pPr>
              <w:tabs>
                <w:tab w:val="decimal" w:pos="1062"/>
                <w:tab w:val="right" w:pos="9180"/>
              </w:tabs>
              <w:ind w:right="-18"/>
            </w:pPr>
            <w:r w:rsidRPr="00440A64">
              <w:tab/>
            </w:r>
            <w:r w:rsidR="00262FED">
              <w:t>2,334,464</w:t>
            </w:r>
          </w:p>
        </w:tc>
        <w:tc>
          <w:tcPr>
            <w:tcW w:w="270" w:type="dxa"/>
          </w:tcPr>
          <w:p w14:paraId="73FC4831" w14:textId="77777777" w:rsidR="00034E07" w:rsidRPr="00440A64" w:rsidRDefault="00034E07" w:rsidP="00F67DB5">
            <w:pPr>
              <w:tabs>
                <w:tab w:val="right" w:pos="9180"/>
              </w:tabs>
              <w:ind w:right="-360"/>
            </w:pPr>
          </w:p>
        </w:tc>
        <w:tc>
          <w:tcPr>
            <w:tcW w:w="1530" w:type="dxa"/>
          </w:tcPr>
          <w:p w14:paraId="306A8147" w14:textId="43B207F3" w:rsidR="00034E07" w:rsidRPr="00440A64" w:rsidRDefault="00034E07" w:rsidP="00F67DB5">
            <w:pPr>
              <w:tabs>
                <w:tab w:val="decimal" w:pos="1152"/>
                <w:tab w:val="right" w:pos="9180"/>
              </w:tabs>
              <w:ind w:right="-18"/>
            </w:pPr>
            <w:r w:rsidRPr="00440A64">
              <w:tab/>
            </w:r>
            <w:r w:rsidR="00440A64" w:rsidRPr="00440A64">
              <w:t>1,759,427</w:t>
            </w:r>
          </w:p>
        </w:tc>
      </w:tr>
      <w:tr w:rsidR="00034E07" w:rsidRPr="008F36CA" w14:paraId="2CE78651" w14:textId="77777777" w:rsidTr="00F67DB5">
        <w:tc>
          <w:tcPr>
            <w:tcW w:w="378" w:type="dxa"/>
          </w:tcPr>
          <w:p w14:paraId="525FD2CD" w14:textId="77777777" w:rsidR="00034E07" w:rsidRPr="008F36CA" w:rsidRDefault="00034E07" w:rsidP="00F67DB5">
            <w:pPr>
              <w:ind w:right="-360"/>
            </w:pPr>
          </w:p>
        </w:tc>
        <w:tc>
          <w:tcPr>
            <w:tcW w:w="450" w:type="dxa"/>
          </w:tcPr>
          <w:p w14:paraId="4126D711" w14:textId="77777777" w:rsidR="00034E07" w:rsidRPr="008F36CA" w:rsidRDefault="00034E07" w:rsidP="00F67DB5">
            <w:pPr>
              <w:ind w:right="-360"/>
            </w:pPr>
          </w:p>
        </w:tc>
        <w:tc>
          <w:tcPr>
            <w:tcW w:w="450" w:type="dxa"/>
          </w:tcPr>
          <w:p w14:paraId="0A158F41" w14:textId="77777777" w:rsidR="00034E07" w:rsidRPr="008F36CA" w:rsidRDefault="00034E07" w:rsidP="00F67DB5">
            <w:pPr>
              <w:ind w:right="-360"/>
            </w:pPr>
          </w:p>
        </w:tc>
        <w:tc>
          <w:tcPr>
            <w:tcW w:w="2160" w:type="dxa"/>
          </w:tcPr>
          <w:p w14:paraId="78256F8D" w14:textId="77777777" w:rsidR="00034E07" w:rsidRPr="008F36CA" w:rsidRDefault="00034E07" w:rsidP="00F67DB5">
            <w:pPr>
              <w:tabs>
                <w:tab w:val="right" w:pos="9180"/>
              </w:tabs>
              <w:ind w:right="-360"/>
            </w:pPr>
          </w:p>
        </w:tc>
        <w:tc>
          <w:tcPr>
            <w:tcW w:w="1530" w:type="dxa"/>
          </w:tcPr>
          <w:p w14:paraId="4F35643D" w14:textId="77777777" w:rsidR="00034E07" w:rsidRPr="008F36CA" w:rsidRDefault="00034E07" w:rsidP="00F67DB5">
            <w:pPr>
              <w:tabs>
                <w:tab w:val="right" w:pos="9180"/>
              </w:tabs>
              <w:ind w:right="-18"/>
            </w:pPr>
          </w:p>
        </w:tc>
        <w:tc>
          <w:tcPr>
            <w:tcW w:w="270" w:type="dxa"/>
          </w:tcPr>
          <w:p w14:paraId="4E536747" w14:textId="77777777" w:rsidR="00034E07" w:rsidRPr="008F36CA" w:rsidRDefault="00034E07" w:rsidP="00F67DB5">
            <w:pPr>
              <w:tabs>
                <w:tab w:val="right" w:pos="9180"/>
              </w:tabs>
              <w:ind w:right="-360"/>
            </w:pPr>
          </w:p>
        </w:tc>
        <w:tc>
          <w:tcPr>
            <w:tcW w:w="1440" w:type="dxa"/>
          </w:tcPr>
          <w:p w14:paraId="70ADF6F1" w14:textId="77777777" w:rsidR="00034E07" w:rsidRPr="00F31ABA" w:rsidRDefault="00034E07" w:rsidP="00F67DB5">
            <w:pPr>
              <w:tabs>
                <w:tab w:val="right" w:pos="9180"/>
              </w:tabs>
              <w:ind w:right="-46"/>
            </w:pPr>
          </w:p>
        </w:tc>
        <w:tc>
          <w:tcPr>
            <w:tcW w:w="450" w:type="dxa"/>
          </w:tcPr>
          <w:p w14:paraId="5CE767D2" w14:textId="77777777" w:rsidR="00034E07" w:rsidRPr="00F31ABA" w:rsidRDefault="00034E07" w:rsidP="00F67DB5">
            <w:pPr>
              <w:tabs>
                <w:tab w:val="right" w:pos="9180"/>
              </w:tabs>
              <w:ind w:right="-360"/>
            </w:pPr>
          </w:p>
        </w:tc>
        <w:tc>
          <w:tcPr>
            <w:tcW w:w="1440" w:type="dxa"/>
          </w:tcPr>
          <w:p w14:paraId="3486CF43" w14:textId="77777777" w:rsidR="00034E07" w:rsidRPr="00F31ABA" w:rsidRDefault="00034E07" w:rsidP="00F67DB5">
            <w:pPr>
              <w:tabs>
                <w:tab w:val="right" w:pos="9180"/>
              </w:tabs>
              <w:ind w:right="-18"/>
            </w:pPr>
          </w:p>
        </w:tc>
        <w:tc>
          <w:tcPr>
            <w:tcW w:w="270" w:type="dxa"/>
          </w:tcPr>
          <w:p w14:paraId="32CA0D5D" w14:textId="77777777" w:rsidR="00034E07" w:rsidRPr="00F31ABA" w:rsidRDefault="00034E07" w:rsidP="00F67DB5">
            <w:pPr>
              <w:tabs>
                <w:tab w:val="right" w:pos="9180"/>
              </w:tabs>
              <w:ind w:right="-360"/>
            </w:pPr>
          </w:p>
        </w:tc>
        <w:tc>
          <w:tcPr>
            <w:tcW w:w="1530" w:type="dxa"/>
          </w:tcPr>
          <w:p w14:paraId="0C6F8254" w14:textId="77777777" w:rsidR="00034E07" w:rsidRPr="00F31ABA" w:rsidRDefault="00034E07" w:rsidP="00F67DB5">
            <w:pPr>
              <w:tabs>
                <w:tab w:val="right" w:pos="9180"/>
              </w:tabs>
              <w:ind w:right="-18"/>
            </w:pPr>
          </w:p>
        </w:tc>
      </w:tr>
      <w:tr w:rsidR="00034E07" w:rsidRPr="000D3DC5" w14:paraId="6D6A37A1" w14:textId="77777777" w:rsidTr="00F67DB5">
        <w:tc>
          <w:tcPr>
            <w:tcW w:w="378" w:type="dxa"/>
          </w:tcPr>
          <w:p w14:paraId="491894F0" w14:textId="77777777" w:rsidR="00034E07" w:rsidRPr="000D3DC5" w:rsidRDefault="00034E07" w:rsidP="00F67DB5">
            <w:pPr>
              <w:ind w:right="-360"/>
            </w:pPr>
          </w:p>
        </w:tc>
        <w:tc>
          <w:tcPr>
            <w:tcW w:w="450" w:type="dxa"/>
          </w:tcPr>
          <w:p w14:paraId="4F1687EA" w14:textId="77777777" w:rsidR="00034E07" w:rsidRPr="000D3DC5" w:rsidRDefault="00034E07" w:rsidP="00F67DB5">
            <w:pPr>
              <w:ind w:right="-360"/>
            </w:pPr>
          </w:p>
        </w:tc>
        <w:tc>
          <w:tcPr>
            <w:tcW w:w="450" w:type="dxa"/>
          </w:tcPr>
          <w:p w14:paraId="2E68F5D9" w14:textId="77777777" w:rsidR="00034E07" w:rsidRPr="000D3DC5" w:rsidRDefault="00034E07" w:rsidP="00F67DB5">
            <w:pPr>
              <w:ind w:right="-360"/>
            </w:pPr>
          </w:p>
        </w:tc>
        <w:tc>
          <w:tcPr>
            <w:tcW w:w="2160" w:type="dxa"/>
          </w:tcPr>
          <w:p w14:paraId="0BAC5782" w14:textId="77777777" w:rsidR="00034E07" w:rsidRPr="000D3DC5" w:rsidRDefault="00034E07" w:rsidP="00F67DB5">
            <w:pPr>
              <w:tabs>
                <w:tab w:val="right" w:pos="9180"/>
              </w:tabs>
              <w:ind w:right="-360"/>
            </w:pPr>
          </w:p>
        </w:tc>
        <w:tc>
          <w:tcPr>
            <w:tcW w:w="1530" w:type="dxa"/>
          </w:tcPr>
          <w:p w14:paraId="6DA5C940" w14:textId="77777777" w:rsidR="00034E07" w:rsidRPr="000D3DC5" w:rsidRDefault="00034E07" w:rsidP="00F67DB5">
            <w:pPr>
              <w:tabs>
                <w:tab w:val="right" w:pos="9180"/>
              </w:tabs>
              <w:ind w:right="-18"/>
            </w:pPr>
          </w:p>
        </w:tc>
        <w:tc>
          <w:tcPr>
            <w:tcW w:w="270" w:type="dxa"/>
          </w:tcPr>
          <w:p w14:paraId="0C2690D8" w14:textId="77777777" w:rsidR="00034E07" w:rsidRPr="000D3DC5" w:rsidRDefault="00034E07" w:rsidP="00F67DB5">
            <w:pPr>
              <w:tabs>
                <w:tab w:val="right" w:pos="9180"/>
              </w:tabs>
              <w:ind w:right="-360"/>
            </w:pPr>
          </w:p>
        </w:tc>
        <w:tc>
          <w:tcPr>
            <w:tcW w:w="1440" w:type="dxa"/>
          </w:tcPr>
          <w:p w14:paraId="3E8F53DC" w14:textId="77777777" w:rsidR="00034E07" w:rsidRPr="000D3DC5" w:rsidRDefault="00034E07" w:rsidP="00F67DB5">
            <w:pPr>
              <w:tabs>
                <w:tab w:val="right" w:pos="9180"/>
              </w:tabs>
              <w:ind w:right="-46"/>
            </w:pPr>
          </w:p>
        </w:tc>
        <w:tc>
          <w:tcPr>
            <w:tcW w:w="450" w:type="dxa"/>
          </w:tcPr>
          <w:p w14:paraId="1B90EAE7" w14:textId="77777777" w:rsidR="00034E07" w:rsidRPr="000D3DC5" w:rsidRDefault="00034E07" w:rsidP="00F67DB5">
            <w:pPr>
              <w:tabs>
                <w:tab w:val="right" w:pos="9180"/>
              </w:tabs>
              <w:ind w:right="-360"/>
            </w:pPr>
          </w:p>
        </w:tc>
        <w:tc>
          <w:tcPr>
            <w:tcW w:w="1440" w:type="dxa"/>
          </w:tcPr>
          <w:p w14:paraId="21905A70" w14:textId="77777777" w:rsidR="00034E07" w:rsidRPr="000D3DC5" w:rsidRDefault="00034E07" w:rsidP="00F67DB5">
            <w:pPr>
              <w:tabs>
                <w:tab w:val="right" w:pos="9180"/>
              </w:tabs>
              <w:ind w:right="-18"/>
            </w:pPr>
          </w:p>
        </w:tc>
        <w:tc>
          <w:tcPr>
            <w:tcW w:w="270" w:type="dxa"/>
          </w:tcPr>
          <w:p w14:paraId="39EA4F35" w14:textId="77777777" w:rsidR="00034E07" w:rsidRPr="000D3DC5" w:rsidRDefault="00034E07" w:rsidP="00F67DB5">
            <w:pPr>
              <w:tabs>
                <w:tab w:val="right" w:pos="9180"/>
              </w:tabs>
              <w:ind w:right="-360"/>
            </w:pPr>
          </w:p>
        </w:tc>
        <w:tc>
          <w:tcPr>
            <w:tcW w:w="1530" w:type="dxa"/>
          </w:tcPr>
          <w:p w14:paraId="6CED79E5" w14:textId="77777777" w:rsidR="00034E07" w:rsidRPr="000D3DC5" w:rsidRDefault="00034E07" w:rsidP="00F67DB5">
            <w:pPr>
              <w:tabs>
                <w:tab w:val="right" w:pos="9180"/>
              </w:tabs>
              <w:ind w:right="-18"/>
            </w:pPr>
          </w:p>
        </w:tc>
      </w:tr>
    </w:tbl>
    <w:p w14:paraId="1EE51BFE" w14:textId="77777777" w:rsidR="00034E07" w:rsidRPr="00BA4187" w:rsidRDefault="00034E07" w:rsidP="00034E07">
      <w:pPr>
        <w:tabs>
          <w:tab w:val="left" w:pos="1080"/>
          <w:tab w:val="left" w:pos="1260"/>
          <w:tab w:val="left" w:pos="2340"/>
          <w:tab w:val="right" w:pos="9180"/>
        </w:tabs>
        <w:ind w:right="-360"/>
        <w:jc w:val="center"/>
      </w:pPr>
    </w:p>
    <w:p w14:paraId="566FA687" w14:textId="77777777" w:rsidR="00034E07" w:rsidRDefault="00034E07" w:rsidP="00034E07">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6883843" w14:textId="77777777" w:rsidR="00034E07" w:rsidRDefault="00034E07" w:rsidP="00643C84">
      <w:pPr>
        <w:tabs>
          <w:tab w:val="left" w:pos="1080"/>
          <w:tab w:val="left" w:pos="1260"/>
          <w:tab w:val="left" w:pos="2340"/>
          <w:tab w:val="right" w:pos="9180"/>
        </w:tabs>
        <w:ind w:right="-360"/>
      </w:pPr>
    </w:p>
    <w:p w14:paraId="5ECB4D72" w14:textId="77777777" w:rsidR="00034E07" w:rsidRDefault="00034E07"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212EFE63" w:rsidR="00487CAB" w:rsidRPr="00487CAB" w:rsidRDefault="00487CAB" w:rsidP="00487CAB">
      <w:pPr>
        <w:jc w:val="center"/>
        <w:rPr>
          <w:b/>
        </w:rPr>
      </w:pPr>
      <w:r w:rsidRPr="00487CAB">
        <w:rPr>
          <w:b/>
        </w:rPr>
        <w:t>CONDENSED CONSOLIDATED STATEMENTS OF CHANGES IN STOCKHOLDERS’ EQUITY</w:t>
      </w:r>
      <w:r w:rsidR="00387D5C">
        <w:rPr>
          <w:b/>
        </w:rPr>
        <w:t xml:space="preserve"> (DEFICIT)</w:t>
      </w:r>
    </w:p>
    <w:p w14:paraId="5DBBABFB" w14:textId="77777777" w:rsidR="00487CAB" w:rsidRPr="00487CAB" w:rsidRDefault="00487CAB" w:rsidP="00487CAB">
      <w:pPr>
        <w:jc w:val="center"/>
        <w:rPr>
          <w:b/>
        </w:rPr>
      </w:pPr>
      <w:r w:rsidRPr="00487CAB">
        <w:rPr>
          <w:b/>
        </w:rPr>
        <w:t>(Unaudited)</w:t>
      </w:r>
    </w:p>
    <w:p w14:paraId="437DEC52" w14:textId="77777777" w:rsidR="004F2810" w:rsidRDefault="004F2810" w:rsidP="00487CAB">
      <w:pPr>
        <w:tabs>
          <w:tab w:val="decimal" w:pos="1152"/>
          <w:tab w:val="left" w:pos="2340"/>
          <w:tab w:val="right" w:pos="9180"/>
        </w:tabs>
        <w:rPr>
          <w:snapToGrid w:val="0"/>
          <w:color w:val="000000"/>
        </w:rPr>
      </w:pPr>
    </w:p>
    <w:p w14:paraId="1CDF9774" w14:textId="77777777" w:rsidR="00BB7F5F" w:rsidRDefault="00BB7F5F" w:rsidP="00487CAB">
      <w:pPr>
        <w:tabs>
          <w:tab w:val="decimal" w:pos="1152"/>
          <w:tab w:val="left" w:pos="2340"/>
          <w:tab w:val="right" w:pos="9180"/>
        </w:tabs>
        <w:rPr>
          <w:snapToGrid w:val="0"/>
          <w:color w:val="000000"/>
        </w:rPr>
      </w:pPr>
    </w:p>
    <w:p w14:paraId="370EBB1C" w14:textId="77777777" w:rsidR="004F2810" w:rsidRDefault="004F2810" w:rsidP="00487CAB">
      <w:pPr>
        <w:tabs>
          <w:tab w:val="decimal" w:pos="1152"/>
          <w:tab w:val="left" w:pos="2340"/>
          <w:tab w:val="right" w:pos="9180"/>
        </w:tabs>
        <w:rPr>
          <w:snapToGrid w:val="0"/>
          <w:color w:val="000000"/>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0"/>
        <w:gridCol w:w="90"/>
      </w:tblGrid>
      <w:tr w:rsidR="004F2810" w:rsidRPr="00487CAB" w14:paraId="0B7B17C3" w14:textId="77777777" w:rsidTr="004F2810">
        <w:trPr>
          <w:gridAfter w:val="1"/>
          <w:wAfter w:w="90" w:type="dxa"/>
        </w:trPr>
        <w:tc>
          <w:tcPr>
            <w:tcW w:w="4410" w:type="dxa"/>
          </w:tcPr>
          <w:p w14:paraId="2BA81BDC"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6B419C1D" w14:textId="77777777" w:rsidR="004F2810" w:rsidRPr="00487CAB" w:rsidRDefault="004F2810" w:rsidP="007149CF">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4F0EF287" w14:textId="41A8A831"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Three-Month and Six-Month Periods Ended June 30, 2024</w:t>
            </w:r>
          </w:p>
        </w:tc>
      </w:tr>
      <w:tr w:rsidR="004F2810" w:rsidRPr="00487CAB" w14:paraId="007FC571" w14:textId="77777777" w:rsidTr="00387D5C">
        <w:trPr>
          <w:gridAfter w:val="1"/>
          <w:wAfter w:w="90" w:type="dxa"/>
        </w:trPr>
        <w:tc>
          <w:tcPr>
            <w:tcW w:w="4410" w:type="dxa"/>
          </w:tcPr>
          <w:p w14:paraId="0C4B4AD7"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3F82DA05"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19F2C956" w14:textId="77777777" w:rsidR="004F2810" w:rsidRPr="00487CAB" w:rsidRDefault="004F2810" w:rsidP="007149CF">
            <w:pPr>
              <w:tabs>
                <w:tab w:val="decimal" w:pos="1148"/>
                <w:tab w:val="right" w:pos="9180"/>
              </w:tabs>
              <w:jc w:val="center"/>
              <w:rPr>
                <w:snapToGrid w:val="0"/>
                <w:color w:val="000000"/>
                <w:sz w:val="19"/>
                <w:szCs w:val="19"/>
              </w:rPr>
            </w:pPr>
          </w:p>
        </w:tc>
        <w:tc>
          <w:tcPr>
            <w:tcW w:w="1170" w:type="dxa"/>
            <w:tcBorders>
              <w:top w:val="single" w:sz="4" w:space="0" w:color="auto"/>
            </w:tcBorders>
          </w:tcPr>
          <w:p w14:paraId="1222A1B7"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55A2A92B"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5C40BF98" w14:textId="77777777" w:rsidR="004F2810" w:rsidRPr="00487CAB" w:rsidRDefault="004F2810" w:rsidP="007149CF">
            <w:pPr>
              <w:tabs>
                <w:tab w:val="right" w:pos="9180"/>
              </w:tabs>
              <w:jc w:val="center"/>
              <w:rPr>
                <w:snapToGrid w:val="0"/>
                <w:color w:val="000000"/>
                <w:sz w:val="19"/>
                <w:szCs w:val="19"/>
              </w:rPr>
            </w:pPr>
          </w:p>
        </w:tc>
        <w:tc>
          <w:tcPr>
            <w:tcW w:w="1710" w:type="dxa"/>
            <w:tcBorders>
              <w:top w:val="single" w:sz="4" w:space="0" w:color="auto"/>
            </w:tcBorders>
          </w:tcPr>
          <w:p w14:paraId="3B03166A" w14:textId="77777777"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Total</w:t>
            </w:r>
          </w:p>
        </w:tc>
      </w:tr>
      <w:tr w:rsidR="004F2810" w:rsidRPr="00487CAB" w14:paraId="179C9DC9" w14:textId="77777777" w:rsidTr="00387D5C">
        <w:trPr>
          <w:gridAfter w:val="1"/>
          <w:wAfter w:w="90" w:type="dxa"/>
        </w:trPr>
        <w:tc>
          <w:tcPr>
            <w:tcW w:w="4410" w:type="dxa"/>
          </w:tcPr>
          <w:p w14:paraId="40C626DD"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0CCDC993" w14:textId="77777777" w:rsidR="004F2810" w:rsidRPr="00487CAB" w:rsidRDefault="004F2810" w:rsidP="007149CF">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4DBAD0D0" w14:textId="77777777" w:rsidR="004F2810" w:rsidRPr="00487CAB" w:rsidRDefault="004F2810" w:rsidP="007149CF">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12E98F30" w14:textId="77777777" w:rsidR="004F2810" w:rsidRPr="00487CAB" w:rsidRDefault="004F2810" w:rsidP="007149CF">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2526CCD3" w14:textId="77777777" w:rsidR="004F2810" w:rsidRPr="00487CAB" w:rsidRDefault="004F2810" w:rsidP="007149CF">
            <w:pPr>
              <w:tabs>
                <w:tab w:val="right" w:pos="9180"/>
              </w:tabs>
              <w:jc w:val="center"/>
              <w:rPr>
                <w:snapToGrid w:val="0"/>
                <w:color w:val="000000"/>
                <w:sz w:val="19"/>
                <w:szCs w:val="19"/>
              </w:rPr>
            </w:pPr>
            <w:r>
              <w:rPr>
                <w:snapToGrid w:val="0"/>
                <w:color w:val="000000"/>
                <w:sz w:val="19"/>
                <w:szCs w:val="19"/>
              </w:rPr>
              <w:t>Accumulated</w:t>
            </w:r>
          </w:p>
        </w:tc>
        <w:tc>
          <w:tcPr>
            <w:tcW w:w="1710" w:type="dxa"/>
          </w:tcPr>
          <w:p w14:paraId="5C8C90D2" w14:textId="77777777"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Stockholders’</w:t>
            </w:r>
          </w:p>
        </w:tc>
      </w:tr>
      <w:tr w:rsidR="004F2810" w:rsidRPr="00487CAB" w14:paraId="102BC5D0" w14:textId="77777777" w:rsidTr="00387D5C">
        <w:trPr>
          <w:gridAfter w:val="1"/>
          <w:wAfter w:w="90" w:type="dxa"/>
        </w:trPr>
        <w:tc>
          <w:tcPr>
            <w:tcW w:w="4410" w:type="dxa"/>
          </w:tcPr>
          <w:p w14:paraId="6E5DE529"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232D3821"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bottom w:val="single" w:sz="4" w:space="0" w:color="auto"/>
            </w:tcBorders>
          </w:tcPr>
          <w:p w14:paraId="18CF0290"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58A2071B"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5AF78ADF"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659774B6" w14:textId="77777777" w:rsidR="004F2810" w:rsidRPr="00487CAB" w:rsidRDefault="004F2810" w:rsidP="007149CF">
            <w:pPr>
              <w:tabs>
                <w:tab w:val="right" w:pos="9180"/>
              </w:tabs>
              <w:jc w:val="center"/>
              <w:rPr>
                <w:snapToGrid w:val="0"/>
                <w:color w:val="000000"/>
                <w:sz w:val="19"/>
                <w:szCs w:val="19"/>
              </w:rPr>
            </w:pPr>
            <w:r w:rsidRPr="00487CAB">
              <w:rPr>
                <w:snapToGrid w:val="0"/>
                <w:color w:val="000000"/>
                <w:sz w:val="19"/>
                <w:szCs w:val="19"/>
              </w:rPr>
              <w:t>Deficit</w:t>
            </w:r>
          </w:p>
        </w:tc>
        <w:tc>
          <w:tcPr>
            <w:tcW w:w="1710" w:type="dxa"/>
            <w:tcBorders>
              <w:bottom w:val="single" w:sz="4" w:space="0" w:color="auto"/>
            </w:tcBorders>
          </w:tcPr>
          <w:p w14:paraId="7E6552F0" w14:textId="77777777" w:rsidR="004F2810" w:rsidRPr="00487CAB" w:rsidRDefault="004F2810" w:rsidP="007149CF">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4F2810" w:rsidRPr="00487CAB" w14:paraId="73E78B3C" w14:textId="77777777" w:rsidTr="004F2810">
        <w:tc>
          <w:tcPr>
            <w:tcW w:w="4410" w:type="dxa"/>
          </w:tcPr>
          <w:p w14:paraId="6BE473B2" w14:textId="77777777"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23</w:t>
            </w:r>
          </w:p>
        </w:tc>
        <w:tc>
          <w:tcPr>
            <w:tcW w:w="720" w:type="dxa"/>
          </w:tcPr>
          <w:p w14:paraId="363758F8"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045CEBC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1,977,152</w:t>
            </w:r>
          </w:p>
        </w:tc>
        <w:tc>
          <w:tcPr>
            <w:tcW w:w="1170" w:type="dxa"/>
          </w:tcPr>
          <w:p w14:paraId="7BCCED6D"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1,977</w:t>
            </w:r>
          </w:p>
        </w:tc>
        <w:tc>
          <w:tcPr>
            <w:tcW w:w="1440" w:type="dxa"/>
          </w:tcPr>
          <w:p w14:paraId="7FBD762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110,125,146</w:t>
            </w:r>
          </w:p>
        </w:tc>
        <w:tc>
          <w:tcPr>
            <w:tcW w:w="1440" w:type="dxa"/>
          </w:tcPr>
          <w:p w14:paraId="226A338C" w14:textId="77777777"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104,363,785</w:t>
            </w:r>
            <w:r w:rsidRPr="00487CAB">
              <w:rPr>
                <w:snapToGrid w:val="0"/>
                <w:color w:val="000000"/>
                <w:sz w:val="19"/>
                <w:szCs w:val="19"/>
              </w:rPr>
              <w:t>)</w:t>
            </w:r>
          </w:p>
        </w:tc>
        <w:tc>
          <w:tcPr>
            <w:tcW w:w="1800" w:type="dxa"/>
            <w:gridSpan w:val="2"/>
          </w:tcPr>
          <w:p w14:paraId="5F484E0F" w14:textId="77777777"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5,763,338</w:t>
            </w:r>
          </w:p>
        </w:tc>
      </w:tr>
      <w:tr w:rsidR="004F2810" w:rsidRPr="00487CAB" w14:paraId="39A7C4B5" w14:textId="77777777" w:rsidTr="004F2810">
        <w:tc>
          <w:tcPr>
            <w:tcW w:w="4410" w:type="dxa"/>
          </w:tcPr>
          <w:p w14:paraId="14D56B52" w14:textId="77777777"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for services</w:t>
            </w:r>
          </w:p>
        </w:tc>
        <w:tc>
          <w:tcPr>
            <w:tcW w:w="720" w:type="dxa"/>
          </w:tcPr>
          <w:p w14:paraId="5A82D94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68D5F38C"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6,703</w:t>
            </w:r>
          </w:p>
        </w:tc>
        <w:tc>
          <w:tcPr>
            <w:tcW w:w="1170" w:type="dxa"/>
          </w:tcPr>
          <w:p w14:paraId="72ED26A3"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w:t>
            </w:r>
          </w:p>
        </w:tc>
        <w:tc>
          <w:tcPr>
            <w:tcW w:w="1440" w:type="dxa"/>
          </w:tcPr>
          <w:p w14:paraId="0EF020D2"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37,493</w:t>
            </w:r>
          </w:p>
        </w:tc>
        <w:tc>
          <w:tcPr>
            <w:tcW w:w="1440" w:type="dxa"/>
          </w:tcPr>
          <w:p w14:paraId="2D27D775" w14:textId="77777777"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6C815BB3" w14:textId="77777777"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37,500</w:t>
            </w:r>
          </w:p>
        </w:tc>
      </w:tr>
      <w:tr w:rsidR="004F2810" w:rsidRPr="00487CAB" w14:paraId="5D613DFF" w14:textId="77777777" w:rsidTr="004F2810">
        <w:tc>
          <w:tcPr>
            <w:tcW w:w="4410" w:type="dxa"/>
          </w:tcPr>
          <w:p w14:paraId="74323622" w14:textId="00C6A3A6" w:rsidR="004F2810" w:rsidRPr="00487CAB" w:rsidRDefault="004F2810" w:rsidP="007149CF">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r w:rsidR="00FD194E">
              <w:rPr>
                <w:snapToGrid w:val="0"/>
                <w:color w:val="000000"/>
                <w:sz w:val="19"/>
                <w:szCs w:val="19"/>
              </w:rPr>
              <w:t>s</w:t>
            </w:r>
          </w:p>
        </w:tc>
        <w:tc>
          <w:tcPr>
            <w:tcW w:w="720" w:type="dxa"/>
          </w:tcPr>
          <w:p w14:paraId="4553A326"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34A6B8C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269,032</w:t>
            </w:r>
          </w:p>
        </w:tc>
        <w:tc>
          <w:tcPr>
            <w:tcW w:w="1170" w:type="dxa"/>
          </w:tcPr>
          <w:p w14:paraId="7B0A96AE"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604397DB"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1C259623" w14:textId="77777777" w:rsidR="004F2810" w:rsidRPr="00487CAB" w:rsidRDefault="004F2810"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8FD6D91" w14:textId="77777777"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ab/>
              <w:t>-</w:t>
            </w:r>
          </w:p>
        </w:tc>
      </w:tr>
      <w:tr w:rsidR="004F2810" w:rsidRPr="00487CAB" w14:paraId="1BF5ECC3" w14:textId="77777777" w:rsidTr="004F2810">
        <w:tc>
          <w:tcPr>
            <w:tcW w:w="4410" w:type="dxa"/>
          </w:tcPr>
          <w:p w14:paraId="7694562C" w14:textId="77777777" w:rsidR="004F2810" w:rsidRDefault="004F2810" w:rsidP="007149CF">
            <w:pPr>
              <w:tabs>
                <w:tab w:val="left" w:pos="144"/>
                <w:tab w:val="left" w:pos="324"/>
                <w:tab w:val="right" w:pos="9180"/>
              </w:tabs>
              <w:rPr>
                <w:snapToGrid w:val="0"/>
                <w:color w:val="000000"/>
                <w:sz w:val="19"/>
                <w:szCs w:val="19"/>
              </w:rPr>
            </w:pPr>
            <w:r>
              <w:rPr>
                <w:snapToGrid w:val="0"/>
                <w:color w:val="000000"/>
                <w:sz w:val="19"/>
                <w:szCs w:val="19"/>
              </w:rPr>
              <w:tab/>
              <w:t>Fractional share roundup following reverse split</w:t>
            </w:r>
          </w:p>
        </w:tc>
        <w:tc>
          <w:tcPr>
            <w:tcW w:w="720" w:type="dxa"/>
          </w:tcPr>
          <w:p w14:paraId="33BABD76"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1E032BDD"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55,422</w:t>
            </w:r>
          </w:p>
        </w:tc>
        <w:tc>
          <w:tcPr>
            <w:tcW w:w="1170" w:type="dxa"/>
          </w:tcPr>
          <w:p w14:paraId="7AB68883"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479FF184"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5E012C65" w14:textId="77777777" w:rsidR="004F2810" w:rsidRDefault="004F2810"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E10F78E" w14:textId="77777777" w:rsidR="004F2810" w:rsidRDefault="004F2810" w:rsidP="007149CF">
            <w:pPr>
              <w:tabs>
                <w:tab w:val="decimal" w:pos="1418"/>
                <w:tab w:val="right" w:pos="9180"/>
              </w:tabs>
              <w:rPr>
                <w:snapToGrid w:val="0"/>
                <w:color w:val="000000"/>
                <w:sz w:val="19"/>
                <w:szCs w:val="19"/>
              </w:rPr>
            </w:pPr>
            <w:r>
              <w:rPr>
                <w:snapToGrid w:val="0"/>
                <w:color w:val="000000"/>
                <w:sz w:val="19"/>
                <w:szCs w:val="19"/>
              </w:rPr>
              <w:tab/>
              <w:t>-</w:t>
            </w:r>
          </w:p>
        </w:tc>
      </w:tr>
      <w:tr w:rsidR="004F2810" w:rsidRPr="00487CAB" w14:paraId="5B5519F8" w14:textId="77777777" w:rsidTr="004F2810">
        <w:tc>
          <w:tcPr>
            <w:tcW w:w="4410" w:type="dxa"/>
          </w:tcPr>
          <w:p w14:paraId="4488B727" w14:textId="77777777" w:rsidR="004F2810" w:rsidRDefault="004F2810" w:rsidP="007149CF">
            <w:pPr>
              <w:tabs>
                <w:tab w:val="left" w:pos="144"/>
                <w:tab w:val="left" w:pos="324"/>
                <w:tab w:val="right" w:pos="9180"/>
              </w:tabs>
              <w:rPr>
                <w:snapToGrid w:val="0"/>
                <w:color w:val="000000"/>
                <w:sz w:val="19"/>
                <w:szCs w:val="19"/>
              </w:rPr>
            </w:pPr>
            <w:bookmarkStart w:id="8" w:name="_Hlk171084191"/>
            <w:r>
              <w:rPr>
                <w:snapToGrid w:val="0"/>
                <w:color w:val="000000"/>
                <w:sz w:val="19"/>
                <w:szCs w:val="19"/>
              </w:rPr>
              <w:tab/>
              <w:t>Stock option expense</w:t>
            </w:r>
          </w:p>
        </w:tc>
        <w:tc>
          <w:tcPr>
            <w:tcW w:w="720" w:type="dxa"/>
          </w:tcPr>
          <w:p w14:paraId="4BE7237E"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7D4967D2"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0420D555"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A4E309"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103,569</w:t>
            </w:r>
          </w:p>
        </w:tc>
        <w:tc>
          <w:tcPr>
            <w:tcW w:w="1440" w:type="dxa"/>
          </w:tcPr>
          <w:p w14:paraId="22A6C336" w14:textId="77777777" w:rsidR="004F2810" w:rsidRPr="00636549" w:rsidRDefault="004F2810" w:rsidP="007149CF">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729BBAAB" w14:textId="77777777" w:rsidR="004F2810" w:rsidRDefault="004F2810" w:rsidP="007149CF">
            <w:pPr>
              <w:tabs>
                <w:tab w:val="decimal" w:pos="1418"/>
                <w:tab w:val="right" w:pos="9180"/>
              </w:tabs>
              <w:rPr>
                <w:snapToGrid w:val="0"/>
                <w:color w:val="000000"/>
                <w:sz w:val="19"/>
                <w:szCs w:val="19"/>
              </w:rPr>
            </w:pPr>
            <w:r>
              <w:rPr>
                <w:snapToGrid w:val="0"/>
                <w:color w:val="000000"/>
                <w:sz w:val="19"/>
                <w:szCs w:val="19"/>
              </w:rPr>
              <w:tab/>
              <w:t>103,569</w:t>
            </w:r>
          </w:p>
        </w:tc>
      </w:tr>
      <w:bookmarkEnd w:id="8"/>
      <w:tr w:rsidR="004F2810" w:rsidRPr="00487CAB" w14:paraId="298037B6" w14:textId="77777777" w:rsidTr="00387D5C">
        <w:trPr>
          <w:gridAfter w:val="1"/>
          <w:wAfter w:w="90" w:type="dxa"/>
        </w:trPr>
        <w:tc>
          <w:tcPr>
            <w:tcW w:w="4410" w:type="dxa"/>
          </w:tcPr>
          <w:p w14:paraId="48BCFF33" w14:textId="6B140DA2"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24</w:t>
            </w:r>
          </w:p>
        </w:tc>
        <w:tc>
          <w:tcPr>
            <w:tcW w:w="720" w:type="dxa"/>
          </w:tcPr>
          <w:p w14:paraId="159727D0"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DF19B2"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3E9B84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84F43DF"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3EBB82C" w14:textId="1DD5ADEB"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c>
          <w:tcPr>
            <w:tcW w:w="1710" w:type="dxa"/>
            <w:tcBorders>
              <w:bottom w:val="single" w:sz="4" w:space="0" w:color="auto"/>
            </w:tcBorders>
          </w:tcPr>
          <w:p w14:paraId="35055AFC" w14:textId="4CA37176"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r>
      <w:tr w:rsidR="004F2810" w:rsidRPr="00487CAB" w14:paraId="4E779192" w14:textId="77777777" w:rsidTr="00387D5C">
        <w:trPr>
          <w:gridAfter w:val="1"/>
          <w:wAfter w:w="90" w:type="dxa"/>
        </w:trPr>
        <w:tc>
          <w:tcPr>
            <w:tcW w:w="4410" w:type="dxa"/>
          </w:tcPr>
          <w:p w14:paraId="36E60381" w14:textId="112225F1"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24</w:t>
            </w:r>
          </w:p>
        </w:tc>
        <w:tc>
          <w:tcPr>
            <w:tcW w:w="720" w:type="dxa"/>
          </w:tcPr>
          <w:p w14:paraId="31214328"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41A2075" w14:textId="21F69AB6"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2,308,309</w:t>
            </w:r>
          </w:p>
        </w:tc>
        <w:tc>
          <w:tcPr>
            <w:tcW w:w="1170" w:type="dxa"/>
            <w:tcBorders>
              <w:top w:val="single" w:sz="4" w:space="0" w:color="auto"/>
            </w:tcBorders>
          </w:tcPr>
          <w:p w14:paraId="595C1AEB" w14:textId="3FF57895"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w:t>
            </w:r>
          </w:p>
        </w:tc>
        <w:tc>
          <w:tcPr>
            <w:tcW w:w="1440" w:type="dxa"/>
            <w:tcBorders>
              <w:top w:val="single" w:sz="4" w:space="0" w:color="auto"/>
            </w:tcBorders>
          </w:tcPr>
          <w:p w14:paraId="3D819139" w14:textId="0BD7B2D2"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110,265,884</w:t>
            </w:r>
          </w:p>
        </w:tc>
        <w:tc>
          <w:tcPr>
            <w:tcW w:w="1440" w:type="dxa"/>
            <w:tcBorders>
              <w:top w:val="single" w:sz="4" w:space="0" w:color="auto"/>
            </w:tcBorders>
          </w:tcPr>
          <w:p w14:paraId="2EAD081B" w14:textId="60B4EAAC"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(110,213,917)</w:t>
            </w:r>
          </w:p>
        </w:tc>
        <w:tc>
          <w:tcPr>
            <w:tcW w:w="1710" w:type="dxa"/>
            <w:tcBorders>
              <w:top w:val="single" w:sz="4" w:space="0" w:color="auto"/>
            </w:tcBorders>
          </w:tcPr>
          <w:p w14:paraId="3F1CC9D4" w14:textId="51943A7E"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54,275</w:t>
            </w:r>
          </w:p>
        </w:tc>
      </w:tr>
      <w:tr w:rsidR="00FD194E" w:rsidRPr="00487CAB" w14:paraId="05053267" w14:textId="77777777" w:rsidTr="00387D5C">
        <w:trPr>
          <w:gridAfter w:val="1"/>
          <w:wAfter w:w="90" w:type="dxa"/>
        </w:trPr>
        <w:tc>
          <w:tcPr>
            <w:tcW w:w="4410" w:type="dxa"/>
          </w:tcPr>
          <w:p w14:paraId="38FCA06D" w14:textId="3CE7D4A9" w:rsidR="00FD194E" w:rsidRPr="00487CAB" w:rsidRDefault="00FD194E" w:rsidP="007149CF">
            <w:pPr>
              <w:tabs>
                <w:tab w:val="left" w:pos="144"/>
                <w:tab w:val="left" w:pos="324"/>
                <w:tab w:val="right" w:pos="9180"/>
              </w:tabs>
              <w:rPr>
                <w:snapToGrid w:val="0"/>
                <w:color w:val="000000"/>
                <w:sz w:val="19"/>
                <w:szCs w:val="19"/>
              </w:rPr>
            </w:pPr>
            <w:r>
              <w:rPr>
                <w:snapToGrid w:val="0"/>
                <w:color w:val="000000"/>
                <w:sz w:val="19"/>
                <w:szCs w:val="19"/>
              </w:rPr>
              <w:tab/>
              <w:t>Sale of common stock and warrants for cash</w:t>
            </w:r>
          </w:p>
        </w:tc>
        <w:tc>
          <w:tcPr>
            <w:tcW w:w="720" w:type="dxa"/>
          </w:tcPr>
          <w:p w14:paraId="4EA343E6" w14:textId="77777777" w:rsidR="00FD194E" w:rsidRPr="00487CAB"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6870A146" w14:textId="2EDE6003"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220,000</w:t>
            </w:r>
          </w:p>
        </w:tc>
        <w:tc>
          <w:tcPr>
            <w:tcW w:w="1170" w:type="dxa"/>
          </w:tcPr>
          <w:p w14:paraId="43E7E8A6" w14:textId="7DEAE1DF"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220</w:t>
            </w:r>
          </w:p>
        </w:tc>
        <w:tc>
          <w:tcPr>
            <w:tcW w:w="1440" w:type="dxa"/>
          </w:tcPr>
          <w:p w14:paraId="32D50990" w14:textId="70E87F75"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1,209,318</w:t>
            </w:r>
          </w:p>
        </w:tc>
        <w:tc>
          <w:tcPr>
            <w:tcW w:w="1440" w:type="dxa"/>
          </w:tcPr>
          <w:p w14:paraId="31DCAA50" w14:textId="4114842E" w:rsidR="00FD194E" w:rsidRPr="00487CAB" w:rsidRDefault="00FD194E"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797E8019" w14:textId="1106E890" w:rsidR="00FD194E" w:rsidRDefault="00FD194E" w:rsidP="007149CF">
            <w:pPr>
              <w:tabs>
                <w:tab w:val="decimal" w:pos="1418"/>
                <w:tab w:val="right" w:pos="9180"/>
              </w:tabs>
              <w:rPr>
                <w:snapToGrid w:val="0"/>
                <w:color w:val="000000"/>
                <w:sz w:val="19"/>
                <w:szCs w:val="19"/>
              </w:rPr>
            </w:pPr>
            <w:r>
              <w:rPr>
                <w:snapToGrid w:val="0"/>
                <w:color w:val="000000"/>
                <w:sz w:val="19"/>
                <w:szCs w:val="19"/>
              </w:rPr>
              <w:tab/>
              <w:t>1,209,538</w:t>
            </w:r>
          </w:p>
        </w:tc>
      </w:tr>
      <w:tr w:rsidR="00FD194E" w:rsidRPr="00487CAB" w14:paraId="0FD9832D" w14:textId="77777777" w:rsidTr="00387D5C">
        <w:trPr>
          <w:gridAfter w:val="1"/>
          <w:wAfter w:w="90" w:type="dxa"/>
        </w:trPr>
        <w:tc>
          <w:tcPr>
            <w:tcW w:w="4410" w:type="dxa"/>
          </w:tcPr>
          <w:p w14:paraId="1C858EC5" w14:textId="5F80B978" w:rsidR="00FD194E" w:rsidRDefault="00FD194E" w:rsidP="007149CF">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720" w:type="dxa"/>
          </w:tcPr>
          <w:p w14:paraId="4AC2CE98" w14:textId="77777777" w:rsidR="00FD194E" w:rsidRPr="00487CAB"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2E7C6B72" w14:textId="1E08EFC0"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1,650,391</w:t>
            </w:r>
          </w:p>
        </w:tc>
        <w:tc>
          <w:tcPr>
            <w:tcW w:w="1170" w:type="dxa"/>
          </w:tcPr>
          <w:p w14:paraId="7632C02A" w14:textId="6CD28919"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1,651</w:t>
            </w:r>
          </w:p>
        </w:tc>
        <w:tc>
          <w:tcPr>
            <w:tcW w:w="1440" w:type="dxa"/>
          </w:tcPr>
          <w:p w14:paraId="1402FD9A" w14:textId="7CCDF23A"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1,387,712</w:t>
            </w:r>
          </w:p>
        </w:tc>
        <w:tc>
          <w:tcPr>
            <w:tcW w:w="1440" w:type="dxa"/>
          </w:tcPr>
          <w:p w14:paraId="51C7B79D" w14:textId="1A483A71" w:rsidR="00FD194E" w:rsidRPr="00487CAB" w:rsidRDefault="00FD194E"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75DBE47D" w14:textId="52C29345" w:rsidR="00FD194E" w:rsidRDefault="00FD194E" w:rsidP="007149CF">
            <w:pPr>
              <w:tabs>
                <w:tab w:val="decimal" w:pos="1418"/>
                <w:tab w:val="right" w:pos="9180"/>
              </w:tabs>
              <w:rPr>
                <w:snapToGrid w:val="0"/>
                <w:color w:val="000000"/>
                <w:sz w:val="19"/>
                <w:szCs w:val="19"/>
              </w:rPr>
            </w:pPr>
            <w:r>
              <w:rPr>
                <w:snapToGrid w:val="0"/>
                <w:color w:val="000000"/>
                <w:sz w:val="19"/>
                <w:szCs w:val="19"/>
              </w:rPr>
              <w:tab/>
              <w:t>1,389,363</w:t>
            </w:r>
          </w:p>
        </w:tc>
      </w:tr>
      <w:tr w:rsidR="00FD194E" w:rsidRPr="00487CAB" w14:paraId="5748C628" w14:textId="77777777" w:rsidTr="007149CF">
        <w:tc>
          <w:tcPr>
            <w:tcW w:w="4410" w:type="dxa"/>
          </w:tcPr>
          <w:p w14:paraId="7E21C807" w14:textId="77777777" w:rsidR="00FD194E" w:rsidRDefault="00FD194E" w:rsidP="007149CF">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103B172" w14:textId="77777777" w:rsidR="00FD194E"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35BB5AD3" w14:textId="77777777"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F982698" w14:textId="77777777"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B0D7C2C" w14:textId="760B0D29"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101,640</w:t>
            </w:r>
          </w:p>
        </w:tc>
        <w:tc>
          <w:tcPr>
            <w:tcW w:w="1440" w:type="dxa"/>
          </w:tcPr>
          <w:p w14:paraId="0F616DA4" w14:textId="77777777" w:rsidR="00FD194E" w:rsidRPr="00636549" w:rsidRDefault="00FD194E" w:rsidP="007149CF">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27B7F543" w14:textId="23F6E024" w:rsidR="00FD194E" w:rsidRDefault="00FD194E" w:rsidP="00387D5C">
            <w:pPr>
              <w:tabs>
                <w:tab w:val="decimal" w:pos="1419"/>
                <w:tab w:val="right" w:pos="9180"/>
              </w:tabs>
              <w:ind w:left="-21" w:right="69"/>
              <w:rPr>
                <w:snapToGrid w:val="0"/>
                <w:color w:val="000000"/>
                <w:sz w:val="19"/>
                <w:szCs w:val="19"/>
              </w:rPr>
            </w:pPr>
            <w:r>
              <w:rPr>
                <w:snapToGrid w:val="0"/>
                <w:color w:val="000000"/>
                <w:sz w:val="19"/>
                <w:szCs w:val="19"/>
              </w:rPr>
              <w:tab/>
            </w:r>
            <w:r w:rsidR="006E04EF">
              <w:rPr>
                <w:snapToGrid w:val="0"/>
                <w:color w:val="000000"/>
                <w:sz w:val="19"/>
                <w:szCs w:val="19"/>
              </w:rPr>
              <w:t>101,640</w:t>
            </w:r>
          </w:p>
        </w:tc>
      </w:tr>
      <w:tr w:rsidR="004F2810" w:rsidRPr="00487CAB" w14:paraId="42B8C426" w14:textId="77777777" w:rsidTr="00387D5C">
        <w:trPr>
          <w:gridAfter w:val="1"/>
          <w:wAfter w:w="90" w:type="dxa"/>
        </w:trPr>
        <w:tc>
          <w:tcPr>
            <w:tcW w:w="4410" w:type="dxa"/>
          </w:tcPr>
          <w:p w14:paraId="03CDF911" w14:textId="6F4CACE8"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720" w:type="dxa"/>
          </w:tcPr>
          <w:p w14:paraId="0FD8A8D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05D110C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07D5445"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316BAD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A0A0FBD" w14:textId="2A9B6D67"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sidR="00387D5C">
              <w:rPr>
                <w:snapToGrid w:val="0"/>
                <w:color w:val="000000"/>
                <w:sz w:val="19"/>
                <w:szCs w:val="19"/>
              </w:rPr>
              <w:t>(</w:t>
            </w:r>
            <w:r w:rsidR="006B0CFA">
              <w:rPr>
                <w:snapToGrid w:val="0"/>
                <w:color w:val="000000"/>
                <w:sz w:val="19"/>
                <w:szCs w:val="19"/>
              </w:rPr>
              <w:t>5,064,042</w:t>
            </w:r>
            <w:r w:rsidR="00387D5C">
              <w:rPr>
                <w:snapToGrid w:val="0"/>
                <w:color w:val="000000"/>
                <w:sz w:val="19"/>
                <w:szCs w:val="19"/>
              </w:rPr>
              <w:t>)</w:t>
            </w:r>
          </w:p>
        </w:tc>
        <w:tc>
          <w:tcPr>
            <w:tcW w:w="1710" w:type="dxa"/>
            <w:tcBorders>
              <w:bottom w:val="single" w:sz="4" w:space="0" w:color="auto"/>
            </w:tcBorders>
          </w:tcPr>
          <w:p w14:paraId="2F0A8C65" w14:textId="59CE34F7"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sidR="00387D5C">
              <w:rPr>
                <w:snapToGrid w:val="0"/>
                <w:color w:val="000000"/>
                <w:sz w:val="19"/>
                <w:szCs w:val="19"/>
              </w:rPr>
              <w:t>(</w:t>
            </w:r>
            <w:r w:rsidR="006B0CFA">
              <w:rPr>
                <w:snapToGrid w:val="0"/>
                <w:color w:val="000000"/>
                <w:sz w:val="19"/>
                <w:szCs w:val="19"/>
              </w:rPr>
              <w:t>5,064,042</w:t>
            </w:r>
            <w:r w:rsidR="00387D5C">
              <w:rPr>
                <w:snapToGrid w:val="0"/>
                <w:color w:val="000000"/>
                <w:sz w:val="19"/>
                <w:szCs w:val="19"/>
              </w:rPr>
              <w:t>)</w:t>
            </w:r>
          </w:p>
        </w:tc>
      </w:tr>
      <w:tr w:rsidR="004F2810" w:rsidRPr="00487CAB" w14:paraId="3B040152" w14:textId="77777777" w:rsidTr="00387D5C">
        <w:trPr>
          <w:gridAfter w:val="1"/>
          <w:wAfter w:w="90" w:type="dxa"/>
        </w:trPr>
        <w:tc>
          <w:tcPr>
            <w:tcW w:w="4410" w:type="dxa"/>
          </w:tcPr>
          <w:p w14:paraId="4549CE41" w14:textId="6367B650"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720" w:type="dxa"/>
          </w:tcPr>
          <w:p w14:paraId="3B7A7565"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63F67F1A" w14:textId="083476CF"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FD194E">
              <w:rPr>
                <w:snapToGrid w:val="0"/>
                <w:color w:val="000000"/>
                <w:sz w:val="19"/>
                <w:szCs w:val="19"/>
              </w:rPr>
              <w:t>4,178,700</w:t>
            </w:r>
          </w:p>
        </w:tc>
        <w:tc>
          <w:tcPr>
            <w:tcW w:w="1170" w:type="dxa"/>
            <w:tcBorders>
              <w:top w:val="single" w:sz="4" w:space="0" w:color="auto"/>
              <w:bottom w:val="double" w:sz="4" w:space="0" w:color="auto"/>
            </w:tcBorders>
          </w:tcPr>
          <w:p w14:paraId="0276F95E" w14:textId="2F47096E"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FD194E">
              <w:rPr>
                <w:snapToGrid w:val="0"/>
                <w:color w:val="000000"/>
                <w:sz w:val="19"/>
                <w:szCs w:val="19"/>
              </w:rPr>
              <w:t>4,179</w:t>
            </w:r>
          </w:p>
        </w:tc>
        <w:tc>
          <w:tcPr>
            <w:tcW w:w="1440" w:type="dxa"/>
            <w:tcBorders>
              <w:top w:val="single" w:sz="4" w:space="0" w:color="auto"/>
              <w:bottom w:val="double" w:sz="4" w:space="0" w:color="auto"/>
            </w:tcBorders>
          </w:tcPr>
          <w:p w14:paraId="2949345C" w14:textId="5CEAAA96"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FD194E">
              <w:rPr>
                <w:snapToGrid w:val="0"/>
                <w:color w:val="000000"/>
                <w:sz w:val="19"/>
                <w:szCs w:val="19"/>
              </w:rPr>
              <w:t>112,964,554</w:t>
            </w:r>
          </w:p>
        </w:tc>
        <w:tc>
          <w:tcPr>
            <w:tcW w:w="1440" w:type="dxa"/>
            <w:tcBorders>
              <w:top w:val="single" w:sz="4" w:space="0" w:color="auto"/>
              <w:bottom w:val="double" w:sz="4" w:space="0" w:color="auto"/>
            </w:tcBorders>
          </w:tcPr>
          <w:p w14:paraId="786A8384" w14:textId="793F1527" w:rsidR="004F2810" w:rsidRPr="00487CAB" w:rsidRDefault="004F2810" w:rsidP="007149CF">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387D5C">
              <w:rPr>
                <w:snapToGrid w:val="0"/>
                <w:color w:val="000000"/>
                <w:sz w:val="19"/>
                <w:szCs w:val="19"/>
              </w:rPr>
              <w:t>(115,</w:t>
            </w:r>
            <w:r w:rsidR="006B0CFA">
              <w:rPr>
                <w:snapToGrid w:val="0"/>
                <w:color w:val="000000"/>
                <w:sz w:val="19"/>
                <w:szCs w:val="19"/>
              </w:rPr>
              <w:t>277,959</w:t>
            </w:r>
            <w:r w:rsidR="00387D5C">
              <w:rPr>
                <w:snapToGrid w:val="0"/>
                <w:color w:val="000000"/>
                <w:sz w:val="19"/>
                <w:szCs w:val="19"/>
              </w:rPr>
              <w:t>)</w:t>
            </w:r>
          </w:p>
        </w:tc>
        <w:tc>
          <w:tcPr>
            <w:tcW w:w="1710" w:type="dxa"/>
            <w:tcBorders>
              <w:top w:val="single" w:sz="4" w:space="0" w:color="auto"/>
              <w:bottom w:val="double" w:sz="4" w:space="0" w:color="auto"/>
            </w:tcBorders>
          </w:tcPr>
          <w:p w14:paraId="2944447C" w14:textId="19D9A0AF"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387D5C">
              <w:rPr>
                <w:snapToGrid w:val="0"/>
                <w:color w:val="000000"/>
                <w:sz w:val="19"/>
                <w:szCs w:val="19"/>
              </w:rPr>
              <w:t>(2</w:t>
            </w:r>
            <w:r w:rsidR="006B0CFA">
              <w:rPr>
                <w:snapToGrid w:val="0"/>
                <w:color w:val="000000"/>
                <w:sz w:val="19"/>
                <w:szCs w:val="19"/>
              </w:rPr>
              <w:t>,309,226</w:t>
            </w:r>
            <w:r w:rsidR="00387D5C">
              <w:rPr>
                <w:snapToGrid w:val="0"/>
                <w:color w:val="000000"/>
                <w:sz w:val="19"/>
                <w:szCs w:val="19"/>
              </w:rPr>
              <w:t>)</w:t>
            </w:r>
          </w:p>
        </w:tc>
      </w:tr>
      <w:tr w:rsidR="004F2810" w:rsidRPr="00487CAB" w14:paraId="60F9EBB0" w14:textId="77777777" w:rsidTr="00387D5C">
        <w:trPr>
          <w:gridAfter w:val="1"/>
          <w:wAfter w:w="90" w:type="dxa"/>
        </w:trPr>
        <w:tc>
          <w:tcPr>
            <w:tcW w:w="4410" w:type="dxa"/>
          </w:tcPr>
          <w:p w14:paraId="23B36A14"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34F9391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580FE73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170" w:type="dxa"/>
          </w:tcPr>
          <w:p w14:paraId="752539B6"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3023DF13"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6B319B5D" w14:textId="77777777" w:rsidR="004F2810" w:rsidRPr="00487CAB" w:rsidRDefault="004F2810" w:rsidP="007149CF">
            <w:pPr>
              <w:tabs>
                <w:tab w:val="decimal" w:pos="1150"/>
                <w:tab w:val="left" w:pos="2340"/>
                <w:tab w:val="right" w:pos="9180"/>
              </w:tabs>
              <w:rPr>
                <w:snapToGrid w:val="0"/>
                <w:color w:val="000000"/>
                <w:sz w:val="19"/>
                <w:szCs w:val="19"/>
              </w:rPr>
            </w:pPr>
          </w:p>
        </w:tc>
        <w:tc>
          <w:tcPr>
            <w:tcW w:w="1710" w:type="dxa"/>
          </w:tcPr>
          <w:p w14:paraId="69223937" w14:textId="77777777" w:rsidR="004F2810" w:rsidRPr="00487CAB" w:rsidRDefault="004F2810" w:rsidP="007149CF">
            <w:pPr>
              <w:tabs>
                <w:tab w:val="decimal" w:pos="1418"/>
                <w:tab w:val="right" w:pos="9180"/>
              </w:tabs>
              <w:rPr>
                <w:snapToGrid w:val="0"/>
                <w:color w:val="000000"/>
                <w:sz w:val="19"/>
                <w:szCs w:val="19"/>
              </w:rPr>
            </w:pPr>
          </w:p>
        </w:tc>
      </w:tr>
    </w:tbl>
    <w:p w14:paraId="3FEB6D7C" w14:textId="2E4ACDFA" w:rsidR="004F479E" w:rsidRDefault="004F479E" w:rsidP="004F479E">
      <w:pPr>
        <w:tabs>
          <w:tab w:val="decimal" w:pos="1152"/>
          <w:tab w:val="left" w:pos="2340"/>
          <w:tab w:val="right" w:pos="9180"/>
        </w:tabs>
        <w:rPr>
          <w:snapToGrid w:val="0"/>
          <w:color w:val="000000"/>
          <w:sz w:val="19"/>
          <w:szCs w:val="19"/>
        </w:rPr>
      </w:pPr>
      <w:bookmarkStart w:id="9" w:name="_Hlk36562604"/>
    </w:p>
    <w:p w14:paraId="729B0C00" w14:textId="579E1D47" w:rsidR="004F2810" w:rsidRDefault="004F2810" w:rsidP="004F479E">
      <w:pPr>
        <w:tabs>
          <w:tab w:val="decimal" w:pos="1152"/>
          <w:tab w:val="left" w:pos="2340"/>
          <w:tab w:val="right" w:pos="9180"/>
        </w:tabs>
        <w:rPr>
          <w:snapToGrid w:val="0"/>
          <w:color w:val="000000"/>
          <w:sz w:val="19"/>
          <w:szCs w:val="19"/>
        </w:rPr>
      </w:pPr>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131F774" w14:textId="77777777" w:rsidTr="00E774DA">
        <w:tc>
          <w:tcPr>
            <w:tcW w:w="4410" w:type="dxa"/>
          </w:tcPr>
          <w:p w14:paraId="427F520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297B60D7"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26D19446" w14:textId="6BD55BC9"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w:t>
            </w:r>
            <w:r w:rsidR="007435E1">
              <w:rPr>
                <w:snapToGrid w:val="0"/>
                <w:color w:val="000000"/>
                <w:sz w:val="19"/>
                <w:szCs w:val="19"/>
              </w:rPr>
              <w:t>-</w:t>
            </w:r>
            <w:r>
              <w:rPr>
                <w:snapToGrid w:val="0"/>
                <w:color w:val="000000"/>
                <w:sz w:val="19"/>
                <w:szCs w:val="19"/>
              </w:rPr>
              <w:t>Month</w:t>
            </w:r>
            <w:r w:rsidR="007435E1">
              <w:rPr>
                <w:snapToGrid w:val="0"/>
                <w:color w:val="000000"/>
                <w:sz w:val="19"/>
                <w:szCs w:val="19"/>
              </w:rPr>
              <w:t xml:space="preserve"> and Six-Month Periods</w:t>
            </w:r>
            <w:r>
              <w:rPr>
                <w:snapToGrid w:val="0"/>
                <w:color w:val="000000"/>
                <w:sz w:val="19"/>
                <w:szCs w:val="19"/>
              </w:rPr>
              <w:t xml:space="preserve"> Ended </w:t>
            </w:r>
            <w:r w:rsidR="007435E1">
              <w:rPr>
                <w:snapToGrid w:val="0"/>
                <w:color w:val="000000"/>
                <w:sz w:val="19"/>
                <w:szCs w:val="19"/>
              </w:rPr>
              <w:t>June</w:t>
            </w:r>
            <w:r>
              <w:rPr>
                <w:snapToGrid w:val="0"/>
                <w:color w:val="000000"/>
                <w:sz w:val="19"/>
                <w:szCs w:val="19"/>
              </w:rPr>
              <w:t xml:space="preserve"> 3</w:t>
            </w:r>
            <w:r w:rsidR="007435E1">
              <w:rPr>
                <w:snapToGrid w:val="0"/>
                <w:color w:val="000000"/>
                <w:sz w:val="19"/>
                <w:szCs w:val="19"/>
              </w:rPr>
              <w:t>0</w:t>
            </w:r>
            <w:r>
              <w:rPr>
                <w:snapToGrid w:val="0"/>
                <w:color w:val="000000"/>
                <w:sz w:val="19"/>
                <w:szCs w:val="19"/>
              </w:rPr>
              <w:t>, 2023</w:t>
            </w:r>
          </w:p>
        </w:tc>
      </w:tr>
      <w:tr w:rsidR="00BB5D3A" w:rsidRPr="00487CAB" w14:paraId="7C63F521" w14:textId="77777777" w:rsidTr="00E774DA">
        <w:tc>
          <w:tcPr>
            <w:tcW w:w="4410" w:type="dxa"/>
          </w:tcPr>
          <w:p w14:paraId="3174955D"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092DC9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D2645FA"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0578AF2"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97A3AF4"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6134A90F"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3C469F8F" w14:textId="26334288"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217D85D1" w14:textId="77777777" w:rsidTr="00684C12">
        <w:tc>
          <w:tcPr>
            <w:tcW w:w="4410" w:type="dxa"/>
          </w:tcPr>
          <w:p w14:paraId="056C225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31297CC"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0CD76F21" w14:textId="1ED542CF"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FCEF578" w14:textId="554C758C"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01ABC414" w14:textId="1C39809B"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358DF1AF" w14:textId="6259CC73"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54B46AAB" w14:textId="77777777" w:rsidTr="00E774DA">
        <w:tc>
          <w:tcPr>
            <w:tcW w:w="4410" w:type="dxa"/>
          </w:tcPr>
          <w:p w14:paraId="53DD0691"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6B637EA"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03447BAD" w14:textId="6B563EDB"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5494D72"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82D1810"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500DBC8"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5CFC4373"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6678EF59" w14:textId="77777777" w:rsidTr="00BB5D3A">
        <w:tc>
          <w:tcPr>
            <w:tcW w:w="4410" w:type="dxa"/>
          </w:tcPr>
          <w:p w14:paraId="286CFE6F"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22</w:t>
            </w:r>
          </w:p>
        </w:tc>
        <w:tc>
          <w:tcPr>
            <w:tcW w:w="720" w:type="dxa"/>
          </w:tcPr>
          <w:p w14:paraId="5067603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5BEAE3E" w14:textId="1A70B3BC"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1,755,664</w:t>
            </w:r>
          </w:p>
        </w:tc>
        <w:tc>
          <w:tcPr>
            <w:tcW w:w="1170" w:type="dxa"/>
          </w:tcPr>
          <w:p w14:paraId="5F2F7F73" w14:textId="661534DA"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BB7F5F">
              <w:rPr>
                <w:snapToGrid w:val="0"/>
                <w:color w:val="000000"/>
                <w:sz w:val="19"/>
                <w:szCs w:val="19"/>
              </w:rPr>
              <w:t>1,756</w:t>
            </w:r>
          </w:p>
        </w:tc>
        <w:tc>
          <w:tcPr>
            <w:tcW w:w="1440" w:type="dxa"/>
          </w:tcPr>
          <w:p w14:paraId="3C395371" w14:textId="5F540CFE"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104,9</w:t>
            </w:r>
            <w:r w:rsidR="00BB7F5F">
              <w:rPr>
                <w:snapToGrid w:val="0"/>
                <w:color w:val="000000"/>
                <w:sz w:val="19"/>
                <w:szCs w:val="19"/>
              </w:rPr>
              <w:t>95,301</w:t>
            </w:r>
          </w:p>
        </w:tc>
        <w:tc>
          <w:tcPr>
            <w:tcW w:w="1350" w:type="dxa"/>
          </w:tcPr>
          <w:p w14:paraId="7E42E8C5"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78,397,023</w:t>
            </w:r>
            <w:r w:rsidRPr="00487CAB">
              <w:rPr>
                <w:snapToGrid w:val="0"/>
                <w:color w:val="000000"/>
                <w:sz w:val="19"/>
                <w:szCs w:val="19"/>
              </w:rPr>
              <w:t>)</w:t>
            </w:r>
          </w:p>
        </w:tc>
        <w:tc>
          <w:tcPr>
            <w:tcW w:w="1800" w:type="dxa"/>
          </w:tcPr>
          <w:p w14:paraId="67E8BBC9"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26,600,034</w:t>
            </w:r>
          </w:p>
        </w:tc>
      </w:tr>
      <w:tr w:rsidR="00BB5D3A" w:rsidRPr="00487CAB" w14:paraId="60C2E202" w14:textId="77777777" w:rsidTr="00BB5D3A">
        <w:tc>
          <w:tcPr>
            <w:tcW w:w="4410" w:type="dxa"/>
          </w:tcPr>
          <w:p w14:paraId="488327A9" w14:textId="77777777" w:rsidR="00BB5D3A" w:rsidRPr="00487CAB" w:rsidRDefault="00BB5D3A" w:rsidP="00E07358">
            <w:pPr>
              <w:tabs>
                <w:tab w:val="left" w:pos="144"/>
                <w:tab w:val="left" w:pos="324"/>
                <w:tab w:val="right" w:pos="9180"/>
              </w:tabs>
              <w:rPr>
                <w:snapToGrid w:val="0"/>
                <w:color w:val="000000"/>
                <w:sz w:val="19"/>
                <w:szCs w:val="19"/>
              </w:rPr>
            </w:pPr>
            <w:bookmarkStart w:id="10" w:name="_Hlk138679864"/>
            <w:r>
              <w:rPr>
                <w:snapToGrid w:val="0"/>
                <w:color w:val="000000"/>
                <w:sz w:val="19"/>
                <w:szCs w:val="19"/>
              </w:rPr>
              <w:tab/>
              <w:t>Issuance of common stock for services</w:t>
            </w:r>
          </w:p>
        </w:tc>
        <w:tc>
          <w:tcPr>
            <w:tcW w:w="720" w:type="dxa"/>
          </w:tcPr>
          <w:p w14:paraId="7FFA3E38"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EA73E36" w14:textId="640FDF99"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7,246</w:t>
            </w:r>
          </w:p>
        </w:tc>
        <w:tc>
          <w:tcPr>
            <w:tcW w:w="1170" w:type="dxa"/>
          </w:tcPr>
          <w:p w14:paraId="410A4E65" w14:textId="5A22E786"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7</w:t>
            </w:r>
          </w:p>
        </w:tc>
        <w:tc>
          <w:tcPr>
            <w:tcW w:w="1440" w:type="dxa"/>
          </w:tcPr>
          <w:p w14:paraId="436E5C0C" w14:textId="7F4F454E"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74,993</w:t>
            </w:r>
          </w:p>
        </w:tc>
        <w:tc>
          <w:tcPr>
            <w:tcW w:w="1350" w:type="dxa"/>
          </w:tcPr>
          <w:p w14:paraId="7BCE0CA6"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AC849C5"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75,000</w:t>
            </w:r>
          </w:p>
        </w:tc>
      </w:tr>
      <w:tr w:rsidR="00BB5D3A" w:rsidRPr="00487CAB" w14:paraId="6FE40C3E" w14:textId="77777777" w:rsidTr="00BB5D3A">
        <w:tc>
          <w:tcPr>
            <w:tcW w:w="4410" w:type="dxa"/>
          </w:tcPr>
          <w:p w14:paraId="2F653F98"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9312EF1"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63BB3CC" w14:textId="3E31D7D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B6D6C48"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FDFD176" w14:textId="1016331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228,03</w:t>
            </w:r>
            <w:r w:rsidR="00BB7F5F">
              <w:rPr>
                <w:snapToGrid w:val="0"/>
                <w:color w:val="000000"/>
                <w:sz w:val="19"/>
                <w:szCs w:val="19"/>
              </w:rPr>
              <w:t>9</w:t>
            </w:r>
          </w:p>
        </w:tc>
        <w:tc>
          <w:tcPr>
            <w:tcW w:w="1350" w:type="dxa"/>
          </w:tcPr>
          <w:p w14:paraId="6873646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2DDF704D"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228,039</w:t>
            </w:r>
          </w:p>
        </w:tc>
      </w:tr>
      <w:tr w:rsidR="00BB5D3A" w:rsidRPr="00487CAB" w14:paraId="717A6975" w14:textId="77777777" w:rsidTr="00BB5D3A">
        <w:tc>
          <w:tcPr>
            <w:tcW w:w="4410" w:type="dxa"/>
          </w:tcPr>
          <w:p w14:paraId="1AB6914D"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23</w:t>
            </w:r>
          </w:p>
        </w:tc>
        <w:tc>
          <w:tcPr>
            <w:tcW w:w="720" w:type="dxa"/>
          </w:tcPr>
          <w:p w14:paraId="2388478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0529D21" w14:textId="0EE28801"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C62F74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BB5DF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3B4350E7"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c>
          <w:tcPr>
            <w:tcW w:w="1800" w:type="dxa"/>
            <w:tcBorders>
              <w:bottom w:val="single" w:sz="4" w:space="0" w:color="auto"/>
            </w:tcBorders>
          </w:tcPr>
          <w:p w14:paraId="20838B0E"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r>
      <w:tr w:rsidR="00BB5D3A" w:rsidRPr="00487CAB" w14:paraId="30D0E71E" w14:textId="77777777" w:rsidTr="007435E1">
        <w:tc>
          <w:tcPr>
            <w:tcW w:w="4410" w:type="dxa"/>
          </w:tcPr>
          <w:p w14:paraId="002C91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23</w:t>
            </w:r>
          </w:p>
        </w:tc>
        <w:tc>
          <w:tcPr>
            <w:tcW w:w="720" w:type="dxa"/>
          </w:tcPr>
          <w:p w14:paraId="63BC695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768913C3" w14:textId="127B1AEA"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1,762,910</w:t>
            </w:r>
          </w:p>
        </w:tc>
        <w:tc>
          <w:tcPr>
            <w:tcW w:w="1170" w:type="dxa"/>
            <w:tcBorders>
              <w:top w:val="single" w:sz="4" w:space="0" w:color="auto"/>
            </w:tcBorders>
          </w:tcPr>
          <w:p w14:paraId="03C8285D" w14:textId="31F4D585"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1,763</w:t>
            </w:r>
          </w:p>
        </w:tc>
        <w:tc>
          <w:tcPr>
            <w:tcW w:w="1440" w:type="dxa"/>
            <w:tcBorders>
              <w:top w:val="single" w:sz="4" w:space="0" w:color="auto"/>
            </w:tcBorders>
          </w:tcPr>
          <w:p w14:paraId="30C12977" w14:textId="10B9342E"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105,2</w:t>
            </w:r>
            <w:r w:rsidR="00BB7F5F">
              <w:rPr>
                <w:snapToGrid w:val="0"/>
                <w:color w:val="000000"/>
                <w:sz w:val="19"/>
                <w:szCs w:val="19"/>
              </w:rPr>
              <w:t>98,333</w:t>
            </w:r>
          </w:p>
        </w:tc>
        <w:tc>
          <w:tcPr>
            <w:tcW w:w="1350" w:type="dxa"/>
            <w:tcBorders>
              <w:top w:val="single" w:sz="4" w:space="0" w:color="auto"/>
            </w:tcBorders>
          </w:tcPr>
          <w:p w14:paraId="7D607E1D" w14:textId="34FCB5A6"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(82,434,939)</w:t>
            </w:r>
          </w:p>
        </w:tc>
        <w:tc>
          <w:tcPr>
            <w:tcW w:w="1800" w:type="dxa"/>
            <w:tcBorders>
              <w:top w:val="single" w:sz="4" w:space="0" w:color="auto"/>
            </w:tcBorders>
          </w:tcPr>
          <w:p w14:paraId="79D30E1A"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22,865,157</w:t>
            </w:r>
          </w:p>
        </w:tc>
      </w:tr>
      <w:bookmarkEnd w:id="10"/>
      <w:tr w:rsidR="007435E1" w:rsidRPr="00487CAB" w14:paraId="12495715" w14:textId="77777777" w:rsidTr="00F67DB5">
        <w:tc>
          <w:tcPr>
            <w:tcW w:w="4410" w:type="dxa"/>
          </w:tcPr>
          <w:p w14:paraId="295765C1" w14:textId="77777777" w:rsidR="007435E1" w:rsidRDefault="007435E1" w:rsidP="00F67DB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8E77169" w14:textId="77777777" w:rsidR="007435E1" w:rsidRDefault="007435E1" w:rsidP="00F67DB5">
            <w:pPr>
              <w:tabs>
                <w:tab w:val="decimal" w:pos="1148"/>
                <w:tab w:val="decimal" w:pos="1422"/>
                <w:tab w:val="left" w:pos="2340"/>
                <w:tab w:val="right" w:pos="9180"/>
              </w:tabs>
              <w:rPr>
                <w:snapToGrid w:val="0"/>
                <w:color w:val="000000"/>
                <w:sz w:val="19"/>
                <w:szCs w:val="19"/>
              </w:rPr>
            </w:pPr>
          </w:p>
        </w:tc>
        <w:tc>
          <w:tcPr>
            <w:tcW w:w="1440" w:type="dxa"/>
          </w:tcPr>
          <w:p w14:paraId="01F689E3"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A147A8A" w14:textId="77777777"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EADFF5D" w14:textId="6537499A" w:rsidR="007435E1"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B7F5F">
              <w:rPr>
                <w:snapToGrid w:val="0"/>
                <w:color w:val="000000"/>
                <w:sz w:val="19"/>
                <w:szCs w:val="19"/>
              </w:rPr>
              <w:t>226,013</w:t>
            </w:r>
          </w:p>
        </w:tc>
        <w:tc>
          <w:tcPr>
            <w:tcW w:w="1350" w:type="dxa"/>
          </w:tcPr>
          <w:p w14:paraId="642A6D99" w14:textId="77777777" w:rsidR="007435E1" w:rsidRPr="00636549" w:rsidRDefault="007435E1" w:rsidP="00F67DB5">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4ABB661E" w14:textId="6E9ECA00" w:rsidR="007435E1" w:rsidRDefault="007435E1" w:rsidP="00F67DB5">
            <w:pPr>
              <w:tabs>
                <w:tab w:val="decimal" w:pos="1418"/>
                <w:tab w:val="right" w:pos="9180"/>
              </w:tabs>
              <w:rPr>
                <w:snapToGrid w:val="0"/>
                <w:color w:val="000000"/>
                <w:sz w:val="19"/>
                <w:szCs w:val="19"/>
              </w:rPr>
            </w:pPr>
            <w:r>
              <w:rPr>
                <w:snapToGrid w:val="0"/>
                <w:color w:val="000000"/>
                <w:sz w:val="19"/>
                <w:szCs w:val="19"/>
              </w:rPr>
              <w:tab/>
            </w:r>
            <w:r w:rsidR="002C0F29">
              <w:rPr>
                <w:snapToGrid w:val="0"/>
                <w:color w:val="000000"/>
                <w:sz w:val="19"/>
                <w:szCs w:val="19"/>
              </w:rPr>
              <w:t>226,013</w:t>
            </w:r>
          </w:p>
        </w:tc>
      </w:tr>
      <w:tr w:rsidR="007435E1" w:rsidRPr="00487CAB" w14:paraId="13C13D8B" w14:textId="77777777" w:rsidTr="00F67DB5">
        <w:tc>
          <w:tcPr>
            <w:tcW w:w="4410" w:type="dxa"/>
          </w:tcPr>
          <w:p w14:paraId="229E6D5D" w14:textId="43FACD3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32D64D1F"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596AE9"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B6765E2"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8BC3E87"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8B7C06C" w14:textId="65E475BD" w:rsidR="007435E1" w:rsidRPr="00487CAB" w:rsidRDefault="007435E1" w:rsidP="00F67DB5">
            <w:pPr>
              <w:tabs>
                <w:tab w:val="decimal" w:pos="1150"/>
                <w:tab w:val="left" w:pos="2340"/>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c>
          <w:tcPr>
            <w:tcW w:w="1800" w:type="dxa"/>
            <w:tcBorders>
              <w:bottom w:val="single" w:sz="4" w:space="0" w:color="auto"/>
            </w:tcBorders>
          </w:tcPr>
          <w:p w14:paraId="5C5DC0FB" w14:textId="52E03133" w:rsidR="007435E1" w:rsidRPr="00487CAB" w:rsidRDefault="007435E1" w:rsidP="00F67DB5">
            <w:pPr>
              <w:tabs>
                <w:tab w:val="decimal" w:pos="1418"/>
                <w:tab w:val="right" w:pos="9180"/>
              </w:tabs>
              <w:rPr>
                <w:snapToGrid w:val="0"/>
                <w:color w:val="000000"/>
                <w:sz w:val="19"/>
                <w:szCs w:val="19"/>
              </w:rPr>
            </w:pPr>
            <w:r w:rsidRPr="00487CAB">
              <w:rPr>
                <w:snapToGrid w:val="0"/>
                <w:color w:val="000000"/>
                <w:sz w:val="19"/>
                <w:szCs w:val="19"/>
              </w:rPr>
              <w:tab/>
            </w:r>
            <w:r w:rsidR="002C0F29">
              <w:rPr>
                <w:snapToGrid w:val="0"/>
                <w:color w:val="000000"/>
                <w:sz w:val="19"/>
                <w:szCs w:val="19"/>
              </w:rPr>
              <w:t>(5,</w:t>
            </w:r>
            <w:r w:rsidR="00793CD5">
              <w:rPr>
                <w:snapToGrid w:val="0"/>
                <w:color w:val="000000"/>
                <w:sz w:val="19"/>
                <w:szCs w:val="19"/>
              </w:rPr>
              <w:t>927,620</w:t>
            </w:r>
            <w:r w:rsidR="002C0F29">
              <w:rPr>
                <w:snapToGrid w:val="0"/>
                <w:color w:val="000000"/>
                <w:sz w:val="19"/>
                <w:szCs w:val="19"/>
              </w:rPr>
              <w:t>)</w:t>
            </w:r>
          </w:p>
        </w:tc>
      </w:tr>
      <w:tr w:rsidR="007435E1" w:rsidRPr="00487CAB" w14:paraId="0A3C2805" w14:textId="77777777" w:rsidTr="00F67DB5">
        <w:tc>
          <w:tcPr>
            <w:tcW w:w="4410" w:type="dxa"/>
          </w:tcPr>
          <w:p w14:paraId="7762C799" w14:textId="4A0D6707" w:rsidR="007435E1" w:rsidRPr="00487CAB" w:rsidRDefault="007435E1" w:rsidP="00F67DB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23</w:t>
            </w:r>
          </w:p>
        </w:tc>
        <w:tc>
          <w:tcPr>
            <w:tcW w:w="720" w:type="dxa"/>
          </w:tcPr>
          <w:p w14:paraId="23902B13" w14:textId="77777777" w:rsidR="007435E1" w:rsidRPr="00487CAB" w:rsidRDefault="007435E1" w:rsidP="00F67DB5">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6CD1405B" w14:textId="6F22F472" w:rsidR="007435E1" w:rsidRPr="00487CAB" w:rsidRDefault="007435E1" w:rsidP="00F67DB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B7F5F">
              <w:rPr>
                <w:snapToGrid w:val="0"/>
                <w:color w:val="000000"/>
                <w:sz w:val="19"/>
                <w:szCs w:val="19"/>
              </w:rPr>
              <w:t>1,762,910</w:t>
            </w:r>
          </w:p>
        </w:tc>
        <w:tc>
          <w:tcPr>
            <w:tcW w:w="1170" w:type="dxa"/>
            <w:tcBorders>
              <w:top w:val="single" w:sz="4" w:space="0" w:color="auto"/>
              <w:bottom w:val="double" w:sz="4" w:space="0" w:color="auto"/>
            </w:tcBorders>
          </w:tcPr>
          <w:p w14:paraId="329ED5B3" w14:textId="7623F597"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B7F5F">
              <w:rPr>
                <w:snapToGrid w:val="0"/>
                <w:color w:val="000000"/>
                <w:sz w:val="19"/>
                <w:szCs w:val="19"/>
              </w:rPr>
              <w:t>1,763</w:t>
            </w:r>
          </w:p>
        </w:tc>
        <w:tc>
          <w:tcPr>
            <w:tcW w:w="1440" w:type="dxa"/>
            <w:tcBorders>
              <w:top w:val="single" w:sz="4" w:space="0" w:color="auto"/>
              <w:bottom w:val="double" w:sz="4" w:space="0" w:color="auto"/>
            </w:tcBorders>
          </w:tcPr>
          <w:p w14:paraId="12790A93" w14:textId="6C2B63BC" w:rsidR="007435E1" w:rsidRPr="00487CAB" w:rsidRDefault="007435E1" w:rsidP="00F67DB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105,</w:t>
            </w:r>
            <w:r w:rsidR="00BB7F5F">
              <w:rPr>
                <w:snapToGrid w:val="0"/>
                <w:color w:val="000000"/>
                <w:sz w:val="19"/>
                <w:szCs w:val="19"/>
              </w:rPr>
              <w:t>524,346</w:t>
            </w:r>
          </w:p>
        </w:tc>
        <w:tc>
          <w:tcPr>
            <w:tcW w:w="1350" w:type="dxa"/>
            <w:tcBorders>
              <w:top w:val="single" w:sz="4" w:space="0" w:color="auto"/>
              <w:bottom w:val="double" w:sz="4" w:space="0" w:color="auto"/>
            </w:tcBorders>
          </w:tcPr>
          <w:p w14:paraId="48975503" w14:textId="23790861" w:rsidR="007435E1" w:rsidRPr="00487CAB" w:rsidRDefault="007435E1" w:rsidP="00F67DB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(88,</w:t>
            </w:r>
            <w:r w:rsidR="00793CD5">
              <w:rPr>
                <w:snapToGrid w:val="0"/>
                <w:color w:val="000000"/>
                <w:sz w:val="19"/>
                <w:szCs w:val="19"/>
              </w:rPr>
              <w:t>362,559</w:t>
            </w:r>
            <w:r w:rsidR="002C0F29">
              <w:rPr>
                <w:snapToGrid w:val="0"/>
                <w:color w:val="000000"/>
                <w:sz w:val="19"/>
                <w:szCs w:val="19"/>
              </w:rPr>
              <w:t>)</w:t>
            </w:r>
          </w:p>
        </w:tc>
        <w:tc>
          <w:tcPr>
            <w:tcW w:w="1800" w:type="dxa"/>
            <w:tcBorders>
              <w:top w:val="single" w:sz="4" w:space="0" w:color="auto"/>
              <w:bottom w:val="double" w:sz="4" w:space="0" w:color="auto"/>
            </w:tcBorders>
          </w:tcPr>
          <w:p w14:paraId="70A522FD" w14:textId="42D27B0A" w:rsidR="007435E1" w:rsidRPr="00487CAB" w:rsidRDefault="007435E1" w:rsidP="00F67DB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2C0F29">
              <w:rPr>
                <w:snapToGrid w:val="0"/>
                <w:color w:val="000000"/>
                <w:sz w:val="19"/>
                <w:szCs w:val="19"/>
              </w:rPr>
              <w:t>17,</w:t>
            </w:r>
            <w:r w:rsidR="00793CD5">
              <w:rPr>
                <w:snapToGrid w:val="0"/>
                <w:color w:val="000000"/>
                <w:sz w:val="19"/>
                <w:szCs w:val="19"/>
              </w:rPr>
              <w:t>163,550</w:t>
            </w:r>
          </w:p>
        </w:tc>
      </w:tr>
      <w:tr w:rsidR="00BB5D3A" w:rsidRPr="00487CAB" w14:paraId="1BB8132D" w14:textId="77777777" w:rsidTr="00BB5D3A">
        <w:tc>
          <w:tcPr>
            <w:tcW w:w="4410" w:type="dxa"/>
          </w:tcPr>
          <w:p w14:paraId="593F447C"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3B2F80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53175865" w14:textId="4E234C36"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170" w:type="dxa"/>
          </w:tcPr>
          <w:p w14:paraId="41A6F08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C677DE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350" w:type="dxa"/>
          </w:tcPr>
          <w:p w14:paraId="69570773" w14:textId="77777777" w:rsidR="00BB5D3A" w:rsidRPr="00487CAB" w:rsidRDefault="00BB5D3A" w:rsidP="00E07358">
            <w:pPr>
              <w:tabs>
                <w:tab w:val="decimal" w:pos="1150"/>
                <w:tab w:val="left" w:pos="2340"/>
                <w:tab w:val="right" w:pos="9180"/>
              </w:tabs>
              <w:rPr>
                <w:snapToGrid w:val="0"/>
                <w:color w:val="000000"/>
                <w:sz w:val="19"/>
                <w:szCs w:val="19"/>
              </w:rPr>
            </w:pPr>
          </w:p>
        </w:tc>
        <w:tc>
          <w:tcPr>
            <w:tcW w:w="1800" w:type="dxa"/>
          </w:tcPr>
          <w:p w14:paraId="4AC5A782" w14:textId="77777777" w:rsidR="00BB5D3A" w:rsidRPr="00487CAB" w:rsidRDefault="00BB5D3A" w:rsidP="00E07358">
            <w:pPr>
              <w:tabs>
                <w:tab w:val="decimal" w:pos="1418"/>
                <w:tab w:val="right" w:pos="9180"/>
              </w:tabs>
              <w:rPr>
                <w:snapToGrid w:val="0"/>
                <w:color w:val="000000"/>
                <w:sz w:val="19"/>
                <w:szCs w:val="19"/>
              </w:rPr>
            </w:pPr>
          </w:p>
        </w:tc>
      </w:tr>
    </w:tbl>
    <w:p w14:paraId="66964CFF" w14:textId="77777777" w:rsidR="00BB5D3A" w:rsidRDefault="00BB5D3A" w:rsidP="004F479E">
      <w:pPr>
        <w:tabs>
          <w:tab w:val="decimal" w:pos="1152"/>
          <w:tab w:val="left" w:pos="2340"/>
          <w:tab w:val="right" w:pos="9180"/>
        </w:tabs>
        <w:rPr>
          <w:snapToGrid w:val="0"/>
          <w:color w:val="000000"/>
          <w:sz w:val="19"/>
          <w:szCs w:val="19"/>
        </w:rPr>
      </w:pPr>
    </w:p>
    <w:bookmarkEnd w:id="9"/>
    <w:p w14:paraId="12BB740D" w14:textId="77777777" w:rsidR="004F479E" w:rsidRDefault="004F479E" w:rsidP="00487CAB">
      <w:pPr>
        <w:tabs>
          <w:tab w:val="decimal" w:pos="1152"/>
          <w:tab w:val="left" w:pos="2340"/>
          <w:tab w:val="right" w:pos="9180"/>
        </w:tabs>
        <w:rPr>
          <w:snapToGrid w:val="0"/>
          <w:color w:val="000000"/>
        </w:rPr>
      </w:pPr>
    </w:p>
    <w:p w14:paraId="5291F692" w14:textId="77777777" w:rsidR="00BB7F5F" w:rsidRDefault="00BB7F5F" w:rsidP="00487CAB">
      <w:pPr>
        <w:tabs>
          <w:tab w:val="decimal" w:pos="1152"/>
          <w:tab w:val="left" w:pos="2340"/>
          <w:tab w:val="right" w:pos="9180"/>
        </w:tabs>
        <w:rPr>
          <w:snapToGrid w:val="0"/>
          <w:color w:val="000000"/>
        </w:rPr>
      </w:pPr>
    </w:p>
    <w:p w14:paraId="40E232ED" w14:textId="77777777" w:rsidR="00BB7F5F" w:rsidRDefault="00BB7F5F" w:rsidP="00487CAB">
      <w:pPr>
        <w:tabs>
          <w:tab w:val="decimal" w:pos="1152"/>
          <w:tab w:val="left" w:pos="2340"/>
          <w:tab w:val="right" w:pos="9180"/>
        </w:tabs>
        <w:rPr>
          <w:snapToGrid w:val="0"/>
          <w:color w:val="000000"/>
        </w:rPr>
      </w:pPr>
    </w:p>
    <w:p w14:paraId="67D496B4" w14:textId="77777777" w:rsidR="00BB7F5F" w:rsidRDefault="00BB7F5F" w:rsidP="00487CAB">
      <w:pPr>
        <w:tabs>
          <w:tab w:val="decimal" w:pos="1152"/>
          <w:tab w:val="left" w:pos="2340"/>
          <w:tab w:val="right" w:pos="9180"/>
        </w:tabs>
        <w:rPr>
          <w:snapToGrid w:val="0"/>
          <w:color w:val="000000"/>
        </w:rPr>
      </w:pPr>
    </w:p>
    <w:p w14:paraId="468C7ED4" w14:textId="77777777" w:rsidR="00BB7F5F" w:rsidRPr="00487CAB" w:rsidRDefault="00BB7F5F"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3415111C" w:rsidR="002D627A" w:rsidRPr="000D3DC5" w:rsidRDefault="00932F75" w:rsidP="00FD4723">
            <w:pPr>
              <w:tabs>
                <w:tab w:val="decimal" w:pos="1044"/>
                <w:tab w:val="right" w:pos="9180"/>
              </w:tabs>
              <w:ind w:right="-18"/>
              <w:jc w:val="center"/>
            </w:pPr>
            <w:r>
              <w:t>Six</w:t>
            </w:r>
            <w:r w:rsidR="002D627A">
              <w:t xml:space="preserve"> Months Ended </w:t>
            </w:r>
            <w:r>
              <w:t>June</w:t>
            </w:r>
            <w:r w:rsidR="006E7CF8">
              <w:t xml:space="preserve"> 3</w:t>
            </w:r>
            <w:r>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14D50700" w:rsidR="002D627A" w:rsidRPr="000D3DC5" w:rsidRDefault="002D627A" w:rsidP="002D627A">
            <w:pPr>
              <w:tabs>
                <w:tab w:val="decimal" w:pos="1044"/>
                <w:tab w:val="decimal" w:pos="1332"/>
                <w:tab w:val="right" w:pos="9180"/>
              </w:tabs>
              <w:jc w:val="center"/>
            </w:pPr>
            <w:r>
              <w:t>20</w:t>
            </w:r>
            <w:r w:rsidR="00587925">
              <w:t>2</w:t>
            </w:r>
            <w:r w:rsidR="00772FEB">
              <w:t>4</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13ED68AD" w:rsidR="002D627A" w:rsidRPr="000D3DC5" w:rsidRDefault="002D627A" w:rsidP="002D627A">
            <w:pPr>
              <w:tabs>
                <w:tab w:val="decimal" w:pos="1044"/>
                <w:tab w:val="right" w:pos="9180"/>
              </w:tabs>
              <w:ind w:right="-18"/>
              <w:jc w:val="center"/>
            </w:pPr>
            <w:r>
              <w:t>20</w:t>
            </w:r>
            <w:r w:rsidR="00ED1AE4">
              <w:t>2</w:t>
            </w:r>
            <w:r w:rsidR="00772FEB">
              <w:t>3</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4C4544E7" w:rsidR="002D627A" w:rsidRPr="000D3DC5" w:rsidRDefault="002D627A" w:rsidP="00FD4723">
            <w:pPr>
              <w:tabs>
                <w:tab w:val="decimal" w:pos="1332"/>
                <w:tab w:val="right" w:pos="9180"/>
              </w:tabs>
            </w:pPr>
            <w:r w:rsidRPr="000D3DC5">
              <w:t>$</w:t>
            </w:r>
            <w:r w:rsidRPr="000D3DC5">
              <w:tab/>
            </w:r>
            <w:r w:rsidR="00387D5C">
              <w:t>(10,</w:t>
            </w:r>
            <w:r w:rsidR="006B0CFA">
              <w:t>914,174</w:t>
            </w:r>
            <w:r w:rsidR="00387D5C">
              <w:t>)</w:t>
            </w:r>
          </w:p>
        </w:tc>
        <w:tc>
          <w:tcPr>
            <w:tcW w:w="360" w:type="dxa"/>
          </w:tcPr>
          <w:p w14:paraId="57942AE3" w14:textId="77777777" w:rsidR="002D627A" w:rsidRPr="000D3DC5" w:rsidRDefault="002D627A" w:rsidP="002D627A">
            <w:pPr>
              <w:tabs>
                <w:tab w:val="right" w:pos="9180"/>
              </w:tabs>
            </w:pPr>
          </w:p>
        </w:tc>
        <w:tc>
          <w:tcPr>
            <w:tcW w:w="1620" w:type="dxa"/>
          </w:tcPr>
          <w:p w14:paraId="6A3E34C2" w14:textId="7704D37C" w:rsidR="002D627A" w:rsidRPr="000D3DC5" w:rsidRDefault="006E7CF8" w:rsidP="002D627A">
            <w:pPr>
              <w:tabs>
                <w:tab w:val="decimal" w:pos="1152"/>
                <w:tab w:val="right" w:pos="9180"/>
              </w:tabs>
            </w:pPr>
            <w:r>
              <w:t>$</w:t>
            </w:r>
            <w:r>
              <w:tab/>
              <w:t>(</w:t>
            </w:r>
            <w:r w:rsidR="00772FEB">
              <w:t>9,965,536</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64B1EB7E" w:rsidR="002D627A" w:rsidRPr="000D3DC5" w:rsidRDefault="002D627A" w:rsidP="002D627A">
            <w:r w:rsidRPr="000D3DC5">
              <w:t>Depreciation</w:t>
            </w:r>
            <w:r w:rsidR="00516556">
              <w:t xml:space="preserve"> and amortization</w:t>
            </w:r>
            <w:r w:rsidRPr="000D3DC5">
              <w:t xml:space="preserve">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06AF5D93" w:rsidR="002D627A" w:rsidRPr="000D3DC5" w:rsidRDefault="00767AC2" w:rsidP="002D627A">
            <w:pPr>
              <w:tabs>
                <w:tab w:val="decimal" w:pos="1332"/>
                <w:tab w:val="right" w:pos="9180"/>
              </w:tabs>
            </w:pPr>
            <w:r>
              <w:tab/>
            </w:r>
            <w:r w:rsidR="00516556">
              <w:t>43,319</w:t>
            </w:r>
          </w:p>
        </w:tc>
        <w:tc>
          <w:tcPr>
            <w:tcW w:w="360" w:type="dxa"/>
          </w:tcPr>
          <w:p w14:paraId="7D1EEEDB" w14:textId="77777777" w:rsidR="002D627A" w:rsidRPr="000D3DC5" w:rsidRDefault="002D627A" w:rsidP="002D627A">
            <w:pPr>
              <w:tabs>
                <w:tab w:val="right" w:pos="9180"/>
              </w:tabs>
            </w:pPr>
          </w:p>
        </w:tc>
        <w:tc>
          <w:tcPr>
            <w:tcW w:w="1620" w:type="dxa"/>
          </w:tcPr>
          <w:p w14:paraId="26BE33FB" w14:textId="66C08953" w:rsidR="002D627A" w:rsidRPr="000D3DC5" w:rsidRDefault="006E7CF8" w:rsidP="002D627A">
            <w:pPr>
              <w:tabs>
                <w:tab w:val="decimal" w:pos="1152"/>
                <w:tab w:val="right" w:pos="9180"/>
              </w:tabs>
            </w:pPr>
            <w:r>
              <w:tab/>
            </w:r>
            <w:r w:rsidR="00772FEB">
              <w:t>34,637</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2396DA66" w:rsidR="002D627A" w:rsidRPr="000D3DC5" w:rsidRDefault="00767AC2" w:rsidP="002D627A">
            <w:pPr>
              <w:tabs>
                <w:tab w:val="decimal" w:pos="1332"/>
                <w:tab w:val="right" w:pos="9180"/>
              </w:tabs>
            </w:pPr>
            <w:r>
              <w:tab/>
            </w:r>
            <w:r w:rsidR="00387D5C">
              <w:t>259,376</w:t>
            </w:r>
          </w:p>
        </w:tc>
        <w:tc>
          <w:tcPr>
            <w:tcW w:w="360" w:type="dxa"/>
          </w:tcPr>
          <w:p w14:paraId="1605946C" w14:textId="77777777" w:rsidR="002D627A" w:rsidRPr="000D3DC5" w:rsidRDefault="002D627A" w:rsidP="002D627A">
            <w:pPr>
              <w:tabs>
                <w:tab w:val="right" w:pos="9180"/>
              </w:tabs>
            </w:pPr>
          </w:p>
        </w:tc>
        <w:tc>
          <w:tcPr>
            <w:tcW w:w="1620" w:type="dxa"/>
          </w:tcPr>
          <w:p w14:paraId="6F1BA9DB" w14:textId="06035FC2" w:rsidR="002D627A" w:rsidRPr="000D3DC5" w:rsidRDefault="006E7CF8" w:rsidP="002D627A">
            <w:pPr>
              <w:tabs>
                <w:tab w:val="decimal" w:pos="1152"/>
                <w:tab w:val="right" w:pos="9180"/>
              </w:tabs>
            </w:pPr>
            <w:r>
              <w:tab/>
            </w:r>
            <w:r w:rsidR="00772FEB">
              <w:t>515,552</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525A9000" w:rsidR="002D627A" w:rsidRPr="000D3DC5" w:rsidRDefault="0010791D" w:rsidP="002D627A">
            <w:pPr>
              <w:tabs>
                <w:tab w:val="right" w:pos="9180"/>
              </w:tabs>
            </w:pPr>
            <w:r w:rsidRPr="0010791D">
              <w:t>Accounts</w:t>
            </w:r>
            <w:r w:rsidR="002D627A" w:rsidRPr="0010791D">
              <w:t xml:space="preserve"> receivable</w:t>
            </w:r>
          </w:p>
        </w:tc>
        <w:tc>
          <w:tcPr>
            <w:tcW w:w="1800" w:type="dxa"/>
          </w:tcPr>
          <w:p w14:paraId="56ADA91A" w14:textId="65A5ACEF" w:rsidR="002D627A" w:rsidRDefault="00767AC2" w:rsidP="002D627A">
            <w:pPr>
              <w:tabs>
                <w:tab w:val="decimal" w:pos="1332"/>
                <w:tab w:val="right" w:pos="9180"/>
              </w:tabs>
            </w:pPr>
            <w:r>
              <w:tab/>
            </w:r>
            <w:r w:rsidR="00387D5C">
              <w:t>(300,677)</w:t>
            </w:r>
          </w:p>
        </w:tc>
        <w:tc>
          <w:tcPr>
            <w:tcW w:w="360" w:type="dxa"/>
          </w:tcPr>
          <w:p w14:paraId="5F3D2CF9" w14:textId="77777777" w:rsidR="002D627A" w:rsidRPr="000D3DC5" w:rsidRDefault="002D627A" w:rsidP="002D627A">
            <w:pPr>
              <w:tabs>
                <w:tab w:val="right" w:pos="9180"/>
              </w:tabs>
            </w:pPr>
          </w:p>
        </w:tc>
        <w:tc>
          <w:tcPr>
            <w:tcW w:w="1620" w:type="dxa"/>
          </w:tcPr>
          <w:p w14:paraId="48F34730" w14:textId="00F8DCA5" w:rsidR="002D627A" w:rsidRDefault="006E7CF8" w:rsidP="002D627A">
            <w:pPr>
              <w:tabs>
                <w:tab w:val="decimal" w:pos="1152"/>
                <w:tab w:val="right" w:pos="9180"/>
              </w:tabs>
            </w:pPr>
            <w:r>
              <w:tab/>
            </w:r>
            <w:r w:rsidR="00772FEB">
              <w:t>-</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702CFFD3" w:rsidR="002D627A" w:rsidRPr="000D3DC5" w:rsidRDefault="00767AC2" w:rsidP="002D627A">
            <w:pPr>
              <w:tabs>
                <w:tab w:val="decimal" w:pos="1332"/>
                <w:tab w:val="right" w:pos="9180"/>
              </w:tabs>
            </w:pPr>
            <w:r>
              <w:tab/>
            </w:r>
            <w:r w:rsidR="00387D5C">
              <w:t>(564,648)</w:t>
            </w:r>
          </w:p>
        </w:tc>
        <w:tc>
          <w:tcPr>
            <w:tcW w:w="360" w:type="dxa"/>
          </w:tcPr>
          <w:p w14:paraId="6A52DAE9" w14:textId="77777777" w:rsidR="002D627A" w:rsidRPr="000D3DC5" w:rsidRDefault="002D627A" w:rsidP="002D627A">
            <w:pPr>
              <w:tabs>
                <w:tab w:val="right" w:pos="9180"/>
              </w:tabs>
            </w:pPr>
          </w:p>
        </w:tc>
        <w:tc>
          <w:tcPr>
            <w:tcW w:w="1620" w:type="dxa"/>
          </w:tcPr>
          <w:p w14:paraId="07A50865" w14:textId="21FDB2C9" w:rsidR="002D627A" w:rsidRPr="000D3DC5" w:rsidRDefault="006E7CF8" w:rsidP="002D627A">
            <w:pPr>
              <w:tabs>
                <w:tab w:val="decimal" w:pos="1152"/>
                <w:tab w:val="right" w:pos="9180"/>
              </w:tabs>
            </w:pPr>
            <w:r>
              <w:tab/>
            </w:r>
            <w:r w:rsidR="00E440EE">
              <w:t>(</w:t>
            </w:r>
            <w:r w:rsidR="00772FEB">
              <w:t>698,785</w:t>
            </w:r>
            <w:r w:rsidR="00E440EE">
              <w:t>)</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6DD2EAC9" w:rsidR="00C360D2" w:rsidRDefault="00C360D2" w:rsidP="002D627A">
            <w:pPr>
              <w:tabs>
                <w:tab w:val="decimal" w:pos="1332"/>
                <w:tab w:val="right" w:pos="9180"/>
              </w:tabs>
            </w:pPr>
            <w:r>
              <w:tab/>
            </w:r>
            <w:r w:rsidR="00387D5C">
              <w:t>1,106,778</w:t>
            </w:r>
          </w:p>
        </w:tc>
        <w:tc>
          <w:tcPr>
            <w:tcW w:w="360" w:type="dxa"/>
          </w:tcPr>
          <w:p w14:paraId="20D2567E" w14:textId="77777777" w:rsidR="00C360D2" w:rsidRPr="000D3DC5" w:rsidRDefault="00C360D2" w:rsidP="002D627A">
            <w:pPr>
              <w:tabs>
                <w:tab w:val="right" w:pos="9180"/>
              </w:tabs>
            </w:pPr>
          </w:p>
        </w:tc>
        <w:tc>
          <w:tcPr>
            <w:tcW w:w="1620" w:type="dxa"/>
          </w:tcPr>
          <w:p w14:paraId="404CD499" w14:textId="720FAA14" w:rsidR="00C360D2" w:rsidRDefault="00C360D2" w:rsidP="002D627A">
            <w:pPr>
              <w:tabs>
                <w:tab w:val="decimal" w:pos="1152"/>
                <w:tab w:val="right" w:pos="9180"/>
              </w:tabs>
            </w:pPr>
            <w:r>
              <w:tab/>
            </w:r>
            <w:r w:rsidR="00772FEB">
              <w:t>976,498</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1C691515" w:rsidR="002D627A" w:rsidRPr="000D3DC5" w:rsidRDefault="002D627A" w:rsidP="002D627A">
            <w:pPr>
              <w:tabs>
                <w:tab w:val="right" w:pos="9180"/>
              </w:tabs>
            </w:pPr>
            <w:r w:rsidRPr="000D3DC5">
              <w:t>Accounts payable</w:t>
            </w:r>
            <w:r w:rsidR="002072C5">
              <w:t xml:space="preserve"> and</w:t>
            </w:r>
            <w:r w:rsidR="00454D03">
              <w:t xml:space="preserve"> </w:t>
            </w:r>
            <w:r w:rsidRPr="000D3DC5">
              <w:t>accrued expenses</w:t>
            </w:r>
          </w:p>
        </w:tc>
        <w:tc>
          <w:tcPr>
            <w:tcW w:w="1800" w:type="dxa"/>
          </w:tcPr>
          <w:p w14:paraId="39FF3F45" w14:textId="10A5763F" w:rsidR="002D627A" w:rsidRPr="000D3DC5" w:rsidRDefault="00767AC2" w:rsidP="002D627A">
            <w:pPr>
              <w:tabs>
                <w:tab w:val="decimal" w:pos="1332"/>
                <w:tab w:val="right" w:pos="9180"/>
              </w:tabs>
            </w:pPr>
            <w:r>
              <w:tab/>
            </w:r>
            <w:r w:rsidR="00387D5C">
              <w:t>2,</w:t>
            </w:r>
            <w:r w:rsidR="006B0CFA">
              <w:t>7</w:t>
            </w:r>
            <w:r w:rsidR="00516556">
              <w:t>45,248</w:t>
            </w:r>
          </w:p>
        </w:tc>
        <w:tc>
          <w:tcPr>
            <w:tcW w:w="360" w:type="dxa"/>
          </w:tcPr>
          <w:p w14:paraId="102B1A34" w14:textId="77777777" w:rsidR="002D627A" w:rsidRPr="000D3DC5" w:rsidRDefault="002D627A" w:rsidP="002D627A">
            <w:pPr>
              <w:tabs>
                <w:tab w:val="right" w:pos="9180"/>
              </w:tabs>
            </w:pPr>
          </w:p>
        </w:tc>
        <w:tc>
          <w:tcPr>
            <w:tcW w:w="1620" w:type="dxa"/>
          </w:tcPr>
          <w:p w14:paraId="6098F217" w14:textId="68823CBF" w:rsidR="002D627A" w:rsidRPr="000D3DC5" w:rsidRDefault="006E7CF8" w:rsidP="002D627A">
            <w:pPr>
              <w:tabs>
                <w:tab w:val="decimal" w:pos="1152"/>
                <w:tab w:val="right" w:pos="9180"/>
              </w:tabs>
            </w:pPr>
            <w:r>
              <w:tab/>
            </w:r>
            <w:r w:rsidR="00A902E0">
              <w:t>(</w:t>
            </w:r>
            <w:r w:rsidR="00772FEB">
              <w:t>662,382</w:t>
            </w:r>
            <w:r w:rsidR="00A902E0">
              <w:t>)</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70E2D67A" w:rsidR="002D627A" w:rsidRPr="000D3DC5" w:rsidRDefault="00767AC2" w:rsidP="002D627A">
            <w:pPr>
              <w:tabs>
                <w:tab w:val="decimal" w:pos="1332"/>
                <w:tab w:val="right" w:pos="9180"/>
              </w:tabs>
            </w:pPr>
            <w:r>
              <w:tab/>
            </w:r>
            <w:r w:rsidR="00387D5C">
              <w:t>3,</w:t>
            </w:r>
            <w:r w:rsidR="006B0CFA">
              <w:t>289,396</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745BDC24" w:rsidR="002D627A" w:rsidRPr="000D3DC5" w:rsidRDefault="006E7CF8" w:rsidP="002D627A">
            <w:pPr>
              <w:tabs>
                <w:tab w:val="decimal" w:pos="1152"/>
                <w:tab w:val="right" w:pos="9180"/>
              </w:tabs>
            </w:pPr>
            <w:r>
              <w:tab/>
            </w:r>
            <w:r w:rsidR="00772FEB">
              <w:t>165,520</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720FAB04" w:rsidR="00D27ADC" w:rsidRDefault="00D27ADC" w:rsidP="002D627A">
            <w:pPr>
              <w:tabs>
                <w:tab w:val="decimal" w:pos="1332"/>
                <w:tab w:val="right" w:pos="9180"/>
              </w:tabs>
            </w:pPr>
            <w:r>
              <w:tab/>
            </w:r>
            <w:r w:rsidR="00387D5C">
              <w:t>(7,624,778)</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57C6A5AA" w:rsidR="00D27ADC" w:rsidRDefault="00D27ADC" w:rsidP="002D627A">
            <w:pPr>
              <w:tabs>
                <w:tab w:val="decimal" w:pos="1152"/>
                <w:tab w:val="right" w:pos="9180"/>
              </w:tabs>
            </w:pPr>
            <w:r>
              <w:tab/>
              <w:t>(</w:t>
            </w:r>
            <w:r w:rsidR="00772FEB">
              <w:t>9,800,016</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5E209A15" w:rsidR="00363680" w:rsidRDefault="00363680" w:rsidP="00050A48">
            <w:pPr>
              <w:tabs>
                <w:tab w:val="decimal" w:pos="1332"/>
                <w:tab w:val="right" w:pos="9180"/>
              </w:tabs>
            </w:pPr>
            <w:r>
              <w:tab/>
            </w:r>
            <w:r w:rsidR="00387D5C">
              <w:t>-</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70FB4710" w:rsidR="00363680" w:rsidRDefault="00363680" w:rsidP="00050A48">
            <w:pPr>
              <w:tabs>
                <w:tab w:val="decimal" w:pos="1152"/>
                <w:tab w:val="right" w:pos="9180"/>
              </w:tabs>
            </w:pPr>
            <w:r>
              <w:tab/>
            </w:r>
            <w:r w:rsidR="00E440EE">
              <w:t>(</w:t>
            </w:r>
            <w:r w:rsidR="00772FEB">
              <w:t>23,805</w:t>
            </w:r>
            <w:r w:rsidR="00E440EE">
              <w:t>)</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23C40B8C" w:rsidR="00363680" w:rsidRDefault="00363680" w:rsidP="00050A48">
            <w:pPr>
              <w:tabs>
                <w:tab w:val="decimal" w:pos="1332"/>
                <w:tab w:val="right" w:pos="9180"/>
              </w:tabs>
            </w:pPr>
            <w:r>
              <w:tab/>
            </w:r>
            <w:r w:rsidR="00387D5C">
              <w:t>-</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60F7E048" w:rsidR="00363680" w:rsidRDefault="00363680" w:rsidP="00050A48">
            <w:pPr>
              <w:tabs>
                <w:tab w:val="decimal" w:pos="1152"/>
                <w:tab w:val="right" w:pos="9180"/>
              </w:tabs>
            </w:pPr>
            <w:r>
              <w:tab/>
            </w:r>
            <w:r w:rsidR="00E440EE">
              <w:t>(</w:t>
            </w:r>
            <w:r w:rsidR="00772FEB">
              <w:t>23,805</w:t>
            </w:r>
            <w:r w:rsidR="00E440EE">
              <w:t>)</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0D3DC5" w:rsidRDefault="00A902E0" w:rsidP="002D627A">
            <w:bookmarkStart w:id="11" w:name="_Hlk100327127"/>
            <w:bookmarkStart w:id="12" w:name="_Hlk511051769"/>
          </w:p>
        </w:tc>
        <w:tc>
          <w:tcPr>
            <w:tcW w:w="6030" w:type="dxa"/>
            <w:gridSpan w:val="7"/>
          </w:tcPr>
          <w:p w14:paraId="5D095290" w14:textId="4F01C76F" w:rsidR="00A902E0" w:rsidRPr="00CD56F2" w:rsidRDefault="00A902E0" w:rsidP="002D627A">
            <w:pPr>
              <w:tabs>
                <w:tab w:val="right" w:pos="9180"/>
              </w:tabs>
            </w:pPr>
            <w:r w:rsidRPr="00CD56F2">
              <w:t xml:space="preserve">Net proceeds from </w:t>
            </w:r>
            <w:r w:rsidR="00387D5C">
              <w:t>issuance of notes payable</w:t>
            </w:r>
            <w:r w:rsidR="005A0E70">
              <w:t xml:space="preserve"> – related parties</w:t>
            </w:r>
          </w:p>
        </w:tc>
        <w:tc>
          <w:tcPr>
            <w:tcW w:w="1800" w:type="dxa"/>
          </w:tcPr>
          <w:p w14:paraId="49B13BBF" w14:textId="7F31F69C" w:rsidR="00A902E0" w:rsidRPr="00CD56F2" w:rsidRDefault="00A902E0" w:rsidP="002D627A">
            <w:pPr>
              <w:tabs>
                <w:tab w:val="decimal" w:pos="1332"/>
                <w:tab w:val="right" w:pos="9180"/>
              </w:tabs>
            </w:pPr>
            <w:r w:rsidRPr="00CD56F2">
              <w:tab/>
            </w:r>
            <w:r w:rsidR="00387D5C">
              <w:t>135,000</w:t>
            </w: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4F9ACE22" w:rsidR="00A902E0" w:rsidRPr="00CD56F2" w:rsidRDefault="00A902E0" w:rsidP="002D627A">
            <w:pPr>
              <w:tabs>
                <w:tab w:val="decimal" w:pos="1152"/>
                <w:tab w:val="right" w:pos="9180"/>
              </w:tabs>
            </w:pPr>
            <w:r w:rsidRPr="00CD56F2">
              <w:tab/>
            </w:r>
            <w:r w:rsidR="00772FEB">
              <w:t>-</w:t>
            </w:r>
          </w:p>
        </w:tc>
      </w:tr>
      <w:tr w:rsidR="00387D5C" w:rsidRPr="000D3DC5" w14:paraId="0B4032E3" w14:textId="77777777" w:rsidTr="004C20F6">
        <w:tc>
          <w:tcPr>
            <w:tcW w:w="378" w:type="dxa"/>
          </w:tcPr>
          <w:p w14:paraId="6C4EE9E0" w14:textId="77777777" w:rsidR="00387D5C" w:rsidRPr="000D3DC5" w:rsidRDefault="00387D5C" w:rsidP="002D627A"/>
        </w:tc>
        <w:tc>
          <w:tcPr>
            <w:tcW w:w="6030" w:type="dxa"/>
            <w:gridSpan w:val="7"/>
          </w:tcPr>
          <w:p w14:paraId="2A6F2831" w14:textId="5DE1D6B7" w:rsidR="00387D5C" w:rsidRPr="00CD56F2" w:rsidRDefault="00387D5C" w:rsidP="002D627A">
            <w:pPr>
              <w:tabs>
                <w:tab w:val="right" w:pos="9180"/>
              </w:tabs>
            </w:pPr>
            <w:r>
              <w:t>Net proceeds from sale of common stock and warrants</w:t>
            </w:r>
          </w:p>
        </w:tc>
        <w:tc>
          <w:tcPr>
            <w:tcW w:w="1800" w:type="dxa"/>
          </w:tcPr>
          <w:p w14:paraId="0565B659" w14:textId="5721CBEB" w:rsidR="00387D5C" w:rsidRPr="00CD56F2" w:rsidRDefault="00387D5C" w:rsidP="002D627A">
            <w:pPr>
              <w:tabs>
                <w:tab w:val="decimal" w:pos="1332"/>
                <w:tab w:val="right" w:pos="9180"/>
              </w:tabs>
            </w:pPr>
            <w:r>
              <w:tab/>
              <w:t>1,209,538</w:t>
            </w:r>
          </w:p>
        </w:tc>
        <w:tc>
          <w:tcPr>
            <w:tcW w:w="360" w:type="dxa"/>
          </w:tcPr>
          <w:p w14:paraId="2A111FF1" w14:textId="77777777" w:rsidR="00387D5C" w:rsidRPr="00CD56F2" w:rsidRDefault="00387D5C" w:rsidP="00B1007E">
            <w:pPr>
              <w:pStyle w:val="ListParagraph"/>
              <w:numPr>
                <w:ilvl w:val="0"/>
                <w:numId w:val="6"/>
              </w:numPr>
              <w:tabs>
                <w:tab w:val="right" w:pos="9180"/>
              </w:tabs>
            </w:pPr>
          </w:p>
        </w:tc>
        <w:tc>
          <w:tcPr>
            <w:tcW w:w="1620" w:type="dxa"/>
          </w:tcPr>
          <w:p w14:paraId="6E032F73" w14:textId="6408975D" w:rsidR="00387D5C" w:rsidRPr="00CD56F2" w:rsidRDefault="00387D5C" w:rsidP="002D627A">
            <w:pPr>
              <w:tabs>
                <w:tab w:val="decimal" w:pos="1152"/>
                <w:tab w:val="right" w:pos="9180"/>
              </w:tabs>
            </w:pPr>
            <w:r>
              <w:tab/>
              <w:t>-</w:t>
            </w:r>
          </w:p>
        </w:tc>
      </w:tr>
      <w:bookmarkEnd w:id="11"/>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37A4EA59" w:rsidR="00C85A90" w:rsidRPr="00CD56F2" w:rsidRDefault="00C85A90" w:rsidP="002D627A">
            <w:r w:rsidRPr="00CD56F2">
              <w:t>Net proceeds from warrant exercise</w:t>
            </w:r>
          </w:p>
        </w:tc>
        <w:tc>
          <w:tcPr>
            <w:tcW w:w="1555" w:type="dxa"/>
          </w:tcPr>
          <w:p w14:paraId="5B1C334D" w14:textId="77777777" w:rsidR="00C85A90" w:rsidRPr="00CD56F2" w:rsidRDefault="00C85A90" w:rsidP="002D627A">
            <w:pPr>
              <w:tabs>
                <w:tab w:val="right" w:pos="9180"/>
              </w:tabs>
            </w:pPr>
          </w:p>
        </w:tc>
        <w:tc>
          <w:tcPr>
            <w:tcW w:w="1800" w:type="dxa"/>
          </w:tcPr>
          <w:p w14:paraId="63E90449" w14:textId="40EBBA81" w:rsidR="00C85A90" w:rsidRPr="00CD56F2" w:rsidRDefault="00C85A90" w:rsidP="002D627A">
            <w:pPr>
              <w:tabs>
                <w:tab w:val="decimal" w:pos="1332"/>
                <w:tab w:val="right" w:pos="9180"/>
              </w:tabs>
            </w:pPr>
            <w:r w:rsidRPr="00CD56F2">
              <w:tab/>
            </w:r>
            <w:r w:rsidR="00387D5C">
              <w:t>1,389,363</w:t>
            </w:r>
          </w:p>
        </w:tc>
        <w:tc>
          <w:tcPr>
            <w:tcW w:w="360" w:type="dxa"/>
          </w:tcPr>
          <w:p w14:paraId="7D565343" w14:textId="77777777" w:rsidR="00C85A90" w:rsidRPr="00CD56F2" w:rsidRDefault="00C85A90" w:rsidP="00B1007E">
            <w:pPr>
              <w:pStyle w:val="ListParagraph"/>
              <w:numPr>
                <w:ilvl w:val="0"/>
                <w:numId w:val="6"/>
              </w:numPr>
              <w:tabs>
                <w:tab w:val="right" w:pos="9180"/>
              </w:tabs>
            </w:pPr>
          </w:p>
        </w:tc>
        <w:tc>
          <w:tcPr>
            <w:tcW w:w="1620" w:type="dxa"/>
          </w:tcPr>
          <w:p w14:paraId="73C51D02" w14:textId="3901F670" w:rsidR="00C85A90" w:rsidRPr="00CD56F2" w:rsidRDefault="00C85A90" w:rsidP="002D627A">
            <w:pPr>
              <w:tabs>
                <w:tab w:val="decimal" w:pos="1152"/>
                <w:tab w:val="right" w:pos="9180"/>
              </w:tabs>
            </w:pPr>
            <w:r w:rsidRPr="00CD56F2">
              <w:tab/>
            </w:r>
            <w:r w:rsidR="00772FEB">
              <w:t>-</w:t>
            </w:r>
          </w:p>
        </w:tc>
      </w:tr>
      <w:tr w:rsidR="00D27ADC" w:rsidRPr="000D3DC5" w14:paraId="47623E77" w14:textId="77777777" w:rsidTr="00DB3B22">
        <w:tc>
          <w:tcPr>
            <w:tcW w:w="378" w:type="dxa"/>
          </w:tcPr>
          <w:p w14:paraId="54858BC9" w14:textId="77777777" w:rsidR="00D27ADC" w:rsidRPr="000D3DC5" w:rsidRDefault="00D27ADC" w:rsidP="002D627A">
            <w:bookmarkStart w:id="13" w:name="_Hlk100327141"/>
            <w:bookmarkEnd w:id="12"/>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49A3D30A" w:rsidR="00D27ADC" w:rsidRPr="00CD56F2" w:rsidRDefault="00D27ADC" w:rsidP="002D627A">
            <w:pPr>
              <w:tabs>
                <w:tab w:val="decimal" w:pos="1332"/>
                <w:tab w:val="right" w:pos="9180"/>
              </w:tabs>
            </w:pPr>
            <w:r w:rsidRPr="00CD56F2">
              <w:tab/>
            </w:r>
            <w:r w:rsidR="00387D5C">
              <w:t>2,733,901</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286C0CA5" w:rsidR="00D27ADC" w:rsidRPr="00CD56F2" w:rsidRDefault="00D27ADC" w:rsidP="002D627A">
            <w:pPr>
              <w:tabs>
                <w:tab w:val="decimal" w:pos="1152"/>
                <w:tab w:val="right" w:pos="9180"/>
              </w:tabs>
            </w:pPr>
            <w:r w:rsidRPr="00CD56F2">
              <w:tab/>
            </w:r>
            <w:r w:rsidR="00772FEB">
              <w:t>-</w:t>
            </w:r>
          </w:p>
        </w:tc>
      </w:tr>
      <w:bookmarkEnd w:id="13"/>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7C16E482" w:rsidR="002D627A" w:rsidRPr="000D3DC5" w:rsidRDefault="002D627A" w:rsidP="002D627A">
            <w:pPr>
              <w:tabs>
                <w:tab w:val="right" w:pos="9180"/>
              </w:tabs>
            </w:pPr>
            <w:r w:rsidRPr="000D3DC5">
              <w:t xml:space="preserve">Net </w:t>
            </w:r>
            <w:r w:rsidR="00680BC1" w:rsidRPr="00387D5C">
              <w:t>decrease</w:t>
            </w:r>
            <w:r w:rsidR="00680BC1">
              <w:t xml:space="preserve"> </w:t>
            </w:r>
            <w:r w:rsidRPr="000D3DC5">
              <w:t>in cash and cash equivalents</w:t>
            </w:r>
          </w:p>
        </w:tc>
        <w:tc>
          <w:tcPr>
            <w:tcW w:w="1800" w:type="dxa"/>
          </w:tcPr>
          <w:p w14:paraId="07DCA151" w14:textId="3A2FE741" w:rsidR="002D627A" w:rsidRPr="000D3DC5" w:rsidRDefault="00767AC2" w:rsidP="002D627A">
            <w:pPr>
              <w:tabs>
                <w:tab w:val="decimal" w:pos="1332"/>
                <w:tab w:val="right" w:pos="9180"/>
              </w:tabs>
            </w:pPr>
            <w:r>
              <w:tab/>
            </w:r>
            <w:r w:rsidR="00387D5C">
              <w:t>(4,890,877)</w:t>
            </w:r>
          </w:p>
        </w:tc>
        <w:tc>
          <w:tcPr>
            <w:tcW w:w="360" w:type="dxa"/>
          </w:tcPr>
          <w:p w14:paraId="36255853" w14:textId="77777777" w:rsidR="002D627A" w:rsidRPr="000D3DC5" w:rsidRDefault="002D627A" w:rsidP="002D627A">
            <w:pPr>
              <w:tabs>
                <w:tab w:val="right" w:pos="9180"/>
              </w:tabs>
            </w:pPr>
          </w:p>
        </w:tc>
        <w:tc>
          <w:tcPr>
            <w:tcW w:w="1620" w:type="dxa"/>
          </w:tcPr>
          <w:p w14:paraId="51BA2EF5" w14:textId="3C120152" w:rsidR="002D627A" w:rsidRPr="000D3DC5" w:rsidRDefault="006E7CF8" w:rsidP="002D627A">
            <w:pPr>
              <w:tabs>
                <w:tab w:val="decimal" w:pos="1152"/>
                <w:tab w:val="right" w:pos="9180"/>
              </w:tabs>
            </w:pPr>
            <w:r>
              <w:tab/>
            </w:r>
            <w:r w:rsidR="00772FEB">
              <w:t>(9,823,821)</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62FA2B5B" w:rsidR="002D627A" w:rsidRPr="000D3DC5" w:rsidRDefault="00767AC2" w:rsidP="002D627A">
            <w:pPr>
              <w:tabs>
                <w:tab w:val="decimal" w:pos="1332"/>
                <w:tab w:val="right" w:pos="9180"/>
              </w:tabs>
            </w:pPr>
            <w:r>
              <w:tab/>
            </w:r>
            <w:r w:rsidR="00387D5C">
              <w:t>6,452,589</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06F41D8E" w:rsidR="002D627A" w:rsidRPr="000D3DC5" w:rsidRDefault="006E7CF8" w:rsidP="002D627A">
            <w:pPr>
              <w:tabs>
                <w:tab w:val="decimal" w:pos="1152"/>
                <w:tab w:val="right" w:pos="9180"/>
              </w:tabs>
            </w:pPr>
            <w:r>
              <w:tab/>
            </w:r>
            <w:r w:rsidR="00772FEB">
              <w:t>27,612,732</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381AE244" w:rsidR="002D627A" w:rsidRPr="000D3DC5" w:rsidRDefault="00767AC2" w:rsidP="002D627A">
            <w:pPr>
              <w:tabs>
                <w:tab w:val="decimal" w:pos="1332"/>
                <w:tab w:val="right" w:pos="9180"/>
              </w:tabs>
            </w:pPr>
            <w:r>
              <w:t>$</w:t>
            </w:r>
            <w:r>
              <w:tab/>
            </w:r>
            <w:r w:rsidR="00387D5C">
              <w:t>1,561,712</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510244E9" w:rsidR="002D627A" w:rsidRPr="000D3DC5" w:rsidRDefault="006E7CF8" w:rsidP="002D627A">
            <w:pPr>
              <w:tabs>
                <w:tab w:val="decimal" w:pos="1152"/>
                <w:tab w:val="right" w:pos="9180"/>
              </w:tabs>
            </w:pPr>
            <w:r>
              <w:t>$</w:t>
            </w:r>
            <w:r>
              <w:tab/>
            </w:r>
            <w:r w:rsidR="00772FEB">
              <w:t>17,788,911</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1CEA64E8" w:rsidR="006E7D01" w:rsidRPr="00B76FD4" w:rsidRDefault="00B76FD4" w:rsidP="00277F5A">
      <w:r w:rsidRPr="00B76FD4">
        <w:t>Supplemental disclosure of non-cash financing activities:</w:t>
      </w:r>
    </w:p>
    <w:p w14:paraId="66E53261" w14:textId="64577F4E" w:rsidR="00387D5C" w:rsidRDefault="005F1378" w:rsidP="009F710B">
      <w:pPr>
        <w:ind w:firstLine="270"/>
      </w:pPr>
      <w:r>
        <w:t xml:space="preserve">During the six months ended June 30, 2024, we issued </w:t>
      </w:r>
      <w:r w:rsidR="009F710B">
        <w:t>2,549</w:t>
      </w:r>
      <w:r>
        <w:t xml:space="preserve"> shares of common stock upon the cashless exercise of </w:t>
      </w:r>
      <w:r w:rsidR="009F710B">
        <w:t>4,000</w:t>
      </w:r>
      <w:r>
        <w:t xml:space="preserve"> warrants.</w:t>
      </w:r>
    </w:p>
    <w:p w14:paraId="65A13990" w14:textId="77777777" w:rsidR="00387D5C" w:rsidRDefault="00387D5C" w:rsidP="00277F5A"/>
    <w:p w14:paraId="70593562" w14:textId="77777777" w:rsidR="00387D5C" w:rsidRDefault="00387D5C" w:rsidP="00277F5A"/>
    <w:p w14:paraId="2CCA674F" w14:textId="77777777" w:rsidR="00387D5C" w:rsidRDefault="00387D5C"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3338922A" w:rsidR="00277F5A" w:rsidRDefault="004A0507" w:rsidP="00277F5A">
      <w:pPr>
        <w:jc w:val="center"/>
        <w:rPr>
          <w:b/>
        </w:rPr>
      </w:pPr>
      <w:r>
        <w:rPr>
          <w:b/>
        </w:rPr>
        <w:t>June</w:t>
      </w:r>
      <w:r w:rsidR="00F415DC">
        <w:rPr>
          <w:b/>
        </w:rPr>
        <w:t xml:space="preserve"> 3</w:t>
      </w:r>
      <w:r>
        <w:rPr>
          <w:b/>
        </w:rPr>
        <w:t>0</w:t>
      </w:r>
      <w:r w:rsidR="00277F5A" w:rsidRPr="001C6303">
        <w:rPr>
          <w:b/>
        </w:rPr>
        <w:t>, 20</w:t>
      </w:r>
      <w:r w:rsidR="00CE1FF4">
        <w:rPr>
          <w:b/>
        </w:rPr>
        <w:t>2</w:t>
      </w:r>
      <w:r w:rsidR="006E04EF">
        <w:rPr>
          <w:b/>
        </w:rPr>
        <w:t>4</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37569347" w14:textId="77777777" w:rsidR="006E04EF" w:rsidRPr="00936552" w:rsidRDefault="006E04EF" w:rsidP="006E04EF">
      <w:r w:rsidRPr="00936552">
        <w:t xml:space="preserve">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w:t>
      </w:r>
      <w:r>
        <w:t>“</w:t>
      </w:r>
      <w:r w:rsidRPr="00936552">
        <w:t>the Company”.</w:t>
      </w:r>
    </w:p>
    <w:p w14:paraId="65C9DC53" w14:textId="77777777" w:rsidR="00BA32B9" w:rsidRDefault="00BA32B9" w:rsidP="000A55AE"/>
    <w:p w14:paraId="492B65F6" w14:textId="08F80E30" w:rsidR="00BA32B9" w:rsidRPr="00936552" w:rsidRDefault="00BA32B9" w:rsidP="00BA32B9">
      <w:bookmarkStart w:id="14" w:name="_Hlk172117764"/>
      <w:r>
        <w:rPr>
          <w:rFonts w:eastAsia="SimSun"/>
          <w:color w:val="000000"/>
          <w:szCs w:val="24"/>
        </w:rPr>
        <w:t xml:space="preserve">The Company is focused on developing </w:t>
      </w:r>
      <w:r w:rsidR="002666CA">
        <w:rPr>
          <w:rFonts w:eastAsia="SimSun"/>
          <w:color w:val="000000"/>
          <w:szCs w:val="24"/>
        </w:rPr>
        <w:t xml:space="preserve">human </w:t>
      </w:r>
      <w:r>
        <w:rPr>
          <w:rFonts w:eastAsia="SimSun"/>
          <w:color w:val="000000"/>
          <w:szCs w:val="24"/>
        </w:rPr>
        <w:t>vaccines for many of the world’s most threatening infectious diseases and therapies for solid tumor cancers</w:t>
      </w:r>
      <w:r w:rsidR="002666CA">
        <w:rPr>
          <w:rFonts w:eastAsia="SimSun"/>
          <w:color w:val="000000"/>
          <w:szCs w:val="24"/>
        </w:rPr>
        <w:t xml:space="preserve"> using novel proprietary platforms</w:t>
      </w:r>
      <w:r>
        <w:rPr>
          <w:rFonts w:eastAsia="SimSun"/>
          <w:color w:val="000000"/>
          <w:szCs w:val="24"/>
        </w:rPr>
        <w:t xml:space="preserve">. GeoVax’s lead clinical program is GEO-CM04S1, a next-generation COVID-19 vaccine </w:t>
      </w:r>
      <w:r w:rsidRPr="005D00F1">
        <w:rPr>
          <w:rFonts w:eastAsia="SimSun"/>
          <w:color w:val="000000"/>
          <w:szCs w:val="24"/>
        </w:rPr>
        <w:t>for which it was recently awarded a BARDA-funded contract to sponsor a 10,000-participant Phase 2b clinical trial to</w:t>
      </w:r>
      <w:r>
        <w:rPr>
          <w:rFonts w:eastAsia="SimSun"/>
          <w:color w:val="000000"/>
          <w:szCs w:val="24"/>
        </w:rPr>
        <w:t xml:space="preserve"> evaluate the efficacy of GEO-CM04S1 versus an approved COVID-19 vaccine. In addition, GEO-CM04S1 is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In</w:t>
      </w:r>
      <w:r w:rsidR="002666CA">
        <w:rPr>
          <w:rFonts w:eastAsia="SimSun"/>
          <w:color w:val="000000"/>
          <w:szCs w:val="24"/>
        </w:rPr>
        <w:t xml:space="preserve"> addition,</w:t>
      </w:r>
      <w:r>
        <w:rPr>
          <w:rFonts w:eastAsia="SimSun"/>
          <w:color w:val="000000"/>
          <w:szCs w:val="24"/>
        </w:rPr>
        <w:t xml:space="preserve"> the lead </w:t>
      </w:r>
      <w:r w:rsidR="002666CA">
        <w:rPr>
          <w:rFonts w:eastAsia="SimSun"/>
          <w:color w:val="000000"/>
          <w:szCs w:val="24"/>
        </w:rPr>
        <w:t xml:space="preserve">oncological </w:t>
      </w:r>
      <w:r>
        <w:rPr>
          <w:rFonts w:eastAsia="SimSun"/>
          <w:color w:val="000000"/>
          <w:szCs w:val="24"/>
        </w:rPr>
        <w:t xml:space="preserve">clinical program is </w:t>
      </w:r>
      <w:r w:rsidR="002666CA">
        <w:rPr>
          <w:rFonts w:eastAsia="SimSun"/>
          <w:color w:val="000000"/>
          <w:szCs w:val="24"/>
        </w:rPr>
        <w:t>Gedeptin</w:t>
      </w:r>
      <w:r w:rsidR="002666CA">
        <w:rPr>
          <w:rFonts w:eastAsia="SimSun"/>
          <w:color w:val="000000"/>
          <w:szCs w:val="24"/>
          <w:vertAlign w:val="superscript"/>
        </w:rPr>
        <w:t>®</w:t>
      </w:r>
      <w:r w:rsidR="002666CA">
        <w:rPr>
          <w:rFonts w:eastAsia="SimSun"/>
          <w:color w:val="000000"/>
          <w:szCs w:val="24"/>
        </w:rPr>
        <w:t>,</w:t>
      </w:r>
      <w:r>
        <w:rPr>
          <w:rFonts w:eastAsia="SimSun"/>
          <w:color w:val="000000"/>
          <w:szCs w:val="24"/>
        </w:rPr>
        <w:t xml:space="preserve"> a novel oncolytic solid tumor gene-directed therapy, </w:t>
      </w:r>
      <w:r w:rsidR="002666CA">
        <w:rPr>
          <w:rFonts w:eastAsia="SimSun"/>
          <w:color w:val="000000"/>
          <w:szCs w:val="24"/>
        </w:rPr>
        <w:t>which is currently</w:t>
      </w:r>
      <w:r>
        <w:rPr>
          <w:rFonts w:eastAsia="SimSun"/>
          <w:color w:val="000000"/>
          <w:szCs w:val="24"/>
        </w:rPr>
        <w:t xml:space="preserve"> in a multicenter Phase 1/2 clinical trial for advanced head and neck cancers.</w:t>
      </w:r>
      <w:r w:rsidRPr="00BA32B9">
        <w:t xml:space="preserve"> </w:t>
      </w:r>
      <w:r w:rsidRPr="00936552">
        <w:t>Additional preclinical research and development programs include preventive vaccines against Mpox (</w:t>
      </w:r>
      <w:r w:rsidR="002666CA">
        <w:t xml:space="preserve">formerly known as </w:t>
      </w:r>
      <w:r w:rsidRPr="00936552">
        <w:t xml:space="preserve">monkeypox), hemorrhagic fever viruses (Ebola Zaire, Ebola Sudan, </w:t>
      </w:r>
      <w:r w:rsidR="002666CA">
        <w:t xml:space="preserve">and </w:t>
      </w:r>
      <w:r w:rsidRPr="00936552">
        <w:t>Marburg)</w:t>
      </w:r>
      <w:r>
        <w:t>,</w:t>
      </w:r>
      <w:r w:rsidRPr="00936552">
        <w:t xml:space="preserve"> </w:t>
      </w:r>
      <w:r w:rsidR="003477BD">
        <w:t xml:space="preserve">and </w:t>
      </w:r>
      <w:r w:rsidRPr="00936552">
        <w:t>Zika virus</w:t>
      </w:r>
      <w:r w:rsidR="003477BD">
        <w:t>,</w:t>
      </w:r>
      <w:r w:rsidRPr="00936552">
        <w:t xml:space="preserve"> as well as immunotherapies for solid tumors. </w:t>
      </w:r>
    </w:p>
    <w:bookmarkEnd w:id="14"/>
    <w:p w14:paraId="206A3497" w14:textId="77777777" w:rsidR="006E04EF" w:rsidRPr="000A55AE" w:rsidRDefault="006E04EF"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29CB2B8D"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w:t>
      </w:r>
      <w:r w:rsidR="006E04EF">
        <w:t>3</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4A0507">
        <w:t>six</w:t>
      </w:r>
      <w:r>
        <w:t xml:space="preserve"> months ended </w:t>
      </w:r>
      <w:r w:rsidR="004A0507">
        <w:t>June</w:t>
      </w:r>
      <w:r>
        <w:t xml:space="preserve"> 3</w:t>
      </w:r>
      <w:r w:rsidR="004A0507">
        <w:t>0</w:t>
      </w:r>
      <w:r>
        <w:t>, 202</w:t>
      </w:r>
      <w:r w:rsidR="006E04EF">
        <w:t>4</w:t>
      </w:r>
      <w:r>
        <w:t>, t</w:t>
      </w:r>
      <w:r w:rsidRPr="001C6303">
        <w:t xml:space="preserve">here have been no material changes to, or in the application of, the accounting policies previously identified </w:t>
      </w:r>
      <w:r>
        <w:t xml:space="preserve">and described in </w:t>
      </w:r>
      <w:proofErr w:type="gramStart"/>
      <w:r>
        <w:t>the Form</w:t>
      </w:r>
      <w:proofErr w:type="gramEnd"/>
      <w:r>
        <w:t xml:space="preserve"> 10-K.</w:t>
      </w:r>
    </w:p>
    <w:p w14:paraId="64F034DD" w14:textId="77777777" w:rsidR="006E04EF" w:rsidRDefault="006E04EF"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6527AE8" w14:textId="77777777" w:rsidR="003963E0" w:rsidRDefault="003963E0" w:rsidP="00C33214">
      <w:pPr>
        <w:pStyle w:val="BodyText"/>
        <w:spacing w:after="0"/>
        <w:rPr>
          <w:i/>
          <w:iCs/>
        </w:rPr>
      </w:pPr>
    </w:p>
    <w:p w14:paraId="6137C114" w14:textId="77777777" w:rsidR="006E04EF" w:rsidRPr="000F6A1C" w:rsidRDefault="006E04EF" w:rsidP="006E04EF">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2023. We expect o</w:t>
      </w:r>
      <w:r w:rsidRPr="001C6303">
        <w:t>ur operating results to fluctua</w:t>
      </w:r>
      <w:r>
        <w:t xml:space="preserve">te </w:t>
      </w:r>
      <w:proofErr w:type="gramStart"/>
      <w:r>
        <w:t>for</w:t>
      </w:r>
      <w:proofErr w:type="gramEnd"/>
      <w:r>
        <w:t xml:space="preserve"> the foreseeable future; t</w:t>
      </w:r>
      <w:r w:rsidRPr="001C6303">
        <w:t xml:space="preserve">herefore, period-to-period comparisons should not be relied upon as predictive of the results in future periods. </w:t>
      </w:r>
    </w:p>
    <w:p w14:paraId="32F6F8CE" w14:textId="77777777" w:rsidR="006E04EF" w:rsidRDefault="006E04EF" w:rsidP="006E04EF">
      <w:pPr>
        <w:autoSpaceDE w:val="0"/>
        <w:autoSpaceDN w:val="0"/>
        <w:adjustRightInd w:val="0"/>
      </w:pPr>
    </w:p>
    <w:p w14:paraId="47B3B6D3" w14:textId="04EB7E24" w:rsidR="006E04EF" w:rsidRPr="00770EA9" w:rsidRDefault="006E04EF" w:rsidP="006E04EF">
      <w:pPr>
        <w:autoSpaceDE w:val="0"/>
        <w:autoSpaceDN w:val="0"/>
        <w:adjustRightInd w:val="0"/>
      </w:pPr>
      <w:r w:rsidRPr="00770EA9">
        <w:t xml:space="preserve">We </w:t>
      </w:r>
      <w:r w:rsidRPr="004640B2">
        <w:t xml:space="preserve">are devoting substantially all of our present efforts to research and development of our vaccine and immunotherapy candidates and will require additional funding to continue our research and </w:t>
      </w:r>
      <w:r w:rsidRPr="000877FE">
        <w:t xml:space="preserve">development activities. Our existing cash resources are insufficient to continue our planned operations beyond the </w:t>
      </w:r>
      <w:r w:rsidR="00061BE1" w:rsidRPr="000877FE">
        <w:t>third</w:t>
      </w:r>
      <w:r w:rsidRPr="000877FE">
        <w:t xml:space="preserve"> quarter of 2024 without additional funding, which we are actively pursuing. We plan to pursue additional cash resources through public or private</w:t>
      </w:r>
      <w:r w:rsidRPr="004640B2">
        <w:t xml:space="preserve"> equity or debt financings, government grants/contracts, arrangements with strategic partners, or from other sources. There can be no assurance that</w:t>
      </w:r>
      <w:r w:rsidRPr="00770EA9">
        <w:t xml:space="preserve"> additional funding will be available on favorable terms or at all. These factors collectively raise substantial doubt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 </w:t>
      </w:r>
    </w:p>
    <w:p w14:paraId="54799B23" w14:textId="77777777" w:rsidR="006E04EF" w:rsidRDefault="006E04EF" w:rsidP="006E04EF">
      <w:pPr>
        <w:autoSpaceDE w:val="0"/>
        <w:autoSpaceDN w:val="0"/>
        <w:adjustRightInd w:val="0"/>
      </w:pPr>
    </w:p>
    <w:p w14:paraId="5841696D" w14:textId="77777777" w:rsidR="006E04EF" w:rsidRDefault="006E04EF" w:rsidP="006E04EF">
      <w:pPr>
        <w:autoSpaceDE w:val="0"/>
        <w:autoSpaceDN w:val="0"/>
        <w:adjustRightInd w:val="0"/>
      </w:pPr>
      <w:r>
        <w:t>The accompanying</w:t>
      </w:r>
      <w:r w:rsidRPr="00F85B8A">
        <w:t xml:space="preserve"> financial statements have been prepared assuming that </w:t>
      </w:r>
      <w:r>
        <w:t>the Company</w:t>
      </w:r>
      <w:r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0766106" w14:textId="77777777" w:rsidR="006E04EF" w:rsidRDefault="006E04EF" w:rsidP="006E04EF">
      <w:pPr>
        <w:autoSpaceDE w:val="0"/>
        <w:autoSpaceDN w:val="0"/>
        <w:adjustRightInd w:val="0"/>
      </w:pPr>
    </w:p>
    <w:p w14:paraId="387508A2" w14:textId="66ADA224" w:rsidR="006E04EF" w:rsidRPr="001B6113" w:rsidRDefault="006E04EF" w:rsidP="006E04EF">
      <w:pPr>
        <w:autoSpaceDE w:val="0"/>
        <w:autoSpaceDN w:val="0"/>
        <w:adjustRightInd w:val="0"/>
      </w:pPr>
      <w:r w:rsidRPr="001B6113">
        <w:t xml:space="preserve">The accompanying consolidated financial statements, and all share and per share information contained herein, have been retroactively restated to reflect the reverse stock split described in Note </w:t>
      </w:r>
      <w:r w:rsidR="00C744F8">
        <w:t>6</w:t>
      </w:r>
      <w:r w:rsidRPr="001B6113">
        <w:t>.</w:t>
      </w:r>
    </w:p>
    <w:p w14:paraId="663E192F" w14:textId="77777777" w:rsidR="00C33214" w:rsidRDefault="00C33214" w:rsidP="00C33214">
      <w:pPr>
        <w:autoSpaceDE w:val="0"/>
        <w:autoSpaceDN w:val="0"/>
        <w:adjustRightInd w:val="0"/>
      </w:pPr>
    </w:p>
    <w:p w14:paraId="32D70077" w14:textId="1729BC82" w:rsidR="003963E0" w:rsidRDefault="00C33214" w:rsidP="00C33214">
      <w:pPr>
        <w:autoSpaceDE w:val="0"/>
        <w:autoSpaceDN w:val="0"/>
        <w:adjustRightInd w:val="0"/>
      </w:pPr>
      <w:r w:rsidRPr="009701F2">
        <w:rPr>
          <w:i/>
          <w:iCs/>
        </w:rPr>
        <w:lastRenderedPageBreak/>
        <w:t>Recent Accounting Pronouncements</w:t>
      </w:r>
    </w:p>
    <w:p w14:paraId="2A234A05" w14:textId="77777777" w:rsidR="003963E0" w:rsidRDefault="003963E0" w:rsidP="00C33214">
      <w:pPr>
        <w:autoSpaceDE w:val="0"/>
        <w:autoSpaceDN w:val="0"/>
        <w:adjustRightInd w:val="0"/>
      </w:pPr>
    </w:p>
    <w:p w14:paraId="77591EC6" w14:textId="369542A0" w:rsidR="00C33214" w:rsidRDefault="00C33214" w:rsidP="00C33214">
      <w:pPr>
        <w:autoSpaceDE w:val="0"/>
        <w:autoSpaceDN w:val="0"/>
        <w:adjustRightInd w:val="0"/>
      </w:pPr>
      <w:r>
        <w:t xml:space="preserve">During the </w:t>
      </w:r>
      <w:r w:rsidR="004A0507">
        <w:t>six</w:t>
      </w:r>
      <w:r>
        <w:t xml:space="preserve"> months ended </w:t>
      </w:r>
      <w:r w:rsidR="004A0507">
        <w:t>June</w:t>
      </w:r>
      <w:r>
        <w:t xml:space="preserve"> 3</w:t>
      </w:r>
      <w:r w:rsidR="004A0507">
        <w:t>0</w:t>
      </w:r>
      <w:r>
        <w:t>, 202</w:t>
      </w:r>
      <w:r w:rsidR="006E04EF">
        <w:t>4</w:t>
      </w:r>
      <w:r>
        <w:t xml:space="preserve">, there have </w:t>
      </w:r>
      <w:r w:rsidRPr="00727CF3">
        <w:t>been no new accounting pronouncements</w:t>
      </w:r>
      <w:r w:rsidRPr="005F0851">
        <w:t xml:space="preserve">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2532CC43" w14:textId="20753028" w:rsidR="00C33214" w:rsidRDefault="00C33214" w:rsidP="00C33214">
      <w:pPr>
        <w:pStyle w:val="ListNumbering"/>
        <w:spacing w:after="0"/>
      </w:pPr>
      <w:r w:rsidRPr="00462439">
        <w:t>3.</w:t>
      </w:r>
      <w:r w:rsidRPr="00462439">
        <w:tab/>
        <w:t>Balance Sheet Component</w:t>
      </w:r>
      <w:r w:rsidR="0081257D" w:rsidRPr="00462439">
        <w:t>s</w:t>
      </w:r>
    </w:p>
    <w:p w14:paraId="01601A9A" w14:textId="77777777" w:rsidR="006E04EF" w:rsidRDefault="006E04EF" w:rsidP="006E04EF">
      <w:pPr>
        <w:pStyle w:val="BodyText"/>
        <w:spacing w:after="0"/>
      </w:pPr>
    </w:p>
    <w:p w14:paraId="5EE92484" w14:textId="77777777" w:rsidR="006E04EF" w:rsidRPr="000E74A1" w:rsidRDefault="006E04EF" w:rsidP="006E04EF">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6E04EF" w:rsidRPr="00EB7BF0" w14:paraId="26E0B028" w14:textId="77777777" w:rsidTr="007149CF">
        <w:tc>
          <w:tcPr>
            <w:tcW w:w="6055" w:type="dxa"/>
          </w:tcPr>
          <w:p w14:paraId="312AB9FE" w14:textId="77777777" w:rsidR="006E04EF" w:rsidRPr="00EB7BF0" w:rsidRDefault="006E04EF" w:rsidP="007149CF"/>
        </w:tc>
        <w:tc>
          <w:tcPr>
            <w:tcW w:w="1842" w:type="dxa"/>
            <w:tcBorders>
              <w:bottom w:val="single" w:sz="4" w:space="0" w:color="auto"/>
            </w:tcBorders>
          </w:tcPr>
          <w:p w14:paraId="4F2E02A4" w14:textId="67AA5C3A" w:rsidR="006E04EF" w:rsidRDefault="006E04EF" w:rsidP="007149CF">
            <w:pPr>
              <w:jc w:val="center"/>
            </w:pPr>
            <w:r>
              <w:t>June 30,</w:t>
            </w:r>
          </w:p>
          <w:p w14:paraId="33281E5A" w14:textId="77777777" w:rsidR="006E04EF" w:rsidRPr="00EB7BF0" w:rsidRDefault="006E04EF" w:rsidP="007149CF">
            <w:pPr>
              <w:jc w:val="center"/>
            </w:pPr>
            <w:r>
              <w:t>2024</w:t>
            </w:r>
          </w:p>
        </w:tc>
        <w:tc>
          <w:tcPr>
            <w:tcW w:w="1841" w:type="dxa"/>
            <w:tcBorders>
              <w:bottom w:val="single" w:sz="4" w:space="0" w:color="auto"/>
            </w:tcBorders>
          </w:tcPr>
          <w:p w14:paraId="25213531" w14:textId="77777777" w:rsidR="006E04EF" w:rsidRDefault="006E04EF" w:rsidP="007149CF">
            <w:pPr>
              <w:jc w:val="center"/>
            </w:pPr>
            <w:r>
              <w:t>December 31,</w:t>
            </w:r>
          </w:p>
          <w:p w14:paraId="0602721F" w14:textId="77777777" w:rsidR="006E04EF" w:rsidRPr="00EB7BF0" w:rsidRDefault="006E04EF" w:rsidP="007149CF">
            <w:pPr>
              <w:jc w:val="center"/>
            </w:pPr>
            <w:r>
              <w:t>2023</w:t>
            </w:r>
          </w:p>
        </w:tc>
      </w:tr>
      <w:tr w:rsidR="006E04EF" w:rsidRPr="007863FD" w14:paraId="4E7CB27D" w14:textId="77777777" w:rsidTr="007149CF">
        <w:tc>
          <w:tcPr>
            <w:tcW w:w="6055" w:type="dxa"/>
          </w:tcPr>
          <w:p w14:paraId="14D2BE68" w14:textId="77777777" w:rsidR="006E04EF" w:rsidRPr="007863FD" w:rsidRDefault="006E04EF" w:rsidP="007149CF">
            <w:pPr>
              <w:ind w:left="162"/>
            </w:pPr>
            <w:r w:rsidRPr="007863FD">
              <w:t xml:space="preserve">Prepaid clinical trial </w:t>
            </w:r>
            <w:r>
              <w:t>costs (current portion)</w:t>
            </w:r>
          </w:p>
        </w:tc>
        <w:tc>
          <w:tcPr>
            <w:tcW w:w="1842" w:type="dxa"/>
          </w:tcPr>
          <w:p w14:paraId="73DF6762" w14:textId="58FB28A4" w:rsidR="006E04EF" w:rsidRPr="007863FD" w:rsidRDefault="006E04EF" w:rsidP="007149CF">
            <w:pPr>
              <w:tabs>
                <w:tab w:val="decimal" w:pos="1199"/>
              </w:tabs>
            </w:pPr>
            <w:r w:rsidRPr="007863FD">
              <w:t xml:space="preserve">$ </w:t>
            </w:r>
            <w:r w:rsidR="00411635">
              <w:t>1,921,190</w:t>
            </w:r>
          </w:p>
        </w:tc>
        <w:tc>
          <w:tcPr>
            <w:tcW w:w="1841" w:type="dxa"/>
          </w:tcPr>
          <w:p w14:paraId="5C8DFF01" w14:textId="77777777" w:rsidR="006E04EF" w:rsidRPr="007863FD" w:rsidRDefault="006E04EF" w:rsidP="007149CF">
            <w:pPr>
              <w:tabs>
                <w:tab w:val="decimal" w:pos="1157"/>
              </w:tabs>
            </w:pPr>
            <w:r w:rsidRPr="007863FD">
              <w:t xml:space="preserve">$ </w:t>
            </w:r>
            <w:r>
              <w:t>1,282,746</w:t>
            </w:r>
          </w:p>
        </w:tc>
      </w:tr>
      <w:tr w:rsidR="006E04EF" w:rsidRPr="007863FD" w14:paraId="026B176E" w14:textId="77777777" w:rsidTr="007149CF">
        <w:tc>
          <w:tcPr>
            <w:tcW w:w="6055" w:type="dxa"/>
          </w:tcPr>
          <w:p w14:paraId="20D8392F" w14:textId="77777777" w:rsidR="006E04EF" w:rsidRPr="007863FD" w:rsidRDefault="006E04EF" w:rsidP="007149CF">
            <w:pPr>
              <w:ind w:left="162"/>
            </w:pPr>
            <w:r w:rsidRPr="007863FD">
              <w:t>Prepaid insurance premiums</w:t>
            </w:r>
          </w:p>
        </w:tc>
        <w:tc>
          <w:tcPr>
            <w:tcW w:w="1842" w:type="dxa"/>
          </w:tcPr>
          <w:p w14:paraId="22167666" w14:textId="24EE8568" w:rsidR="006E04EF" w:rsidRPr="007863FD" w:rsidRDefault="00411635" w:rsidP="007149CF">
            <w:pPr>
              <w:tabs>
                <w:tab w:val="decimal" w:pos="1199"/>
              </w:tabs>
            </w:pPr>
            <w:r>
              <w:t>36,899</w:t>
            </w:r>
          </w:p>
        </w:tc>
        <w:tc>
          <w:tcPr>
            <w:tcW w:w="1841" w:type="dxa"/>
          </w:tcPr>
          <w:p w14:paraId="52C8F4FB" w14:textId="77777777" w:rsidR="006E04EF" w:rsidRPr="007863FD" w:rsidRDefault="006E04EF" w:rsidP="007149CF">
            <w:pPr>
              <w:tabs>
                <w:tab w:val="decimal" w:pos="1157"/>
              </w:tabs>
            </w:pPr>
            <w:r>
              <w:t>110,695</w:t>
            </w:r>
          </w:p>
        </w:tc>
      </w:tr>
      <w:tr w:rsidR="006E04EF" w:rsidRPr="007863FD" w14:paraId="6AAEDF2E" w14:textId="77777777" w:rsidTr="007149CF">
        <w:tc>
          <w:tcPr>
            <w:tcW w:w="6055" w:type="dxa"/>
          </w:tcPr>
          <w:p w14:paraId="616E8D0F" w14:textId="77777777" w:rsidR="006E04EF" w:rsidRPr="007863FD" w:rsidRDefault="006E04EF" w:rsidP="007149CF">
            <w:pPr>
              <w:ind w:left="162"/>
            </w:pPr>
            <w:r w:rsidRPr="007863FD">
              <w:t>Prepaid rent</w:t>
            </w:r>
          </w:p>
        </w:tc>
        <w:tc>
          <w:tcPr>
            <w:tcW w:w="1842" w:type="dxa"/>
          </w:tcPr>
          <w:p w14:paraId="692657D5" w14:textId="67065B4D" w:rsidR="006E04EF" w:rsidRPr="007863FD" w:rsidRDefault="00411635" w:rsidP="007149CF">
            <w:pPr>
              <w:tabs>
                <w:tab w:val="decimal" w:pos="1199"/>
              </w:tabs>
            </w:pPr>
            <w:r>
              <w:t>13,045</w:t>
            </w:r>
          </w:p>
        </w:tc>
        <w:tc>
          <w:tcPr>
            <w:tcW w:w="1841" w:type="dxa"/>
          </w:tcPr>
          <w:p w14:paraId="7F047FFC" w14:textId="77777777" w:rsidR="006E04EF" w:rsidRPr="007863FD" w:rsidRDefault="006E04EF" w:rsidP="007149CF">
            <w:pPr>
              <w:tabs>
                <w:tab w:val="decimal" w:pos="1157"/>
              </w:tabs>
            </w:pPr>
            <w:r>
              <w:t>13,045</w:t>
            </w:r>
          </w:p>
        </w:tc>
      </w:tr>
      <w:tr w:rsidR="006E04EF" w:rsidRPr="007863FD" w14:paraId="39199996" w14:textId="77777777" w:rsidTr="007149CF">
        <w:tc>
          <w:tcPr>
            <w:tcW w:w="6055" w:type="dxa"/>
          </w:tcPr>
          <w:p w14:paraId="51B4D2A2" w14:textId="77777777" w:rsidR="006E04EF" w:rsidRPr="007863FD" w:rsidRDefault="006E04EF" w:rsidP="007149CF">
            <w:pPr>
              <w:ind w:left="162"/>
            </w:pPr>
            <w:r w:rsidRPr="007863FD">
              <w:t>Other prepaid expenses</w:t>
            </w:r>
          </w:p>
        </w:tc>
        <w:tc>
          <w:tcPr>
            <w:tcW w:w="1842" w:type="dxa"/>
          </w:tcPr>
          <w:p w14:paraId="21017269" w14:textId="50E64191" w:rsidR="006E04EF" w:rsidRPr="007863FD" w:rsidRDefault="00411635" w:rsidP="007149CF">
            <w:pPr>
              <w:tabs>
                <w:tab w:val="decimal" w:pos="1199"/>
              </w:tabs>
            </w:pPr>
            <w:r>
              <w:t>10,000</w:t>
            </w:r>
          </w:p>
        </w:tc>
        <w:tc>
          <w:tcPr>
            <w:tcW w:w="1841" w:type="dxa"/>
          </w:tcPr>
          <w:p w14:paraId="4F8EECA7" w14:textId="77777777" w:rsidR="006E04EF" w:rsidRPr="007863FD" w:rsidRDefault="006E04EF" w:rsidP="007149CF">
            <w:pPr>
              <w:tabs>
                <w:tab w:val="decimal" w:pos="1157"/>
              </w:tabs>
            </w:pPr>
            <w:r>
              <w:t>26,667</w:t>
            </w:r>
          </w:p>
        </w:tc>
      </w:tr>
      <w:tr w:rsidR="006E04EF" w:rsidRPr="00EB7BF0" w14:paraId="0AF49372" w14:textId="77777777" w:rsidTr="007149CF">
        <w:tc>
          <w:tcPr>
            <w:tcW w:w="6055" w:type="dxa"/>
          </w:tcPr>
          <w:p w14:paraId="2625DDF2" w14:textId="77777777" w:rsidR="006E04EF" w:rsidRPr="007863FD" w:rsidRDefault="006E04EF" w:rsidP="007149CF">
            <w:pPr>
              <w:ind w:left="162"/>
            </w:pPr>
            <w:r w:rsidRPr="007863FD">
              <w:t>Total prepaid expenses</w:t>
            </w:r>
          </w:p>
        </w:tc>
        <w:tc>
          <w:tcPr>
            <w:tcW w:w="1842" w:type="dxa"/>
            <w:tcBorders>
              <w:top w:val="single" w:sz="4" w:space="0" w:color="auto"/>
              <w:bottom w:val="double" w:sz="4" w:space="0" w:color="auto"/>
            </w:tcBorders>
          </w:tcPr>
          <w:p w14:paraId="15C04736" w14:textId="1134A595" w:rsidR="006E04EF" w:rsidRPr="007863FD" w:rsidRDefault="006E04EF" w:rsidP="007149CF">
            <w:pPr>
              <w:tabs>
                <w:tab w:val="decimal" w:pos="1199"/>
              </w:tabs>
            </w:pPr>
            <w:r w:rsidRPr="007863FD">
              <w:t xml:space="preserve">$ </w:t>
            </w:r>
            <w:r w:rsidR="00411635">
              <w:t>1,981,134</w:t>
            </w:r>
          </w:p>
        </w:tc>
        <w:tc>
          <w:tcPr>
            <w:tcW w:w="1841" w:type="dxa"/>
            <w:tcBorders>
              <w:top w:val="single" w:sz="4" w:space="0" w:color="auto"/>
              <w:bottom w:val="double" w:sz="4" w:space="0" w:color="auto"/>
            </w:tcBorders>
          </w:tcPr>
          <w:p w14:paraId="0C78A23C" w14:textId="77777777" w:rsidR="006E04EF" w:rsidRPr="00EB7BF0" w:rsidRDefault="006E04EF" w:rsidP="007149CF">
            <w:pPr>
              <w:tabs>
                <w:tab w:val="decimal" w:pos="1157"/>
              </w:tabs>
            </w:pPr>
            <w:r w:rsidRPr="007863FD">
              <w:t xml:space="preserve">$ </w:t>
            </w:r>
            <w:r>
              <w:t>1,433,153</w:t>
            </w:r>
          </w:p>
        </w:tc>
      </w:tr>
    </w:tbl>
    <w:p w14:paraId="63C92001" w14:textId="77777777" w:rsidR="006E04EF" w:rsidRDefault="006E04EF" w:rsidP="006E04EF">
      <w:pPr>
        <w:pStyle w:val="BodyText"/>
        <w:spacing w:after="0"/>
      </w:pPr>
    </w:p>
    <w:p w14:paraId="35DDAAEB" w14:textId="77777777" w:rsidR="006E04EF" w:rsidRPr="001C6303" w:rsidRDefault="006E04EF" w:rsidP="006E04EF">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6E04EF" w:rsidRPr="00EB7BF0" w14:paraId="6C3D437C" w14:textId="77777777" w:rsidTr="007149CF">
        <w:tc>
          <w:tcPr>
            <w:tcW w:w="6055" w:type="dxa"/>
          </w:tcPr>
          <w:p w14:paraId="13F2CA12" w14:textId="77777777" w:rsidR="006E04EF" w:rsidRPr="00EB7BF0" w:rsidRDefault="006E04EF" w:rsidP="007149CF"/>
        </w:tc>
        <w:tc>
          <w:tcPr>
            <w:tcW w:w="1842" w:type="dxa"/>
            <w:tcBorders>
              <w:bottom w:val="single" w:sz="4" w:space="0" w:color="auto"/>
            </w:tcBorders>
          </w:tcPr>
          <w:p w14:paraId="643EE011" w14:textId="42AAC5A5" w:rsidR="006E04EF" w:rsidRDefault="006E04EF" w:rsidP="007149CF">
            <w:pPr>
              <w:jc w:val="center"/>
            </w:pPr>
            <w:r>
              <w:t>June 30,</w:t>
            </w:r>
          </w:p>
          <w:p w14:paraId="5B26C99C" w14:textId="77777777" w:rsidR="006E04EF" w:rsidRPr="00EB7BF0" w:rsidRDefault="006E04EF" w:rsidP="007149CF">
            <w:pPr>
              <w:jc w:val="center"/>
            </w:pPr>
            <w:r>
              <w:t>2024</w:t>
            </w:r>
          </w:p>
        </w:tc>
        <w:tc>
          <w:tcPr>
            <w:tcW w:w="1841" w:type="dxa"/>
            <w:tcBorders>
              <w:bottom w:val="single" w:sz="4" w:space="0" w:color="auto"/>
            </w:tcBorders>
          </w:tcPr>
          <w:p w14:paraId="7A1152EA" w14:textId="77777777" w:rsidR="006E04EF" w:rsidRDefault="006E04EF" w:rsidP="007149CF">
            <w:pPr>
              <w:jc w:val="center"/>
            </w:pPr>
            <w:r>
              <w:t>December 31,</w:t>
            </w:r>
          </w:p>
          <w:p w14:paraId="05A6D4C5" w14:textId="77777777" w:rsidR="006E04EF" w:rsidRPr="00EB7BF0" w:rsidRDefault="006E04EF" w:rsidP="007149CF">
            <w:pPr>
              <w:jc w:val="center"/>
            </w:pPr>
            <w:r>
              <w:t>2023</w:t>
            </w:r>
          </w:p>
        </w:tc>
      </w:tr>
      <w:tr w:rsidR="006E04EF" w:rsidRPr="00EB7BF0" w14:paraId="0ACAEB6A" w14:textId="77777777" w:rsidTr="007149CF">
        <w:tc>
          <w:tcPr>
            <w:tcW w:w="6055" w:type="dxa"/>
          </w:tcPr>
          <w:p w14:paraId="0552D58D" w14:textId="77777777" w:rsidR="006E04EF" w:rsidRPr="00EB7BF0" w:rsidRDefault="006E04EF" w:rsidP="007149CF">
            <w:pPr>
              <w:ind w:left="162"/>
            </w:pPr>
            <w:r>
              <w:t>Equipment and furnishings</w:t>
            </w:r>
          </w:p>
        </w:tc>
        <w:tc>
          <w:tcPr>
            <w:tcW w:w="1842" w:type="dxa"/>
          </w:tcPr>
          <w:p w14:paraId="55D72C1B" w14:textId="74FC2DB3" w:rsidR="006E04EF" w:rsidRPr="00FA15F9" w:rsidRDefault="006E04EF" w:rsidP="007149CF">
            <w:pPr>
              <w:tabs>
                <w:tab w:val="decimal" w:pos="1199"/>
              </w:tabs>
            </w:pPr>
            <w:r w:rsidRPr="00FA15F9">
              <w:t xml:space="preserve">$   </w:t>
            </w:r>
            <w:r w:rsidR="00411635">
              <w:t>774,758</w:t>
            </w:r>
          </w:p>
        </w:tc>
        <w:tc>
          <w:tcPr>
            <w:tcW w:w="1841" w:type="dxa"/>
          </w:tcPr>
          <w:p w14:paraId="3AC3F641" w14:textId="77777777" w:rsidR="006E04EF" w:rsidRPr="00EB7BF0" w:rsidRDefault="006E04EF" w:rsidP="007149CF">
            <w:pPr>
              <w:tabs>
                <w:tab w:val="decimal" w:pos="1158"/>
              </w:tabs>
            </w:pPr>
            <w:r>
              <w:t>$   774,758</w:t>
            </w:r>
          </w:p>
        </w:tc>
      </w:tr>
      <w:tr w:rsidR="006E04EF" w:rsidRPr="00EB7BF0" w14:paraId="6917A2F4" w14:textId="77777777" w:rsidTr="007149CF">
        <w:tc>
          <w:tcPr>
            <w:tcW w:w="6055" w:type="dxa"/>
          </w:tcPr>
          <w:p w14:paraId="25B60625" w14:textId="77777777" w:rsidR="006E04EF" w:rsidRPr="00EB7BF0" w:rsidRDefault="006E04EF" w:rsidP="007149CF">
            <w:pPr>
              <w:ind w:left="162"/>
            </w:pPr>
            <w:r w:rsidRPr="00EB7BF0">
              <w:t>Leasehold improvements</w:t>
            </w:r>
          </w:p>
        </w:tc>
        <w:tc>
          <w:tcPr>
            <w:tcW w:w="1842" w:type="dxa"/>
          </w:tcPr>
          <w:p w14:paraId="53167B9A" w14:textId="72383F82" w:rsidR="006E04EF" w:rsidRPr="00FA15F9" w:rsidRDefault="00411635" w:rsidP="007149CF">
            <w:pPr>
              <w:tabs>
                <w:tab w:val="decimal" w:pos="1199"/>
              </w:tabs>
            </w:pPr>
            <w:r>
              <w:t>115,605</w:t>
            </w:r>
          </w:p>
        </w:tc>
        <w:tc>
          <w:tcPr>
            <w:tcW w:w="1841" w:type="dxa"/>
          </w:tcPr>
          <w:p w14:paraId="2090ABB3" w14:textId="77777777" w:rsidR="006E04EF" w:rsidRPr="00EB7BF0" w:rsidRDefault="006E04EF" w:rsidP="007149CF">
            <w:pPr>
              <w:tabs>
                <w:tab w:val="decimal" w:pos="1158"/>
              </w:tabs>
            </w:pPr>
            <w:r>
              <w:t>115,605</w:t>
            </w:r>
          </w:p>
        </w:tc>
      </w:tr>
      <w:tr w:rsidR="006E04EF" w:rsidRPr="00EB7BF0" w14:paraId="177CB979" w14:textId="77777777" w:rsidTr="007149CF">
        <w:tc>
          <w:tcPr>
            <w:tcW w:w="6055" w:type="dxa"/>
          </w:tcPr>
          <w:p w14:paraId="4AD35BEF" w14:textId="77777777" w:rsidR="006E04EF" w:rsidRPr="00EB7BF0" w:rsidRDefault="006E04EF" w:rsidP="007149CF">
            <w:pPr>
              <w:ind w:left="162"/>
            </w:pPr>
            <w:r w:rsidRPr="00EB7BF0">
              <w:t>Total property and equipment</w:t>
            </w:r>
          </w:p>
        </w:tc>
        <w:tc>
          <w:tcPr>
            <w:tcW w:w="1842" w:type="dxa"/>
            <w:tcBorders>
              <w:top w:val="single" w:sz="4" w:space="0" w:color="auto"/>
            </w:tcBorders>
          </w:tcPr>
          <w:p w14:paraId="297AABE1" w14:textId="45B84C3E" w:rsidR="006E04EF" w:rsidRPr="00FA15F9" w:rsidRDefault="00411635" w:rsidP="007149CF">
            <w:pPr>
              <w:tabs>
                <w:tab w:val="decimal" w:pos="1199"/>
              </w:tabs>
            </w:pPr>
            <w:r>
              <w:t>890,363</w:t>
            </w:r>
          </w:p>
        </w:tc>
        <w:tc>
          <w:tcPr>
            <w:tcW w:w="1841" w:type="dxa"/>
            <w:tcBorders>
              <w:top w:val="single" w:sz="4" w:space="0" w:color="auto"/>
            </w:tcBorders>
          </w:tcPr>
          <w:p w14:paraId="62209839" w14:textId="77777777" w:rsidR="006E04EF" w:rsidRPr="00EB7BF0" w:rsidRDefault="006E04EF" w:rsidP="007149CF">
            <w:pPr>
              <w:tabs>
                <w:tab w:val="decimal" w:pos="1158"/>
              </w:tabs>
            </w:pPr>
            <w:r>
              <w:t>890,363</w:t>
            </w:r>
          </w:p>
        </w:tc>
      </w:tr>
      <w:tr w:rsidR="006E04EF" w:rsidRPr="00452D3C" w14:paraId="66112D6D" w14:textId="77777777" w:rsidTr="007149CF">
        <w:tc>
          <w:tcPr>
            <w:tcW w:w="6055" w:type="dxa"/>
          </w:tcPr>
          <w:p w14:paraId="26E4069D" w14:textId="77777777" w:rsidR="006E04EF" w:rsidRPr="00452D3C" w:rsidRDefault="006E04EF" w:rsidP="007149CF">
            <w:pPr>
              <w:ind w:left="162"/>
            </w:pPr>
            <w:r w:rsidRPr="00452D3C">
              <w:t>Accumulated depreciation and amortization</w:t>
            </w:r>
          </w:p>
        </w:tc>
        <w:tc>
          <w:tcPr>
            <w:tcW w:w="1842" w:type="dxa"/>
            <w:tcBorders>
              <w:bottom w:val="single" w:sz="4" w:space="0" w:color="auto"/>
            </w:tcBorders>
          </w:tcPr>
          <w:p w14:paraId="14DE7C98" w14:textId="4DAE21F2" w:rsidR="006E04EF" w:rsidRPr="00FA15F9" w:rsidRDefault="00411635" w:rsidP="007149CF">
            <w:pPr>
              <w:tabs>
                <w:tab w:val="decimal" w:pos="1199"/>
              </w:tabs>
            </w:pPr>
            <w:r>
              <w:t>(719,826)</w:t>
            </w:r>
          </w:p>
        </w:tc>
        <w:tc>
          <w:tcPr>
            <w:tcW w:w="1841" w:type="dxa"/>
            <w:tcBorders>
              <w:bottom w:val="single" w:sz="4" w:space="0" w:color="auto"/>
            </w:tcBorders>
          </w:tcPr>
          <w:p w14:paraId="365E989A" w14:textId="77777777" w:rsidR="006E04EF" w:rsidRPr="00452D3C" w:rsidRDefault="006E04EF" w:rsidP="007149CF">
            <w:pPr>
              <w:tabs>
                <w:tab w:val="decimal" w:pos="1158"/>
              </w:tabs>
            </w:pPr>
            <w:r>
              <w:t>(680,674</w:t>
            </w:r>
            <w:r w:rsidRPr="00452D3C">
              <w:t>)</w:t>
            </w:r>
          </w:p>
        </w:tc>
      </w:tr>
      <w:tr w:rsidR="006E04EF" w:rsidRPr="00EB7BF0" w14:paraId="743DD66E" w14:textId="77777777" w:rsidTr="007149CF">
        <w:tc>
          <w:tcPr>
            <w:tcW w:w="6055" w:type="dxa"/>
          </w:tcPr>
          <w:p w14:paraId="3C089480" w14:textId="77777777" w:rsidR="006E04EF" w:rsidRPr="00452D3C" w:rsidRDefault="006E04EF" w:rsidP="007149CF">
            <w:pPr>
              <w:ind w:left="162"/>
            </w:pPr>
            <w:r>
              <w:t>Total p</w:t>
            </w:r>
            <w:r w:rsidRPr="00452D3C">
              <w:t>roperty and equipment, net</w:t>
            </w:r>
          </w:p>
        </w:tc>
        <w:tc>
          <w:tcPr>
            <w:tcW w:w="1842" w:type="dxa"/>
            <w:tcBorders>
              <w:top w:val="single" w:sz="4" w:space="0" w:color="auto"/>
              <w:bottom w:val="double" w:sz="4" w:space="0" w:color="auto"/>
            </w:tcBorders>
          </w:tcPr>
          <w:p w14:paraId="3035CD8A" w14:textId="1426C955" w:rsidR="006E04EF" w:rsidRPr="00FA15F9" w:rsidRDefault="006E04EF" w:rsidP="007149CF">
            <w:pPr>
              <w:tabs>
                <w:tab w:val="decimal" w:pos="1199"/>
              </w:tabs>
            </w:pPr>
            <w:r w:rsidRPr="00FA15F9">
              <w:t xml:space="preserve">$ </w:t>
            </w:r>
            <w:r>
              <w:t xml:space="preserve"> </w:t>
            </w:r>
            <w:r w:rsidRPr="00FA15F9">
              <w:t xml:space="preserve"> </w:t>
            </w:r>
            <w:r w:rsidR="00411635">
              <w:t>170,537</w:t>
            </w:r>
          </w:p>
        </w:tc>
        <w:tc>
          <w:tcPr>
            <w:tcW w:w="1841" w:type="dxa"/>
            <w:tcBorders>
              <w:top w:val="single" w:sz="4" w:space="0" w:color="auto"/>
              <w:bottom w:val="double" w:sz="4" w:space="0" w:color="auto"/>
            </w:tcBorders>
          </w:tcPr>
          <w:p w14:paraId="1B1AF536" w14:textId="77777777" w:rsidR="006E04EF" w:rsidRPr="00EB7BF0" w:rsidRDefault="006E04EF" w:rsidP="007149CF">
            <w:pPr>
              <w:tabs>
                <w:tab w:val="decimal" w:pos="1158"/>
              </w:tabs>
            </w:pPr>
            <w:r w:rsidRPr="00452D3C">
              <w:t xml:space="preserve">$  </w:t>
            </w:r>
            <w:r>
              <w:t xml:space="preserve"> 209,689</w:t>
            </w:r>
          </w:p>
        </w:tc>
      </w:tr>
    </w:tbl>
    <w:p w14:paraId="0358348C" w14:textId="77777777" w:rsidR="006E04EF" w:rsidRDefault="006E04EF" w:rsidP="006E04EF">
      <w:pPr>
        <w:pStyle w:val="BodyText"/>
        <w:spacing w:after="0"/>
      </w:pPr>
    </w:p>
    <w:p w14:paraId="69E498A0" w14:textId="77777777" w:rsidR="006E04EF" w:rsidRPr="004C0A63" w:rsidRDefault="006E04EF" w:rsidP="006E04EF">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6E04EF" w:rsidRPr="004C0A63" w14:paraId="69F93C0D" w14:textId="77777777" w:rsidTr="007149CF">
        <w:tc>
          <w:tcPr>
            <w:tcW w:w="6055" w:type="dxa"/>
          </w:tcPr>
          <w:p w14:paraId="01C0340E" w14:textId="77777777" w:rsidR="006E04EF" w:rsidRPr="004C0A63" w:rsidRDefault="006E04EF" w:rsidP="007149CF"/>
        </w:tc>
        <w:tc>
          <w:tcPr>
            <w:tcW w:w="1842" w:type="dxa"/>
            <w:tcBorders>
              <w:bottom w:val="single" w:sz="4" w:space="0" w:color="auto"/>
            </w:tcBorders>
          </w:tcPr>
          <w:p w14:paraId="4599AF37" w14:textId="3C272238" w:rsidR="006E04EF" w:rsidRPr="004C0A63" w:rsidRDefault="006E04EF" w:rsidP="007149CF">
            <w:pPr>
              <w:jc w:val="center"/>
            </w:pPr>
            <w:r>
              <w:t>June</w:t>
            </w:r>
            <w:r w:rsidRPr="004C0A63">
              <w:t xml:space="preserve"> 3</w:t>
            </w:r>
            <w:r>
              <w:t>0</w:t>
            </w:r>
            <w:r w:rsidRPr="004C0A63">
              <w:t>,</w:t>
            </w:r>
          </w:p>
          <w:p w14:paraId="33E39851" w14:textId="77777777" w:rsidR="006E04EF" w:rsidRPr="004C0A63" w:rsidRDefault="006E04EF" w:rsidP="007149CF">
            <w:pPr>
              <w:jc w:val="center"/>
            </w:pPr>
            <w:r w:rsidRPr="004C0A63">
              <w:t>202</w:t>
            </w:r>
            <w:r>
              <w:t>4</w:t>
            </w:r>
          </w:p>
        </w:tc>
        <w:tc>
          <w:tcPr>
            <w:tcW w:w="1841" w:type="dxa"/>
            <w:tcBorders>
              <w:bottom w:val="single" w:sz="4" w:space="0" w:color="auto"/>
            </w:tcBorders>
          </w:tcPr>
          <w:p w14:paraId="3D5722E8" w14:textId="77777777" w:rsidR="006E04EF" w:rsidRPr="004C0A63" w:rsidRDefault="006E04EF" w:rsidP="007149CF">
            <w:pPr>
              <w:jc w:val="center"/>
            </w:pPr>
            <w:r w:rsidRPr="004C0A63">
              <w:t>December 31,</w:t>
            </w:r>
          </w:p>
          <w:p w14:paraId="52E3030F" w14:textId="77777777" w:rsidR="006E04EF" w:rsidRPr="004C0A63" w:rsidRDefault="006E04EF" w:rsidP="007149CF">
            <w:pPr>
              <w:jc w:val="center"/>
            </w:pPr>
            <w:r w:rsidRPr="004C0A63">
              <w:t>202</w:t>
            </w:r>
            <w:r>
              <w:t>3</w:t>
            </w:r>
          </w:p>
        </w:tc>
      </w:tr>
      <w:tr w:rsidR="006E04EF" w:rsidRPr="004C0A63" w14:paraId="1616960C" w14:textId="77777777" w:rsidTr="007149CF">
        <w:tc>
          <w:tcPr>
            <w:tcW w:w="6055" w:type="dxa"/>
          </w:tcPr>
          <w:p w14:paraId="1981A441" w14:textId="77777777" w:rsidR="006E04EF" w:rsidRPr="004C0A63" w:rsidRDefault="006E04EF" w:rsidP="007149CF">
            <w:pPr>
              <w:ind w:left="162"/>
            </w:pPr>
            <w:r>
              <w:t>Prepaid clinical trial costs (noncurrent portion)</w:t>
            </w:r>
          </w:p>
        </w:tc>
        <w:tc>
          <w:tcPr>
            <w:tcW w:w="1842" w:type="dxa"/>
          </w:tcPr>
          <w:p w14:paraId="1D8709D0" w14:textId="31CB2F7C" w:rsidR="006E04EF" w:rsidRPr="004C0A63" w:rsidRDefault="006E04EF" w:rsidP="007149CF">
            <w:pPr>
              <w:tabs>
                <w:tab w:val="decimal" w:pos="1199"/>
              </w:tabs>
            </w:pPr>
            <w:r w:rsidRPr="004C0A63">
              <w:t xml:space="preserve">$ </w:t>
            </w:r>
            <w:r w:rsidR="00411635">
              <w:t xml:space="preserve">            -</w:t>
            </w:r>
          </w:p>
        </w:tc>
        <w:tc>
          <w:tcPr>
            <w:tcW w:w="1841" w:type="dxa"/>
          </w:tcPr>
          <w:p w14:paraId="60902CE1" w14:textId="77777777" w:rsidR="006E04EF" w:rsidRPr="004C0A63" w:rsidRDefault="006E04EF" w:rsidP="007149CF">
            <w:pPr>
              <w:tabs>
                <w:tab w:val="decimal" w:pos="1157"/>
              </w:tabs>
            </w:pPr>
            <w:r w:rsidRPr="004C0A63">
              <w:t xml:space="preserve">$ </w:t>
            </w:r>
            <w:r>
              <w:t>1,106,778</w:t>
            </w:r>
          </w:p>
        </w:tc>
      </w:tr>
      <w:tr w:rsidR="006E04EF" w:rsidRPr="004C0A63" w14:paraId="053940F8" w14:textId="77777777" w:rsidTr="007149CF">
        <w:tc>
          <w:tcPr>
            <w:tcW w:w="6055" w:type="dxa"/>
          </w:tcPr>
          <w:p w14:paraId="7B8709D2" w14:textId="77777777" w:rsidR="006E04EF" w:rsidRDefault="006E04EF" w:rsidP="007149CF">
            <w:pPr>
              <w:ind w:left="162"/>
            </w:pPr>
            <w:r>
              <w:t>Prepaid technology license fees</w:t>
            </w:r>
          </w:p>
        </w:tc>
        <w:tc>
          <w:tcPr>
            <w:tcW w:w="1842" w:type="dxa"/>
          </w:tcPr>
          <w:p w14:paraId="0690B7BA" w14:textId="2401C2AD" w:rsidR="006E04EF" w:rsidRPr="004C0A63" w:rsidRDefault="00411635" w:rsidP="007149CF">
            <w:pPr>
              <w:tabs>
                <w:tab w:val="decimal" w:pos="1199"/>
              </w:tabs>
            </w:pPr>
            <w:r>
              <w:t>70,000</w:t>
            </w:r>
          </w:p>
        </w:tc>
        <w:tc>
          <w:tcPr>
            <w:tcW w:w="1841" w:type="dxa"/>
          </w:tcPr>
          <w:p w14:paraId="78E5068D" w14:textId="77777777" w:rsidR="006E04EF" w:rsidRPr="004C0A63" w:rsidRDefault="006E04EF" w:rsidP="007149CF">
            <w:pPr>
              <w:tabs>
                <w:tab w:val="decimal" w:pos="1157"/>
              </w:tabs>
            </w:pPr>
            <w:r>
              <w:t>70,000</w:t>
            </w:r>
          </w:p>
        </w:tc>
      </w:tr>
      <w:tr w:rsidR="006E04EF" w:rsidRPr="004C0A63" w14:paraId="56894F7D" w14:textId="77777777" w:rsidTr="007149CF">
        <w:tc>
          <w:tcPr>
            <w:tcW w:w="6055" w:type="dxa"/>
          </w:tcPr>
          <w:p w14:paraId="007E1362" w14:textId="77777777" w:rsidR="006E04EF" w:rsidRPr="004C0A63" w:rsidRDefault="006E04EF" w:rsidP="007149CF">
            <w:pPr>
              <w:ind w:left="162"/>
            </w:pPr>
            <w:r>
              <w:t>Deposits</w:t>
            </w:r>
          </w:p>
        </w:tc>
        <w:tc>
          <w:tcPr>
            <w:tcW w:w="1842" w:type="dxa"/>
            <w:tcBorders>
              <w:bottom w:val="single" w:sz="4" w:space="0" w:color="auto"/>
            </w:tcBorders>
          </w:tcPr>
          <w:p w14:paraId="7FBA4D4C" w14:textId="330DB1AE" w:rsidR="006E04EF" w:rsidRPr="004C0A63" w:rsidRDefault="00411635" w:rsidP="007149CF">
            <w:pPr>
              <w:tabs>
                <w:tab w:val="decimal" w:pos="1199"/>
              </w:tabs>
            </w:pPr>
            <w:r>
              <w:t>11,010</w:t>
            </w:r>
          </w:p>
        </w:tc>
        <w:tc>
          <w:tcPr>
            <w:tcW w:w="1841" w:type="dxa"/>
            <w:tcBorders>
              <w:bottom w:val="single" w:sz="4" w:space="0" w:color="auto"/>
            </w:tcBorders>
          </w:tcPr>
          <w:p w14:paraId="29344D61" w14:textId="77777777" w:rsidR="006E04EF" w:rsidRPr="004C0A63" w:rsidRDefault="006E04EF" w:rsidP="007149CF">
            <w:pPr>
              <w:tabs>
                <w:tab w:val="decimal" w:pos="1157"/>
              </w:tabs>
            </w:pPr>
            <w:r w:rsidRPr="004C0A63">
              <w:t>1</w:t>
            </w:r>
            <w:r>
              <w:t>1,010</w:t>
            </w:r>
          </w:p>
        </w:tc>
      </w:tr>
      <w:tr w:rsidR="006E04EF" w:rsidRPr="004C0A63" w14:paraId="1D7A10E8" w14:textId="77777777" w:rsidTr="007149CF">
        <w:tc>
          <w:tcPr>
            <w:tcW w:w="6055" w:type="dxa"/>
          </w:tcPr>
          <w:p w14:paraId="6CBB52A9" w14:textId="77777777" w:rsidR="006E04EF" w:rsidRPr="004C0A63" w:rsidRDefault="006E04EF" w:rsidP="007149CF">
            <w:pPr>
              <w:ind w:left="162"/>
            </w:pPr>
            <w:r w:rsidRPr="004C0A63">
              <w:t xml:space="preserve">Total </w:t>
            </w:r>
            <w:r>
              <w:t>other assets</w:t>
            </w:r>
          </w:p>
        </w:tc>
        <w:tc>
          <w:tcPr>
            <w:tcW w:w="1842" w:type="dxa"/>
            <w:tcBorders>
              <w:top w:val="single" w:sz="4" w:space="0" w:color="auto"/>
              <w:bottom w:val="double" w:sz="4" w:space="0" w:color="auto"/>
            </w:tcBorders>
          </w:tcPr>
          <w:p w14:paraId="695F1EF1" w14:textId="1D52ABBC" w:rsidR="006E04EF" w:rsidRPr="004C0A63" w:rsidRDefault="006E04EF" w:rsidP="007149CF">
            <w:pPr>
              <w:tabs>
                <w:tab w:val="decimal" w:pos="1199"/>
              </w:tabs>
            </w:pPr>
            <w:r w:rsidRPr="004C0A63">
              <w:t xml:space="preserve">$ </w:t>
            </w:r>
            <w:r w:rsidR="00411635">
              <w:t xml:space="preserve">  81,010</w:t>
            </w:r>
          </w:p>
        </w:tc>
        <w:tc>
          <w:tcPr>
            <w:tcW w:w="1841" w:type="dxa"/>
            <w:tcBorders>
              <w:top w:val="single" w:sz="4" w:space="0" w:color="auto"/>
              <w:bottom w:val="double" w:sz="4" w:space="0" w:color="auto"/>
            </w:tcBorders>
          </w:tcPr>
          <w:p w14:paraId="01330601" w14:textId="77777777" w:rsidR="006E04EF" w:rsidRPr="004C0A63" w:rsidRDefault="006E04EF" w:rsidP="007149CF">
            <w:pPr>
              <w:tabs>
                <w:tab w:val="decimal" w:pos="1157"/>
              </w:tabs>
            </w:pPr>
            <w:r w:rsidRPr="004C0A63">
              <w:t>$</w:t>
            </w:r>
            <w:r>
              <w:t xml:space="preserve"> 1,187,788</w:t>
            </w:r>
          </w:p>
        </w:tc>
      </w:tr>
    </w:tbl>
    <w:p w14:paraId="6EE76521" w14:textId="77777777" w:rsidR="006E04EF" w:rsidRDefault="006E04EF" w:rsidP="006E04EF">
      <w:pPr>
        <w:pStyle w:val="BodyText"/>
        <w:spacing w:after="0"/>
      </w:pPr>
    </w:p>
    <w:p w14:paraId="3E1F87F4" w14:textId="77777777" w:rsidR="006E04EF" w:rsidRPr="004C0A63" w:rsidRDefault="006E04EF" w:rsidP="006E04EF">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6E04EF" w:rsidRPr="004C0A63" w14:paraId="26331158" w14:textId="77777777" w:rsidTr="007149CF">
        <w:tc>
          <w:tcPr>
            <w:tcW w:w="6055" w:type="dxa"/>
          </w:tcPr>
          <w:p w14:paraId="5AAF7F85" w14:textId="77777777" w:rsidR="006E04EF" w:rsidRPr="004C0A63" w:rsidRDefault="006E04EF" w:rsidP="007149CF"/>
        </w:tc>
        <w:tc>
          <w:tcPr>
            <w:tcW w:w="1842" w:type="dxa"/>
            <w:tcBorders>
              <w:bottom w:val="single" w:sz="4" w:space="0" w:color="auto"/>
            </w:tcBorders>
          </w:tcPr>
          <w:p w14:paraId="19BBF007" w14:textId="68524415" w:rsidR="006E04EF" w:rsidRPr="004C0A63" w:rsidRDefault="006E04EF" w:rsidP="007149CF">
            <w:pPr>
              <w:jc w:val="center"/>
            </w:pPr>
            <w:r>
              <w:t>June</w:t>
            </w:r>
            <w:r w:rsidRPr="004C0A63">
              <w:t xml:space="preserve"> 3</w:t>
            </w:r>
            <w:r>
              <w:t>0</w:t>
            </w:r>
            <w:r w:rsidRPr="004C0A63">
              <w:t>,</w:t>
            </w:r>
          </w:p>
          <w:p w14:paraId="59F406CC" w14:textId="77777777" w:rsidR="006E04EF" w:rsidRPr="004C0A63" w:rsidRDefault="006E04EF" w:rsidP="007149CF">
            <w:pPr>
              <w:jc w:val="center"/>
            </w:pPr>
            <w:r w:rsidRPr="004C0A63">
              <w:t>202</w:t>
            </w:r>
            <w:r>
              <w:t>4</w:t>
            </w:r>
          </w:p>
        </w:tc>
        <w:tc>
          <w:tcPr>
            <w:tcW w:w="1841" w:type="dxa"/>
            <w:tcBorders>
              <w:bottom w:val="single" w:sz="4" w:space="0" w:color="auto"/>
            </w:tcBorders>
          </w:tcPr>
          <w:p w14:paraId="01B59A2D" w14:textId="77777777" w:rsidR="006E04EF" w:rsidRPr="004C0A63" w:rsidRDefault="006E04EF" w:rsidP="007149CF">
            <w:pPr>
              <w:jc w:val="center"/>
            </w:pPr>
            <w:r w:rsidRPr="004C0A63">
              <w:t>December 31,</w:t>
            </w:r>
          </w:p>
          <w:p w14:paraId="2EE87090" w14:textId="77777777" w:rsidR="006E04EF" w:rsidRPr="004C0A63" w:rsidRDefault="006E04EF" w:rsidP="007149CF">
            <w:pPr>
              <w:jc w:val="center"/>
            </w:pPr>
            <w:r w:rsidRPr="004C0A63">
              <w:t>202</w:t>
            </w:r>
            <w:r>
              <w:t>3</w:t>
            </w:r>
          </w:p>
        </w:tc>
      </w:tr>
      <w:tr w:rsidR="006E04EF" w:rsidRPr="004C0A63" w14:paraId="68A5EFB0" w14:textId="77777777" w:rsidTr="00411635">
        <w:tc>
          <w:tcPr>
            <w:tcW w:w="6055" w:type="dxa"/>
          </w:tcPr>
          <w:p w14:paraId="102D1CF6" w14:textId="77777777" w:rsidR="006E04EF" w:rsidRPr="004C0A63" w:rsidRDefault="006E04EF" w:rsidP="007149CF">
            <w:pPr>
              <w:ind w:left="162"/>
            </w:pPr>
            <w:r>
              <w:t>Payroll-related liabilities</w:t>
            </w:r>
          </w:p>
        </w:tc>
        <w:tc>
          <w:tcPr>
            <w:tcW w:w="1842" w:type="dxa"/>
          </w:tcPr>
          <w:p w14:paraId="2DBCC17D" w14:textId="20D23B73" w:rsidR="006E04EF" w:rsidRPr="004C0A63" w:rsidRDefault="006E04EF" w:rsidP="007149CF">
            <w:pPr>
              <w:tabs>
                <w:tab w:val="decimal" w:pos="1199"/>
              </w:tabs>
            </w:pPr>
            <w:r w:rsidRPr="004C0A63">
              <w:t xml:space="preserve">$ </w:t>
            </w:r>
            <w:r w:rsidR="00411635">
              <w:t xml:space="preserve">   168,974</w:t>
            </w:r>
          </w:p>
        </w:tc>
        <w:tc>
          <w:tcPr>
            <w:tcW w:w="1841" w:type="dxa"/>
          </w:tcPr>
          <w:p w14:paraId="3D57B41F" w14:textId="77777777" w:rsidR="006E04EF" w:rsidRPr="004C0A63" w:rsidRDefault="006E04EF" w:rsidP="007149CF">
            <w:pPr>
              <w:tabs>
                <w:tab w:val="decimal" w:pos="1157"/>
              </w:tabs>
            </w:pPr>
            <w:r w:rsidRPr="004C0A63">
              <w:t xml:space="preserve">$ </w:t>
            </w:r>
            <w:r>
              <w:t>114,337</w:t>
            </w:r>
          </w:p>
        </w:tc>
      </w:tr>
      <w:tr w:rsidR="006E04EF" w:rsidRPr="007863FD" w14:paraId="07EF82EB" w14:textId="77777777" w:rsidTr="00411635">
        <w:tc>
          <w:tcPr>
            <w:tcW w:w="6055" w:type="dxa"/>
          </w:tcPr>
          <w:p w14:paraId="40E91864" w14:textId="191F476B" w:rsidR="006E04EF" w:rsidRPr="007863FD" w:rsidRDefault="00411635" w:rsidP="00411635">
            <w:pPr>
              <w:ind w:left="162"/>
            </w:pPr>
            <w:r>
              <w:t>Accrued clinical trial costs</w:t>
            </w:r>
          </w:p>
        </w:tc>
        <w:tc>
          <w:tcPr>
            <w:tcW w:w="1842" w:type="dxa"/>
          </w:tcPr>
          <w:p w14:paraId="49598BEB" w14:textId="59215004" w:rsidR="006E04EF" w:rsidRPr="007863FD" w:rsidRDefault="00411635" w:rsidP="007149CF">
            <w:pPr>
              <w:tabs>
                <w:tab w:val="decimal" w:pos="1199"/>
              </w:tabs>
            </w:pPr>
            <w:r>
              <w:t>351,460</w:t>
            </w:r>
          </w:p>
        </w:tc>
        <w:tc>
          <w:tcPr>
            <w:tcW w:w="1841" w:type="dxa"/>
          </w:tcPr>
          <w:p w14:paraId="0B599D2D" w14:textId="430440CD" w:rsidR="006E04EF" w:rsidRPr="007863FD" w:rsidRDefault="00411635" w:rsidP="007149CF">
            <w:pPr>
              <w:tabs>
                <w:tab w:val="decimal" w:pos="1157"/>
              </w:tabs>
            </w:pPr>
            <w:r>
              <w:t>490,635</w:t>
            </w:r>
          </w:p>
        </w:tc>
      </w:tr>
      <w:tr w:rsidR="00847A94" w:rsidRPr="007863FD" w14:paraId="29A06569" w14:textId="77777777" w:rsidTr="00411635">
        <w:tc>
          <w:tcPr>
            <w:tcW w:w="6055" w:type="dxa"/>
          </w:tcPr>
          <w:p w14:paraId="6CBF51F1" w14:textId="1150CC9E" w:rsidR="00847A94" w:rsidRDefault="00847A94" w:rsidP="00411635">
            <w:pPr>
              <w:ind w:left="162"/>
            </w:pPr>
            <w:r>
              <w:t xml:space="preserve">Accrued contract manufacturing costs </w:t>
            </w:r>
          </w:p>
        </w:tc>
        <w:tc>
          <w:tcPr>
            <w:tcW w:w="1842" w:type="dxa"/>
          </w:tcPr>
          <w:p w14:paraId="02B769DD" w14:textId="17E058CC" w:rsidR="00847A94" w:rsidRDefault="00847A94" w:rsidP="007149CF">
            <w:pPr>
              <w:tabs>
                <w:tab w:val="decimal" w:pos="1199"/>
              </w:tabs>
            </w:pPr>
            <w:r>
              <w:t>1,687,874</w:t>
            </w:r>
          </w:p>
        </w:tc>
        <w:tc>
          <w:tcPr>
            <w:tcW w:w="1841" w:type="dxa"/>
          </w:tcPr>
          <w:p w14:paraId="5164F88F" w14:textId="416BB3AA" w:rsidR="00847A94" w:rsidRDefault="00847A94" w:rsidP="007149CF">
            <w:pPr>
              <w:tabs>
                <w:tab w:val="decimal" w:pos="1157"/>
              </w:tabs>
            </w:pPr>
            <w:r>
              <w:t>-</w:t>
            </w:r>
          </w:p>
        </w:tc>
      </w:tr>
      <w:tr w:rsidR="00411635" w:rsidRPr="007863FD" w14:paraId="102E04EB" w14:textId="77777777" w:rsidTr="00411635">
        <w:tc>
          <w:tcPr>
            <w:tcW w:w="6055" w:type="dxa"/>
          </w:tcPr>
          <w:p w14:paraId="1D96DDE4" w14:textId="01CE32AD" w:rsidR="00411635" w:rsidRDefault="00411635" w:rsidP="00411635">
            <w:pPr>
              <w:ind w:left="162"/>
            </w:pPr>
            <w:r>
              <w:t>Other accrued expenses</w:t>
            </w:r>
          </w:p>
        </w:tc>
        <w:tc>
          <w:tcPr>
            <w:tcW w:w="1842" w:type="dxa"/>
            <w:tcBorders>
              <w:bottom w:val="single" w:sz="4" w:space="0" w:color="auto"/>
            </w:tcBorders>
          </w:tcPr>
          <w:p w14:paraId="3FCB2CEC" w14:textId="47F06EF2" w:rsidR="00411635" w:rsidRDefault="00847A94" w:rsidP="007149CF">
            <w:pPr>
              <w:tabs>
                <w:tab w:val="decimal" w:pos="1199"/>
              </w:tabs>
            </w:pPr>
            <w:r>
              <w:t>70,000</w:t>
            </w:r>
          </w:p>
        </w:tc>
        <w:tc>
          <w:tcPr>
            <w:tcW w:w="1841" w:type="dxa"/>
            <w:tcBorders>
              <w:bottom w:val="single" w:sz="4" w:space="0" w:color="auto"/>
            </w:tcBorders>
          </w:tcPr>
          <w:p w14:paraId="7087434E" w14:textId="7619C142" w:rsidR="00411635" w:rsidRDefault="00411635" w:rsidP="007149CF">
            <w:pPr>
              <w:tabs>
                <w:tab w:val="decimal" w:pos="1157"/>
              </w:tabs>
            </w:pPr>
            <w:r>
              <w:t>111,959</w:t>
            </w:r>
          </w:p>
        </w:tc>
      </w:tr>
      <w:tr w:rsidR="006E04EF" w:rsidRPr="004C0A63" w14:paraId="4CFD55D0" w14:textId="77777777" w:rsidTr="007149CF">
        <w:tc>
          <w:tcPr>
            <w:tcW w:w="6055" w:type="dxa"/>
          </w:tcPr>
          <w:p w14:paraId="0A7E345C" w14:textId="77777777" w:rsidR="006E04EF" w:rsidRPr="007863FD" w:rsidRDefault="006E04EF" w:rsidP="007149CF">
            <w:pPr>
              <w:ind w:left="162"/>
            </w:pPr>
            <w:r w:rsidRPr="007863FD">
              <w:t>Total accrued expenses</w:t>
            </w:r>
          </w:p>
        </w:tc>
        <w:tc>
          <w:tcPr>
            <w:tcW w:w="1842" w:type="dxa"/>
            <w:tcBorders>
              <w:top w:val="single" w:sz="4" w:space="0" w:color="auto"/>
              <w:bottom w:val="double" w:sz="4" w:space="0" w:color="auto"/>
            </w:tcBorders>
          </w:tcPr>
          <w:p w14:paraId="26AB6FBC" w14:textId="27BA5748" w:rsidR="006E04EF" w:rsidRPr="007863FD" w:rsidRDefault="006E04EF" w:rsidP="007149CF">
            <w:pPr>
              <w:tabs>
                <w:tab w:val="decimal" w:pos="1199"/>
              </w:tabs>
            </w:pPr>
            <w:r w:rsidRPr="007863FD">
              <w:t>$</w:t>
            </w:r>
            <w:r>
              <w:t xml:space="preserve"> </w:t>
            </w:r>
            <w:r w:rsidR="00411635">
              <w:t>2,278,308</w:t>
            </w:r>
          </w:p>
        </w:tc>
        <w:tc>
          <w:tcPr>
            <w:tcW w:w="1841" w:type="dxa"/>
            <w:tcBorders>
              <w:top w:val="single" w:sz="4" w:space="0" w:color="auto"/>
              <w:bottom w:val="double" w:sz="4" w:space="0" w:color="auto"/>
            </w:tcBorders>
          </w:tcPr>
          <w:p w14:paraId="19EA4F9F" w14:textId="77777777" w:rsidR="006E04EF" w:rsidRPr="004C0A63" w:rsidRDefault="006E04EF" w:rsidP="007149CF">
            <w:pPr>
              <w:tabs>
                <w:tab w:val="decimal" w:pos="1157"/>
              </w:tabs>
            </w:pPr>
            <w:r w:rsidRPr="007863FD">
              <w:t xml:space="preserve">$ </w:t>
            </w:r>
            <w:r>
              <w:t>716,931</w:t>
            </w:r>
          </w:p>
        </w:tc>
      </w:tr>
    </w:tbl>
    <w:p w14:paraId="058E46DE" w14:textId="77777777" w:rsidR="0081257D" w:rsidRDefault="0081257D" w:rsidP="000A55AE">
      <w:pPr>
        <w:pStyle w:val="BodyText"/>
        <w:spacing w:after="0"/>
      </w:pPr>
    </w:p>
    <w:p w14:paraId="1D4CBB4E" w14:textId="5F082620" w:rsidR="00320EAE" w:rsidRPr="001C6303" w:rsidRDefault="0090404A" w:rsidP="00320EAE">
      <w:pPr>
        <w:pStyle w:val="ListNumbering"/>
        <w:spacing w:after="0"/>
      </w:pPr>
      <w:bookmarkStart w:id="15" w:name="_Hlk171696068"/>
      <w:r>
        <w:t>4</w:t>
      </w:r>
      <w:r w:rsidR="00320EAE" w:rsidRPr="00CA6DDA">
        <w:t>.</w:t>
      </w:r>
      <w:r w:rsidR="00320EAE" w:rsidRPr="00CA6DDA">
        <w:tab/>
      </w:r>
      <w:r w:rsidR="00320EAE">
        <w:t>Notes Payable</w:t>
      </w:r>
      <w:r w:rsidR="0010035E">
        <w:t xml:space="preserve"> – Related Parties</w:t>
      </w:r>
    </w:p>
    <w:p w14:paraId="784558BB" w14:textId="77777777" w:rsidR="00320EAE" w:rsidRDefault="00320EAE" w:rsidP="000A55AE">
      <w:pPr>
        <w:pStyle w:val="BodyText"/>
        <w:spacing w:after="0"/>
      </w:pPr>
    </w:p>
    <w:p w14:paraId="5761136E" w14:textId="29DE2619" w:rsidR="0010035E" w:rsidRDefault="00320EAE" w:rsidP="0010035E">
      <w:pPr>
        <w:pStyle w:val="BodyText"/>
        <w:spacing w:after="0"/>
      </w:pPr>
      <w:bookmarkStart w:id="16" w:name="_Hlk165968398"/>
      <w:bookmarkStart w:id="17" w:name="_Hlk172204430"/>
      <w:r>
        <w:t xml:space="preserve">On May 10, 2024, we </w:t>
      </w:r>
      <w:r w:rsidR="0010035E">
        <w:t>issued</w:t>
      </w:r>
      <w:r>
        <w:t xml:space="preserve"> 10% Original Issue Discount Promissory Notes (the “Notes”) with an aggregate principal amount of $150,000 to members of our Board of Directors and </w:t>
      </w:r>
      <w:bookmarkEnd w:id="15"/>
      <w:r>
        <w:t>senior management</w:t>
      </w:r>
      <w:r w:rsidR="0010035E">
        <w:t>, in exchange for gross cash proceeds to us of $135,000</w:t>
      </w:r>
      <w:r>
        <w:t>. The Notes are unsecured, bear interest at a rate of 15% per annum, and mature upon the earlier of (i) six months from the issue date or (ii) three days following the date the Company completes an offering of its common stock with gross proceeds of not less than $5 million</w:t>
      </w:r>
      <w:r w:rsidR="0010035E">
        <w:t>.</w:t>
      </w:r>
      <w:bookmarkEnd w:id="16"/>
      <w:r w:rsidR="0010035E">
        <w:t xml:space="preserve"> We recorded a total </w:t>
      </w:r>
      <w:r w:rsidR="00C47900">
        <w:t xml:space="preserve">debt discount </w:t>
      </w:r>
      <w:r w:rsidR="0010035E">
        <w:t>of $15,000 upon the issuance of the Notes.</w:t>
      </w:r>
      <w:bookmarkStart w:id="18" w:name="_Hlk45565939"/>
      <w:r w:rsidR="0010035E" w:rsidRPr="0010035E">
        <w:t xml:space="preserve"> </w:t>
      </w:r>
      <w:r w:rsidR="0010035E">
        <w:t>Interest expense associated with the Notes was $</w:t>
      </w:r>
      <w:r w:rsidR="00C47900">
        <w:t>7,292</w:t>
      </w:r>
      <w:r w:rsidR="0010035E">
        <w:t xml:space="preserve"> for the three-month period ended June 30, 2024, consisting of </w:t>
      </w:r>
      <w:r w:rsidR="00C47900">
        <w:t>$4,167</w:t>
      </w:r>
      <w:r w:rsidR="0010035E">
        <w:t xml:space="preserve"> of debt discount amortization and $</w:t>
      </w:r>
      <w:r w:rsidR="00C47900">
        <w:t>3,125</w:t>
      </w:r>
      <w:r w:rsidR="0010035E">
        <w:t xml:space="preserve"> of accrued interest payable</w:t>
      </w:r>
      <w:bookmarkEnd w:id="18"/>
      <w:r w:rsidR="0010035E">
        <w:t xml:space="preserve">. </w:t>
      </w:r>
    </w:p>
    <w:bookmarkEnd w:id="17"/>
    <w:p w14:paraId="2636A3AB" w14:textId="77777777" w:rsidR="0010035E" w:rsidRDefault="0010035E" w:rsidP="000A55AE">
      <w:pPr>
        <w:pStyle w:val="BodyText"/>
        <w:spacing w:after="0"/>
      </w:pPr>
    </w:p>
    <w:p w14:paraId="2D51CE8D" w14:textId="05956CD8" w:rsidR="00C33214" w:rsidRPr="001C6303" w:rsidRDefault="0090404A" w:rsidP="00C33214">
      <w:pPr>
        <w:pStyle w:val="ListNumbering"/>
        <w:spacing w:after="0"/>
      </w:pPr>
      <w:bookmarkStart w:id="19" w:name="_Toc197922410"/>
      <w:r>
        <w:t>5</w:t>
      </w:r>
      <w:r w:rsidR="00C33214" w:rsidRPr="00CA6DDA">
        <w:t>.</w:t>
      </w:r>
      <w:r w:rsidR="00C33214" w:rsidRPr="00CA6DDA">
        <w:tab/>
        <w:t>Commitments</w:t>
      </w:r>
    </w:p>
    <w:p w14:paraId="366DCAC5" w14:textId="281D1709" w:rsidR="00C33214" w:rsidRDefault="00C33214" w:rsidP="00C33214">
      <w:pPr>
        <w:pStyle w:val="BodyText"/>
        <w:spacing w:after="0"/>
      </w:pPr>
    </w:p>
    <w:p w14:paraId="539107BD" w14:textId="18BAE423" w:rsidR="00F461F3" w:rsidRPr="006E04EF" w:rsidRDefault="00F461F3" w:rsidP="00F461F3">
      <w:pPr>
        <w:rPr>
          <w:i/>
        </w:rPr>
      </w:pPr>
      <w:r>
        <w:rPr>
          <w:i/>
        </w:rPr>
        <w:t>Operating Lease</w:t>
      </w:r>
      <w:r w:rsidR="006E04EF">
        <w:rPr>
          <w:i/>
        </w:rPr>
        <w:t xml:space="preserve">.  </w:t>
      </w:r>
      <w:r>
        <w:t xml:space="preserve">We lease approximately 8,400 square feet of office and laboratory space pursuant to an operating lease which expires on December 31, 2025. </w:t>
      </w:r>
      <w:r w:rsidR="00775D2C" w:rsidRPr="00775D2C">
        <w:t xml:space="preserve">Rent </w:t>
      </w:r>
      <w:proofErr w:type="gramStart"/>
      <w:r w:rsidR="00775D2C" w:rsidRPr="00775D2C">
        <w:t>expense</w:t>
      </w:r>
      <w:proofErr w:type="gramEnd"/>
      <w:r w:rsidR="00775D2C" w:rsidRPr="00775D2C">
        <w:t xml:space="preserve"> for the three-month </w:t>
      </w:r>
      <w:r w:rsidR="00FE5DE0">
        <w:t xml:space="preserve">and six-month </w:t>
      </w:r>
      <w:r w:rsidR="00775D2C" w:rsidRPr="00775D2C">
        <w:t xml:space="preserve">periods ended </w:t>
      </w:r>
      <w:r w:rsidR="00FE5DE0">
        <w:t>June</w:t>
      </w:r>
      <w:r w:rsidR="00775D2C" w:rsidRPr="00775D2C">
        <w:t xml:space="preserve"> 3</w:t>
      </w:r>
      <w:r w:rsidR="00FE5DE0">
        <w:t>0</w:t>
      </w:r>
      <w:r w:rsidR="00775D2C" w:rsidRPr="00775D2C">
        <w:t xml:space="preserve">, </w:t>
      </w:r>
      <w:proofErr w:type="gramStart"/>
      <w:r w:rsidR="00775D2C" w:rsidRPr="00775D2C">
        <w:t>202</w:t>
      </w:r>
      <w:r w:rsidR="006E04EF">
        <w:t>4</w:t>
      </w:r>
      <w:proofErr w:type="gramEnd"/>
      <w:r w:rsidR="00775D2C" w:rsidRPr="00775D2C">
        <w:t xml:space="preserve"> was $</w:t>
      </w:r>
      <w:r w:rsidR="004C179D">
        <w:t>46,764</w:t>
      </w:r>
      <w:r w:rsidR="00775D2C" w:rsidRPr="00775D2C">
        <w:t xml:space="preserve"> and $</w:t>
      </w:r>
      <w:r w:rsidR="004C179D">
        <w:t>93,528</w:t>
      </w:r>
      <w:r w:rsidR="00775D2C" w:rsidRPr="00775D2C">
        <w:t>, respectively</w:t>
      </w:r>
      <w:r w:rsidR="00FE5DE0">
        <w:t xml:space="preserve">, as compared to </w:t>
      </w:r>
      <w:r w:rsidR="00FE5DE0">
        <w:rPr>
          <w:rFonts w:ascii="CG Times (WN)" w:hAnsi="CG Times (WN)"/>
        </w:rPr>
        <w:t>$</w:t>
      </w:r>
      <w:r w:rsidR="006E04EF">
        <w:rPr>
          <w:rFonts w:ascii="CG Times (WN)" w:hAnsi="CG Times (WN)"/>
        </w:rPr>
        <w:t>45,414</w:t>
      </w:r>
      <w:r w:rsidR="00FE5DE0">
        <w:rPr>
          <w:rFonts w:ascii="CG Times (WN)" w:hAnsi="CG Times (WN)"/>
        </w:rPr>
        <w:t xml:space="preserve"> and $</w:t>
      </w:r>
      <w:r w:rsidR="006E04EF">
        <w:rPr>
          <w:rFonts w:ascii="CG Times (WN)" w:hAnsi="CG Times (WN)"/>
        </w:rPr>
        <w:t>90,828</w:t>
      </w:r>
      <w:r w:rsidR="00FE5DE0">
        <w:rPr>
          <w:rFonts w:ascii="CG Times (WN)" w:hAnsi="CG Times (WN)"/>
        </w:rPr>
        <w:t>, respectively, for the same periods of 202</w:t>
      </w:r>
      <w:r w:rsidR="006E04EF">
        <w:rPr>
          <w:rFonts w:ascii="CG Times (WN)" w:hAnsi="CG Times (WN)"/>
        </w:rPr>
        <w:t>3</w:t>
      </w:r>
      <w:r w:rsidR="00FE5DE0">
        <w:rPr>
          <w:rFonts w:ascii="CG Times (WN)" w:hAnsi="CG Times (WN)"/>
        </w:rPr>
        <w:t>.</w:t>
      </w:r>
      <w:r w:rsidR="00775D2C" w:rsidRPr="00775D2C">
        <w:t xml:space="preserve"> </w:t>
      </w:r>
      <w:r>
        <w:t>Future minimum lease payments total $</w:t>
      </w:r>
      <w:r w:rsidR="004C179D">
        <w:t>93,528</w:t>
      </w:r>
      <w:r>
        <w:t xml:space="preserve"> in 2024, and $19</w:t>
      </w:r>
      <w:r w:rsidR="00DD73A5">
        <w:t>2,708</w:t>
      </w:r>
      <w:r>
        <w:t xml:space="preserve"> in 2025 although the lease may be terminated at any time by either party with one hundred eighty days written notice. </w:t>
      </w:r>
    </w:p>
    <w:p w14:paraId="7DE2B326" w14:textId="77777777" w:rsidR="00F461F3" w:rsidRDefault="00F461F3" w:rsidP="00F461F3">
      <w:pPr>
        <w:rPr>
          <w:bCs/>
        </w:rPr>
      </w:pPr>
    </w:p>
    <w:p w14:paraId="7CFFC2AB" w14:textId="7A6BB065" w:rsidR="00F461F3" w:rsidRPr="006E04EF" w:rsidRDefault="00F461F3" w:rsidP="00F461F3">
      <w:pPr>
        <w:rPr>
          <w:bCs/>
          <w:i/>
          <w:iCs/>
        </w:rPr>
      </w:pPr>
      <w:r>
        <w:rPr>
          <w:bCs/>
          <w:i/>
          <w:iCs/>
        </w:rPr>
        <w:t>License Agreements</w:t>
      </w:r>
      <w:r w:rsidR="006E04EF">
        <w:rPr>
          <w:bCs/>
          <w:i/>
          <w:iCs/>
        </w:rPr>
        <w:t xml:space="preserve">.  </w:t>
      </w:r>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00AF7C6C" w:rsidRPr="00AF7C6C">
        <w:t xml:space="preserve"> </w:t>
      </w:r>
      <w:r w:rsidR="00AF7C6C" w:rsidRPr="003F7D9B">
        <w:t xml:space="preserve">Due to the uncertainty of the achievement and timing of the </w:t>
      </w:r>
      <w:r w:rsidR="00AF7C6C">
        <w:t xml:space="preserve">contingent </w:t>
      </w:r>
      <w:r w:rsidR="00AF7C6C" w:rsidRPr="003F7D9B">
        <w:t>events requiring payment under these agreements, the amounts to be paid by us</w:t>
      </w:r>
      <w:r w:rsidR="00AF7C6C">
        <w:t xml:space="preserve"> in the future</w:t>
      </w:r>
      <w:r w:rsidR="00AF7C6C" w:rsidRPr="003F7D9B">
        <w:t xml:space="preserve"> are not determinable</w:t>
      </w:r>
      <w:r w:rsidR="00AF7C6C">
        <w:t>.</w:t>
      </w:r>
    </w:p>
    <w:p w14:paraId="7ADC22B6" w14:textId="77777777" w:rsidR="00F461F3" w:rsidRDefault="00F461F3" w:rsidP="00F461F3"/>
    <w:p w14:paraId="6A2CA56A" w14:textId="6815B1A4" w:rsidR="00F461F3" w:rsidRPr="006E04EF" w:rsidRDefault="00F461F3" w:rsidP="00F461F3">
      <w:pPr>
        <w:rPr>
          <w:bCs/>
        </w:rPr>
      </w:pPr>
      <w:r>
        <w:rPr>
          <w:bCs/>
          <w:i/>
          <w:iCs/>
        </w:rPr>
        <w:t>Other Commitments</w:t>
      </w:r>
      <w:r w:rsidR="006E04EF">
        <w:rPr>
          <w:bCs/>
        </w:rPr>
        <w:t xml:space="preserve">.  </w:t>
      </w:r>
      <w:r>
        <w:t xml:space="preserve">In the normal course of </w:t>
      </w:r>
      <w:r w:rsidR="00775D2C">
        <w:t>business,</w:t>
      </w:r>
      <w:r>
        <w:t xml:space="preserve"> we enter into various contracts and purchase commitments including those with contract research organizations (“CROs”) </w:t>
      </w:r>
      <w:r w:rsidR="00CC7B89">
        <w:t>for clinical trial services,</w:t>
      </w:r>
      <w:r>
        <w:t xml:space="preserve"> </w:t>
      </w:r>
      <w:r>
        <w:rPr>
          <w:bCs/>
        </w:rPr>
        <w:t xml:space="preserve">contract manufacturing organizations (“CMOs”) </w:t>
      </w:r>
      <w:r>
        <w:t>for production of</w:t>
      </w:r>
      <w:r>
        <w:rPr>
          <w:bCs/>
        </w:rPr>
        <w:t xml:space="preserve"> materials for use in our clinical trials</w:t>
      </w:r>
      <w:r w:rsidR="00CC7B89">
        <w:rPr>
          <w:bCs/>
        </w:rPr>
        <w:t>, and other independent contractors</w:t>
      </w:r>
      <w:r w:rsidR="007814FB">
        <w:rPr>
          <w:bCs/>
        </w:rPr>
        <w:t xml:space="preserve"> or academic institutions</w:t>
      </w:r>
      <w:r w:rsidR="00CC7B89">
        <w:rPr>
          <w:bCs/>
        </w:rPr>
        <w:t xml:space="preserve"> for preclinical research activities and other services and products</w:t>
      </w:r>
      <w:r>
        <w:rPr>
          <w:bCs/>
        </w:rPr>
        <w:t xml:space="preserve">. Most contracts are generally </w:t>
      </w:r>
      <w:proofErr w:type="gramStart"/>
      <w:r>
        <w:rPr>
          <w:bCs/>
        </w:rPr>
        <w:t>cancellable</w:t>
      </w:r>
      <w:proofErr w:type="gramEnd"/>
      <w:r>
        <w:rPr>
          <w:bCs/>
        </w:rPr>
        <w:t xml:space="preserve">, with notice, at the Company’s option. </w:t>
      </w:r>
      <w:r>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2EF779F7" w14:textId="73A81D20" w:rsidR="00C33214" w:rsidRDefault="0090404A" w:rsidP="00C33214">
      <w:pPr>
        <w:pStyle w:val="ListNumbering"/>
        <w:spacing w:after="0"/>
      </w:pPr>
      <w:r>
        <w:t>6</w:t>
      </w:r>
      <w:r w:rsidR="00C33214" w:rsidRPr="00B935E6">
        <w:t>.</w:t>
      </w:r>
      <w:r w:rsidR="00C33214" w:rsidRPr="00B935E6">
        <w:tab/>
        <w:t>Stockholders’ Equity</w:t>
      </w:r>
    </w:p>
    <w:p w14:paraId="670EC335" w14:textId="77777777" w:rsidR="00C33214" w:rsidRDefault="00C33214" w:rsidP="00C33214">
      <w:pPr>
        <w:pStyle w:val="BodyTitle"/>
        <w:spacing w:after="0"/>
      </w:pPr>
    </w:p>
    <w:p w14:paraId="2C2D068E" w14:textId="77777777" w:rsidR="006E04EF" w:rsidRPr="00E457A0" w:rsidRDefault="006E04EF" w:rsidP="006E04EF">
      <w:pPr>
        <w:suppressAutoHyphens/>
        <w:spacing w:line="240" w:lineRule="exact"/>
        <w:rPr>
          <w:i/>
          <w:iCs/>
        </w:rPr>
      </w:pPr>
      <w:r w:rsidRPr="00E457A0">
        <w:rPr>
          <w:i/>
          <w:iCs/>
        </w:rPr>
        <w:t>Reverse Stock Split and Reduction of Authorized Shares of Common Stock</w:t>
      </w:r>
    </w:p>
    <w:p w14:paraId="56614D1A" w14:textId="77777777" w:rsidR="006E04EF" w:rsidRPr="00E457A0" w:rsidRDefault="006E04EF" w:rsidP="006E04EF">
      <w:pPr>
        <w:suppressAutoHyphens/>
        <w:spacing w:line="240" w:lineRule="exact"/>
      </w:pPr>
    </w:p>
    <w:p w14:paraId="6DD7D547" w14:textId="77777777" w:rsidR="006E04EF" w:rsidRPr="00E457A0" w:rsidRDefault="006E04EF" w:rsidP="006E04EF">
      <w:pPr>
        <w:suppressAutoHyphens/>
        <w:spacing w:line="240" w:lineRule="exact"/>
      </w:pPr>
      <w:r w:rsidRPr="00E457A0">
        <w:t xml:space="preserve">At a special meeting of our stockholders held on January 16, 2024, our stockholders approved an amendment to our certificate of incorporation to (i) reduce our authorized shares of common stock from 600,000,000 to 150,000,000 and (ii) effect a one-for-fifteen reverse split of our common stock. The amendment to our certificate of incorporation was filed with the Delaware Secretary of State on January 30, </w:t>
      </w:r>
      <w:proofErr w:type="gramStart"/>
      <w:r w:rsidRPr="00E457A0">
        <w:t>2024</w:t>
      </w:r>
      <w:proofErr w:type="gramEnd"/>
      <w:r w:rsidRPr="00E457A0">
        <w:t xml:space="preserve"> and our common stock began trading on the split-adjusted basis on January 31, 2024</w:t>
      </w:r>
      <w:r>
        <w:t xml:space="preserve">. </w:t>
      </w:r>
      <w:r w:rsidRPr="00E457A0">
        <w:t>The accompanying consolidated financial statements, and all share and per share information contained herein, have been retroactively restated to reflect the reverse stock split.</w:t>
      </w:r>
    </w:p>
    <w:p w14:paraId="3ACCC99A" w14:textId="77777777" w:rsidR="006E04EF" w:rsidRDefault="006E04EF" w:rsidP="00C33214">
      <w:pPr>
        <w:pStyle w:val="BodyTitle"/>
        <w:spacing w:after="0"/>
      </w:pPr>
    </w:p>
    <w:p w14:paraId="7D3BC96A" w14:textId="77777777" w:rsidR="00211117" w:rsidRDefault="00475DE6" w:rsidP="00475DE6">
      <w:pPr>
        <w:pStyle w:val="BodyTitle"/>
        <w:spacing w:after="0"/>
        <w:rPr>
          <w:rFonts w:eastAsia="Times New Roman"/>
          <w:i/>
          <w:iCs/>
          <w:u w:val="none"/>
        </w:rPr>
      </w:pPr>
      <w:bookmarkStart w:id="20" w:name="_Hlk172020223"/>
      <w:r>
        <w:rPr>
          <w:rFonts w:eastAsia="Times New Roman"/>
          <w:i/>
          <w:iCs/>
          <w:u w:val="none"/>
        </w:rPr>
        <w:t>May 2024 Offering</w:t>
      </w:r>
    </w:p>
    <w:p w14:paraId="2E9336DE" w14:textId="77777777" w:rsidR="00211117" w:rsidRDefault="00211117" w:rsidP="00475DE6">
      <w:pPr>
        <w:pStyle w:val="BodyTitle"/>
        <w:spacing w:after="0"/>
        <w:rPr>
          <w:rFonts w:eastAsia="Times New Roman"/>
          <w:i/>
          <w:iCs/>
          <w:u w:val="none"/>
        </w:rPr>
      </w:pPr>
    </w:p>
    <w:p w14:paraId="68FC7EFB" w14:textId="53FA159D" w:rsidR="00475DE6" w:rsidRDefault="00475DE6" w:rsidP="00475DE6">
      <w:pPr>
        <w:pStyle w:val="BodyTitle"/>
        <w:spacing w:after="0"/>
        <w:rPr>
          <w:bCs/>
          <w:u w:val="none"/>
        </w:rPr>
      </w:pPr>
      <w:r>
        <w:rPr>
          <w:u w:val="none"/>
        </w:rPr>
        <w:t xml:space="preserve">On May 21, 2024, we closed a registered direct offering of </w:t>
      </w:r>
      <w:r>
        <w:rPr>
          <w:bCs/>
          <w:u w:val="none"/>
        </w:rPr>
        <w:t>220,000 shares of common stock and pre-funded warrants to purchase an aggregate of 582,844 shares of common stock (the “May 2024 Pre-Funded Warrants”)</w:t>
      </w:r>
      <w:r w:rsidR="00211117">
        <w:rPr>
          <w:bCs/>
          <w:u w:val="none"/>
        </w:rPr>
        <w:t xml:space="preserve">. In a concurrent private placement, we issued common warrants to the purchaser </w:t>
      </w:r>
      <w:r>
        <w:rPr>
          <w:bCs/>
          <w:u w:val="none"/>
        </w:rPr>
        <w:t xml:space="preserve">to purchase up to </w:t>
      </w:r>
      <w:r w:rsidR="00211117">
        <w:rPr>
          <w:bCs/>
          <w:u w:val="none"/>
        </w:rPr>
        <w:t>1,605,688</w:t>
      </w:r>
      <w:r>
        <w:rPr>
          <w:bCs/>
          <w:u w:val="none"/>
        </w:rPr>
        <w:t xml:space="preserve"> shares of common stock at an exercise price of $1.6</w:t>
      </w:r>
      <w:r w:rsidR="00211117">
        <w:rPr>
          <w:bCs/>
          <w:u w:val="none"/>
        </w:rPr>
        <w:t>8</w:t>
      </w:r>
      <w:r>
        <w:rPr>
          <w:bCs/>
          <w:u w:val="none"/>
        </w:rPr>
        <w:t xml:space="preserve"> per share (the “May 202</w:t>
      </w:r>
      <w:r w:rsidR="00211117">
        <w:rPr>
          <w:bCs/>
          <w:u w:val="none"/>
        </w:rPr>
        <w:t>4</w:t>
      </w:r>
      <w:r>
        <w:rPr>
          <w:bCs/>
          <w:u w:val="none"/>
        </w:rPr>
        <w:t xml:space="preserve"> </w:t>
      </w:r>
      <w:r w:rsidR="00211117">
        <w:rPr>
          <w:bCs/>
          <w:u w:val="none"/>
        </w:rPr>
        <w:t>Common Warrants</w:t>
      </w:r>
      <w:r>
        <w:rPr>
          <w:bCs/>
          <w:u w:val="none"/>
        </w:rPr>
        <w:t xml:space="preserve">”). </w:t>
      </w:r>
      <w:r>
        <w:rPr>
          <w:u w:val="none"/>
        </w:rPr>
        <w:t xml:space="preserve">Net proceeds after deducting placement agent commissions and other offering expenses were approximately </w:t>
      </w:r>
      <w:r w:rsidR="00211117">
        <w:rPr>
          <w:u w:val="none"/>
        </w:rPr>
        <w:t>$</w:t>
      </w:r>
      <w:r w:rsidR="00ED6E67">
        <w:rPr>
          <w:u w:val="none"/>
        </w:rPr>
        <w:t>1.2</w:t>
      </w:r>
      <w:r>
        <w:rPr>
          <w:u w:val="none"/>
        </w:rPr>
        <w:t xml:space="preserve"> million.</w:t>
      </w:r>
      <w:r>
        <w:rPr>
          <w:bCs/>
          <w:u w:val="none"/>
        </w:rPr>
        <w:t xml:space="preserve"> </w:t>
      </w:r>
      <w:r w:rsidR="00A76736">
        <w:rPr>
          <w:bCs/>
          <w:u w:val="none"/>
        </w:rPr>
        <w:t>As noted under “</w:t>
      </w:r>
      <w:r w:rsidR="00A76736" w:rsidRPr="00A76736">
        <w:rPr>
          <w:bCs/>
          <w:i/>
          <w:iCs/>
          <w:u w:val="none"/>
        </w:rPr>
        <w:t>Warrant Exercises</w:t>
      </w:r>
      <w:r w:rsidR="00A76736">
        <w:rPr>
          <w:bCs/>
          <w:u w:val="none"/>
        </w:rPr>
        <w:t>” below, t</w:t>
      </w:r>
      <w:r>
        <w:rPr>
          <w:bCs/>
          <w:u w:val="none"/>
        </w:rPr>
        <w:t>he May 202</w:t>
      </w:r>
      <w:r w:rsidR="00211117">
        <w:rPr>
          <w:bCs/>
          <w:u w:val="none"/>
        </w:rPr>
        <w:t>4</w:t>
      </w:r>
      <w:r>
        <w:rPr>
          <w:bCs/>
          <w:u w:val="none"/>
        </w:rPr>
        <w:t xml:space="preserve"> Pre-Funded Warrants were exercised </w:t>
      </w:r>
      <w:r w:rsidR="00211117">
        <w:rPr>
          <w:bCs/>
          <w:u w:val="none"/>
        </w:rPr>
        <w:t>in full</w:t>
      </w:r>
      <w:r>
        <w:rPr>
          <w:bCs/>
          <w:u w:val="none"/>
        </w:rPr>
        <w:t xml:space="preserve"> during June 202</w:t>
      </w:r>
      <w:r w:rsidR="00211117">
        <w:rPr>
          <w:bCs/>
          <w:u w:val="none"/>
        </w:rPr>
        <w:t>4.</w:t>
      </w:r>
    </w:p>
    <w:bookmarkEnd w:id="20"/>
    <w:p w14:paraId="39A0620A" w14:textId="77777777" w:rsidR="00475DE6" w:rsidRDefault="00475DE6" w:rsidP="00475DE6">
      <w:pPr>
        <w:pStyle w:val="BodyTitle"/>
        <w:spacing w:after="0"/>
        <w:rPr>
          <w:bCs/>
          <w:u w:val="none"/>
        </w:rPr>
      </w:pPr>
    </w:p>
    <w:p w14:paraId="1088A7CC" w14:textId="1FD2EDF6" w:rsidR="00211117" w:rsidRDefault="00211117" w:rsidP="00211117">
      <w:pPr>
        <w:pStyle w:val="BodyTitle"/>
        <w:spacing w:after="0"/>
        <w:rPr>
          <w:rFonts w:eastAsia="Times New Roman"/>
          <w:i/>
          <w:iCs/>
          <w:u w:val="none"/>
        </w:rPr>
      </w:pPr>
      <w:r>
        <w:rPr>
          <w:rFonts w:eastAsia="Times New Roman"/>
          <w:i/>
          <w:iCs/>
          <w:u w:val="none"/>
        </w:rPr>
        <w:t>Warrant Exercises</w:t>
      </w:r>
    </w:p>
    <w:p w14:paraId="6599E4F8" w14:textId="77777777" w:rsidR="00211117" w:rsidRPr="00211117" w:rsidRDefault="00211117" w:rsidP="00211117">
      <w:pPr>
        <w:pStyle w:val="BodyTitle"/>
        <w:spacing w:after="0"/>
        <w:rPr>
          <w:rFonts w:eastAsia="Times New Roman"/>
          <w:i/>
          <w:iCs/>
          <w:u w:val="none"/>
        </w:rPr>
      </w:pPr>
    </w:p>
    <w:p w14:paraId="72473D49" w14:textId="6DDD26EF" w:rsidR="00211117" w:rsidRPr="00211117" w:rsidRDefault="00211117" w:rsidP="00C33214">
      <w:pPr>
        <w:pStyle w:val="BodyTitle"/>
        <w:spacing w:after="0"/>
        <w:rPr>
          <w:u w:val="none"/>
        </w:rPr>
      </w:pPr>
      <w:r>
        <w:rPr>
          <w:u w:val="none"/>
        </w:rPr>
        <w:t>During the first quarter of</w:t>
      </w:r>
      <w:r w:rsidRPr="00211117">
        <w:rPr>
          <w:u w:val="none"/>
        </w:rPr>
        <w:t xml:space="preserve"> 2024, we issued </w:t>
      </w:r>
      <w:r w:rsidR="00A76736">
        <w:rPr>
          <w:u w:val="none"/>
        </w:rPr>
        <w:t>269,032</w:t>
      </w:r>
      <w:r w:rsidRPr="00211117">
        <w:rPr>
          <w:u w:val="none"/>
        </w:rPr>
        <w:t xml:space="preserve"> shares of our common stock</w:t>
      </w:r>
      <w:r w:rsidR="00A76736">
        <w:rPr>
          <w:u w:val="none"/>
        </w:rPr>
        <w:t xml:space="preserve"> upon</w:t>
      </w:r>
      <w:r w:rsidRPr="00211117">
        <w:rPr>
          <w:u w:val="none"/>
        </w:rPr>
        <w:t xml:space="preserve"> the exercise of prefunded warrants</w:t>
      </w:r>
      <w:r w:rsidR="00A76736">
        <w:rPr>
          <w:u w:val="none"/>
        </w:rPr>
        <w:t xml:space="preserve"> issued in December 2023</w:t>
      </w:r>
      <w:r w:rsidR="004866E4">
        <w:rPr>
          <w:u w:val="none"/>
        </w:rPr>
        <w:t xml:space="preserve"> (the “December 2023 Pre-Funded Warrants”)</w:t>
      </w:r>
      <w:r w:rsidR="00A76736">
        <w:rPr>
          <w:u w:val="none"/>
        </w:rPr>
        <w:t xml:space="preserve">. During June 2024, we issued 238,000 and 582,844 shares of our common stock upon the exercise of the </w:t>
      </w:r>
      <w:r w:rsidR="004866E4">
        <w:rPr>
          <w:u w:val="none"/>
        </w:rPr>
        <w:t xml:space="preserve">December 2023 Pre-Funded Warrants and the </w:t>
      </w:r>
      <w:r w:rsidR="00A76736">
        <w:rPr>
          <w:u w:val="none"/>
        </w:rPr>
        <w:t>May 2024 Pre-Funded Warrants</w:t>
      </w:r>
      <w:r w:rsidR="004866E4">
        <w:rPr>
          <w:u w:val="none"/>
        </w:rPr>
        <w:t xml:space="preserve">, respectively; and 2,549 shares of our common stock upon the cashless exercise of </w:t>
      </w:r>
      <w:r w:rsidR="00C744F8">
        <w:rPr>
          <w:u w:val="none"/>
        </w:rPr>
        <w:t xml:space="preserve">4,000 </w:t>
      </w:r>
      <w:r w:rsidR="004866E4">
        <w:rPr>
          <w:u w:val="none"/>
        </w:rPr>
        <w:t>warrants issued in June 2020.</w:t>
      </w:r>
      <w:r w:rsidR="00A76736">
        <w:rPr>
          <w:u w:val="none"/>
        </w:rPr>
        <w:t xml:space="preserve"> </w:t>
      </w:r>
      <w:proofErr w:type="gramStart"/>
      <w:r w:rsidR="00A76736">
        <w:rPr>
          <w:u w:val="none"/>
        </w:rPr>
        <w:t>Also</w:t>
      </w:r>
      <w:proofErr w:type="gramEnd"/>
      <w:r w:rsidR="00A76736">
        <w:rPr>
          <w:u w:val="none"/>
        </w:rPr>
        <w:t xml:space="preserve"> during June 2024, we issued 826,998 shares of our common stock upon the exercise of common warrants issued in December 2023, with net cash proceeds to us of approximately $</w:t>
      </w:r>
      <w:r w:rsidR="00ED6E67">
        <w:rPr>
          <w:u w:val="none"/>
        </w:rPr>
        <w:t>1.4</w:t>
      </w:r>
      <w:r w:rsidR="00A76736">
        <w:rPr>
          <w:u w:val="none"/>
        </w:rPr>
        <w:t xml:space="preserve"> million.</w:t>
      </w:r>
    </w:p>
    <w:p w14:paraId="11B91429" w14:textId="77777777" w:rsidR="00211117" w:rsidRPr="00211117" w:rsidRDefault="00211117" w:rsidP="00C33214">
      <w:pPr>
        <w:pStyle w:val="BodyTitle"/>
        <w:spacing w:after="0"/>
        <w:rPr>
          <w:u w:val="none"/>
        </w:rPr>
      </w:pPr>
    </w:p>
    <w:p w14:paraId="5007A7A2" w14:textId="0286FA30" w:rsidR="003963E0" w:rsidRDefault="00211117" w:rsidP="00C33214">
      <w:pPr>
        <w:jc w:val="both"/>
      </w:pPr>
      <w:r>
        <w:rPr>
          <w:i/>
          <w:iCs/>
        </w:rPr>
        <w:t xml:space="preserve">Other </w:t>
      </w:r>
      <w:r w:rsidR="00C33214" w:rsidRPr="008C0ABC">
        <w:rPr>
          <w:i/>
          <w:iCs/>
        </w:rPr>
        <w:t>Common Stock Transactions</w:t>
      </w:r>
      <w:bookmarkStart w:id="21" w:name="_Hlk108625276"/>
    </w:p>
    <w:p w14:paraId="133A8E3D" w14:textId="77777777" w:rsidR="003963E0" w:rsidRDefault="003963E0" w:rsidP="00C33214">
      <w:pPr>
        <w:jc w:val="both"/>
      </w:pPr>
    </w:p>
    <w:p w14:paraId="1165E309" w14:textId="5901203C" w:rsidR="00320EAE" w:rsidRDefault="00320EAE" w:rsidP="00320EAE">
      <w:pPr>
        <w:suppressAutoHyphens/>
        <w:spacing w:line="240" w:lineRule="exact"/>
      </w:pPr>
      <w:r>
        <w:t>During January 2024, we issued 6,703 shares of our common stock pursuant to a professional relations and consulting agreement and we issued 55,422 shares of our common stock for the roundup of fractional shares associated with the reverse stock split.</w:t>
      </w:r>
    </w:p>
    <w:p w14:paraId="74BA525F" w14:textId="77777777" w:rsidR="00320EAE" w:rsidRDefault="00320EAE" w:rsidP="00C33214">
      <w:pPr>
        <w:jc w:val="both"/>
      </w:pPr>
    </w:p>
    <w:bookmarkEnd w:id="21"/>
    <w:p w14:paraId="64AFECED" w14:textId="77777777" w:rsidR="003963E0" w:rsidRDefault="00C33214" w:rsidP="00C33214">
      <w:pPr>
        <w:pStyle w:val="BodyTitle"/>
        <w:spacing w:after="0"/>
        <w:rPr>
          <w:u w:val="none"/>
        </w:rPr>
      </w:pPr>
      <w:r w:rsidRPr="006F0BD4">
        <w:rPr>
          <w:i/>
          <w:iCs/>
          <w:u w:val="none"/>
        </w:rPr>
        <w:t>Stock Options</w:t>
      </w:r>
    </w:p>
    <w:p w14:paraId="2D4E9977" w14:textId="77777777" w:rsidR="003963E0" w:rsidRDefault="003963E0" w:rsidP="00C33214">
      <w:pPr>
        <w:pStyle w:val="BodyTitle"/>
        <w:spacing w:after="0"/>
        <w:rPr>
          <w:u w:val="none"/>
        </w:rPr>
      </w:pPr>
    </w:p>
    <w:p w14:paraId="36AF617D" w14:textId="0A28F6BB" w:rsidR="00320EAE" w:rsidRPr="00BD3259" w:rsidRDefault="00320EAE" w:rsidP="00320EAE">
      <w:pPr>
        <w:pStyle w:val="BodyTitle"/>
        <w:spacing w:after="0"/>
        <w:rPr>
          <w:color w:val="000000"/>
          <w:u w:val="none"/>
        </w:rPr>
      </w:pPr>
      <w:r w:rsidRPr="006749F1">
        <w:rPr>
          <w:u w:val="none"/>
        </w:rPr>
        <w:t>We have stock-based incentive plan</w:t>
      </w:r>
      <w:r>
        <w:rPr>
          <w:u w:val="none"/>
        </w:rPr>
        <w:t>s</w:t>
      </w:r>
      <w:r w:rsidRPr="006749F1">
        <w:rPr>
          <w:u w:val="none"/>
        </w:rPr>
        <w:t xml:space="preserve"> (the “Plan</w:t>
      </w:r>
      <w:r>
        <w:rPr>
          <w:u w:val="none"/>
        </w:rPr>
        <w:t>s</w:t>
      </w:r>
      <w:r w:rsidRPr="006749F1">
        <w:rPr>
          <w:u w:val="none"/>
        </w:rPr>
        <w:t xml:space="preserve">”) </w:t>
      </w:r>
      <w:r w:rsidRPr="006749F1">
        <w:rPr>
          <w:color w:val="000000"/>
          <w:u w:val="none"/>
        </w:rPr>
        <w:t xml:space="preserve">pursuant to which our Board of Directors may grant stock options and other stock-based awards to our employees, directors and consultants. During the </w:t>
      </w:r>
      <w:r w:rsidR="000362E1">
        <w:rPr>
          <w:color w:val="000000"/>
          <w:u w:val="none"/>
        </w:rPr>
        <w:t>six</w:t>
      </w:r>
      <w:r w:rsidRPr="006749F1">
        <w:rPr>
          <w:color w:val="000000"/>
          <w:u w:val="none"/>
        </w:rPr>
        <w:t xml:space="preserve"> months ended </w:t>
      </w:r>
      <w:r w:rsidR="000362E1">
        <w:rPr>
          <w:color w:val="000000"/>
          <w:u w:val="none"/>
        </w:rPr>
        <w:t>June</w:t>
      </w:r>
      <w:r w:rsidRPr="006749F1">
        <w:rPr>
          <w:color w:val="000000"/>
          <w:u w:val="none"/>
        </w:rPr>
        <w:t xml:space="preserve"> 3</w:t>
      </w:r>
      <w:r w:rsidR="000362E1">
        <w:rPr>
          <w:color w:val="000000"/>
          <w:u w:val="none"/>
        </w:rPr>
        <w:t>0</w:t>
      </w:r>
      <w:r w:rsidRPr="006749F1">
        <w:rPr>
          <w:color w:val="000000"/>
          <w:u w:val="none"/>
        </w:rPr>
        <w:t>, 202</w:t>
      </w:r>
      <w:r>
        <w:rPr>
          <w:color w:val="000000"/>
          <w:u w:val="none"/>
        </w:rPr>
        <w:t>4</w:t>
      </w:r>
      <w:r w:rsidRPr="006749F1">
        <w:rPr>
          <w:color w:val="000000"/>
          <w:u w:val="none"/>
        </w:rPr>
        <w:t xml:space="preserve">, </w:t>
      </w:r>
      <w:r>
        <w:rPr>
          <w:color w:val="000000"/>
          <w:u w:val="none"/>
        </w:rPr>
        <w:t xml:space="preserve">961 stock options were cancelled and there were no new grants of stock options or other </w:t>
      </w:r>
      <w:r w:rsidRPr="006749F1">
        <w:rPr>
          <w:color w:val="000000"/>
          <w:u w:val="none"/>
        </w:rPr>
        <w:t>transactions related to the Plan</w:t>
      </w:r>
      <w:r>
        <w:rPr>
          <w:color w:val="000000"/>
          <w:u w:val="none"/>
        </w:rPr>
        <w:t>s</w:t>
      </w:r>
      <w:r w:rsidRPr="006749F1">
        <w:rPr>
          <w:color w:val="000000"/>
          <w:u w:val="none"/>
        </w:rPr>
        <w:t xml:space="preserve">. As of </w:t>
      </w:r>
      <w:r w:rsidR="000362E1">
        <w:rPr>
          <w:color w:val="000000"/>
          <w:u w:val="none"/>
        </w:rPr>
        <w:t>June</w:t>
      </w:r>
      <w:r w:rsidRPr="006749F1">
        <w:rPr>
          <w:color w:val="000000"/>
          <w:u w:val="none"/>
        </w:rPr>
        <w:t xml:space="preserve"> 3</w:t>
      </w:r>
      <w:r w:rsidR="000362E1">
        <w:rPr>
          <w:color w:val="000000"/>
          <w:u w:val="none"/>
        </w:rPr>
        <w:t>0</w:t>
      </w:r>
      <w:r w:rsidRPr="006749F1">
        <w:rPr>
          <w:color w:val="000000"/>
          <w:u w:val="none"/>
        </w:rPr>
        <w:t>, 202</w:t>
      </w:r>
      <w:r>
        <w:rPr>
          <w:color w:val="000000"/>
          <w:u w:val="none"/>
        </w:rPr>
        <w:t>4</w:t>
      </w:r>
      <w:r w:rsidRPr="006749F1">
        <w:rPr>
          <w:color w:val="000000"/>
          <w:u w:val="none"/>
        </w:rPr>
        <w:t xml:space="preserve">, there are </w:t>
      </w:r>
      <w:r>
        <w:rPr>
          <w:color w:val="000000"/>
          <w:u w:val="none"/>
        </w:rPr>
        <w:t>133,648</w:t>
      </w:r>
      <w:r w:rsidRPr="006749F1">
        <w:rPr>
          <w:color w:val="000000"/>
          <w:u w:val="none"/>
        </w:rPr>
        <w:t xml:space="preserve"> stock options outstanding, with a weighted-average exercise price of $</w:t>
      </w:r>
      <w:r>
        <w:rPr>
          <w:color w:val="000000"/>
          <w:u w:val="none"/>
        </w:rPr>
        <w:t>28.39</w:t>
      </w:r>
      <w:r w:rsidRPr="006749F1">
        <w:rPr>
          <w:color w:val="000000"/>
          <w:u w:val="none"/>
        </w:rPr>
        <w:t xml:space="preserve"> per share and a weighted-average remaining contractual term of </w:t>
      </w:r>
      <w:r>
        <w:rPr>
          <w:color w:val="000000"/>
          <w:u w:val="none"/>
        </w:rPr>
        <w:t>7.</w:t>
      </w:r>
      <w:r w:rsidR="000362E1">
        <w:rPr>
          <w:color w:val="000000"/>
          <w:u w:val="none"/>
        </w:rPr>
        <w:t>7</w:t>
      </w:r>
      <w:r w:rsidRPr="006749F1">
        <w:rPr>
          <w:color w:val="000000"/>
          <w:u w:val="none"/>
        </w:rPr>
        <w:t xml:space="preserve"> years.</w:t>
      </w:r>
      <w:r w:rsidRPr="00A53341">
        <w:rPr>
          <w:color w:val="000000"/>
          <w:u w:val="none"/>
        </w:rPr>
        <w:t xml:space="preserve"> </w:t>
      </w:r>
      <w:r>
        <w:rPr>
          <w:color w:val="000000"/>
          <w:u w:val="none"/>
        </w:rPr>
        <w:t>Including the outstanding stock options, a</w:t>
      </w:r>
      <w:r w:rsidRPr="006749F1">
        <w:rPr>
          <w:color w:val="000000"/>
          <w:u w:val="none"/>
        </w:rPr>
        <w:t xml:space="preserve"> total of </w:t>
      </w:r>
      <w:r>
        <w:rPr>
          <w:color w:val="000000"/>
          <w:u w:val="none"/>
        </w:rPr>
        <w:t>333,648</w:t>
      </w:r>
      <w:r w:rsidRPr="006749F1">
        <w:rPr>
          <w:color w:val="000000"/>
          <w:u w:val="none"/>
        </w:rPr>
        <w:t xml:space="preserve"> shares of our common stock are reserved for </w:t>
      </w:r>
      <w:r>
        <w:rPr>
          <w:color w:val="000000"/>
          <w:u w:val="none"/>
        </w:rPr>
        <w:t xml:space="preserve">future </w:t>
      </w:r>
      <w:r w:rsidRPr="006749F1">
        <w:rPr>
          <w:color w:val="000000"/>
          <w:u w:val="none"/>
        </w:rPr>
        <w:t>issuance pursuant to the Plan</w:t>
      </w:r>
      <w:r>
        <w:rPr>
          <w:color w:val="000000"/>
          <w:u w:val="none"/>
        </w:rPr>
        <w:t>s</w:t>
      </w:r>
      <w:r w:rsidRPr="006749F1">
        <w:rPr>
          <w:color w:val="000000"/>
          <w:u w:val="none"/>
        </w:rPr>
        <w:t>.</w:t>
      </w:r>
    </w:p>
    <w:p w14:paraId="22734239" w14:textId="77777777" w:rsidR="00C33214" w:rsidRDefault="00C33214" w:rsidP="00C33214">
      <w:pPr>
        <w:rPr>
          <w:color w:val="000000"/>
        </w:rPr>
      </w:pPr>
    </w:p>
    <w:p w14:paraId="4AB30303" w14:textId="77777777" w:rsidR="00ED6E67" w:rsidRDefault="00ED6E67">
      <w:pPr>
        <w:rPr>
          <w:i/>
          <w:color w:val="000000"/>
        </w:rPr>
      </w:pPr>
      <w:r>
        <w:rPr>
          <w:i/>
          <w:color w:val="000000"/>
        </w:rPr>
        <w:br w:type="page"/>
      </w:r>
    </w:p>
    <w:p w14:paraId="725D33F7" w14:textId="01AC512E" w:rsidR="00320EAE" w:rsidRDefault="00320EAE" w:rsidP="00320EAE">
      <w:pPr>
        <w:suppressAutoHyphens/>
        <w:spacing w:line="240" w:lineRule="exact"/>
        <w:rPr>
          <w:i/>
          <w:color w:val="000000"/>
        </w:rPr>
      </w:pPr>
      <w:r w:rsidRPr="00914DFD">
        <w:rPr>
          <w:i/>
          <w:color w:val="000000"/>
        </w:rPr>
        <w:lastRenderedPageBreak/>
        <w:t>Stock Purchase Warrants</w:t>
      </w:r>
    </w:p>
    <w:p w14:paraId="7C9F8FE0" w14:textId="77777777" w:rsidR="00320EAE" w:rsidRDefault="00320EAE" w:rsidP="00320EAE">
      <w:pPr>
        <w:rPr>
          <w:color w:val="000000"/>
        </w:rPr>
      </w:pPr>
    </w:p>
    <w:p w14:paraId="105F7C0A" w14:textId="3679E674" w:rsidR="00320EAE" w:rsidRPr="00EE79AE" w:rsidRDefault="00320EAE" w:rsidP="00320EAE">
      <w:pPr>
        <w:suppressAutoHyphens/>
        <w:spacing w:line="240" w:lineRule="exact"/>
        <w:rPr>
          <w:color w:val="000000"/>
        </w:rPr>
      </w:pPr>
      <w:r w:rsidRPr="00EE79AE">
        <w:rPr>
          <w:color w:val="000000"/>
        </w:rPr>
        <w:t xml:space="preserve">The table below summarizes information concerning warrants outstanding as of </w:t>
      </w:r>
      <w:r w:rsidR="00475DE6">
        <w:rPr>
          <w:color w:val="000000"/>
        </w:rPr>
        <w:t>June</w:t>
      </w:r>
      <w:r w:rsidRPr="00EE79AE">
        <w:rPr>
          <w:color w:val="000000"/>
        </w:rPr>
        <w:t xml:space="preserve"> 3</w:t>
      </w:r>
      <w:r w:rsidR="00475DE6">
        <w:rPr>
          <w:color w:val="000000"/>
        </w:rPr>
        <w:t>0</w:t>
      </w:r>
      <w:r w:rsidRPr="00EE79AE">
        <w:rPr>
          <w:color w:val="000000"/>
        </w:rPr>
        <w:t>, 202</w:t>
      </w:r>
      <w:r>
        <w:rPr>
          <w:color w:val="000000"/>
        </w:rPr>
        <w:t>4</w:t>
      </w:r>
      <w:r w:rsidRPr="00EE79AE">
        <w:rPr>
          <w:color w:val="000000"/>
        </w:rPr>
        <w:t>.</w:t>
      </w:r>
    </w:p>
    <w:p w14:paraId="3A264242" w14:textId="77777777" w:rsidR="00320EAE" w:rsidRPr="00EE79AE" w:rsidRDefault="00320EAE" w:rsidP="00320EAE">
      <w:pPr>
        <w:rPr>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90"/>
        <w:gridCol w:w="1170"/>
        <w:gridCol w:w="90"/>
        <w:gridCol w:w="1101"/>
        <w:gridCol w:w="90"/>
        <w:gridCol w:w="1869"/>
        <w:gridCol w:w="90"/>
      </w:tblGrid>
      <w:tr w:rsidR="00320EAE" w:rsidRPr="00EE79AE" w14:paraId="0253D722" w14:textId="77777777" w:rsidTr="00C744F8">
        <w:tc>
          <w:tcPr>
            <w:tcW w:w="4950" w:type="dxa"/>
            <w:gridSpan w:val="2"/>
            <w:tcBorders>
              <w:bottom w:val="single" w:sz="4" w:space="0" w:color="auto"/>
            </w:tcBorders>
          </w:tcPr>
          <w:p w14:paraId="68C8A169" w14:textId="77777777" w:rsidR="00320EAE" w:rsidRPr="00EE79AE" w:rsidRDefault="00320EAE" w:rsidP="007149CF">
            <w:pPr>
              <w:rPr>
                <w:color w:val="000000"/>
              </w:rPr>
            </w:pPr>
          </w:p>
          <w:p w14:paraId="73E52543" w14:textId="77777777" w:rsidR="00320EAE" w:rsidRPr="00EE79AE" w:rsidRDefault="00320EAE" w:rsidP="007149CF">
            <w:pPr>
              <w:rPr>
                <w:color w:val="000000"/>
              </w:rPr>
            </w:pPr>
            <w:r w:rsidRPr="00EE79AE">
              <w:rPr>
                <w:color w:val="000000"/>
              </w:rPr>
              <w:t>Issue Date</w:t>
            </w:r>
          </w:p>
        </w:tc>
        <w:tc>
          <w:tcPr>
            <w:tcW w:w="1260" w:type="dxa"/>
            <w:gridSpan w:val="2"/>
            <w:tcBorders>
              <w:bottom w:val="single" w:sz="4" w:space="0" w:color="auto"/>
            </w:tcBorders>
          </w:tcPr>
          <w:p w14:paraId="38D37FAA" w14:textId="77777777" w:rsidR="00320EAE" w:rsidRPr="00EE79AE" w:rsidRDefault="00320EAE" w:rsidP="007149CF">
            <w:pPr>
              <w:jc w:val="center"/>
              <w:rPr>
                <w:color w:val="000000"/>
              </w:rPr>
            </w:pPr>
            <w:r w:rsidRPr="00EE79AE">
              <w:rPr>
                <w:color w:val="000000"/>
              </w:rPr>
              <w:t>Number</w:t>
            </w:r>
          </w:p>
          <w:p w14:paraId="24D56E35" w14:textId="77777777" w:rsidR="00320EAE" w:rsidRPr="00EE79AE" w:rsidRDefault="00320EAE" w:rsidP="007149CF">
            <w:pPr>
              <w:jc w:val="center"/>
              <w:rPr>
                <w:color w:val="000000"/>
              </w:rPr>
            </w:pPr>
            <w:r w:rsidRPr="00EE79AE">
              <w:rPr>
                <w:color w:val="000000"/>
              </w:rPr>
              <w:t>of Shares</w:t>
            </w:r>
          </w:p>
        </w:tc>
        <w:tc>
          <w:tcPr>
            <w:tcW w:w="1191" w:type="dxa"/>
            <w:gridSpan w:val="2"/>
            <w:tcBorders>
              <w:bottom w:val="single" w:sz="4" w:space="0" w:color="auto"/>
            </w:tcBorders>
          </w:tcPr>
          <w:p w14:paraId="2AF1ABBD" w14:textId="77777777" w:rsidR="00320EAE" w:rsidRPr="00EE79AE" w:rsidRDefault="00320EAE" w:rsidP="007149CF">
            <w:pPr>
              <w:jc w:val="center"/>
              <w:rPr>
                <w:color w:val="000000"/>
              </w:rPr>
            </w:pPr>
            <w:r w:rsidRPr="00EE79AE">
              <w:rPr>
                <w:color w:val="000000"/>
              </w:rPr>
              <w:t>Exercise</w:t>
            </w:r>
          </w:p>
          <w:p w14:paraId="14564C40" w14:textId="77777777" w:rsidR="00320EAE" w:rsidRPr="00EE79AE" w:rsidRDefault="00320EAE" w:rsidP="007149CF">
            <w:pPr>
              <w:jc w:val="center"/>
              <w:rPr>
                <w:color w:val="000000"/>
              </w:rPr>
            </w:pPr>
            <w:r w:rsidRPr="00EE79AE">
              <w:rPr>
                <w:color w:val="000000"/>
              </w:rPr>
              <w:t>Price</w:t>
            </w:r>
          </w:p>
        </w:tc>
        <w:tc>
          <w:tcPr>
            <w:tcW w:w="1959" w:type="dxa"/>
            <w:gridSpan w:val="2"/>
            <w:tcBorders>
              <w:bottom w:val="single" w:sz="4" w:space="0" w:color="auto"/>
            </w:tcBorders>
          </w:tcPr>
          <w:p w14:paraId="4DB7FDE1" w14:textId="77777777" w:rsidR="00320EAE" w:rsidRPr="00EE79AE" w:rsidRDefault="00320EAE" w:rsidP="007149CF">
            <w:pPr>
              <w:jc w:val="center"/>
              <w:rPr>
                <w:color w:val="000000"/>
              </w:rPr>
            </w:pPr>
          </w:p>
          <w:p w14:paraId="26937748" w14:textId="77777777" w:rsidR="00320EAE" w:rsidRPr="00EE79AE" w:rsidRDefault="00320EAE" w:rsidP="007149CF">
            <w:pPr>
              <w:jc w:val="center"/>
              <w:rPr>
                <w:color w:val="000000"/>
              </w:rPr>
            </w:pPr>
            <w:r w:rsidRPr="00EE79AE">
              <w:rPr>
                <w:color w:val="000000"/>
              </w:rPr>
              <w:t>Expiration</w:t>
            </w:r>
          </w:p>
        </w:tc>
      </w:tr>
      <w:tr w:rsidR="00320EAE" w:rsidRPr="00EE79AE" w14:paraId="79963655" w14:textId="77777777" w:rsidTr="00C744F8">
        <w:trPr>
          <w:gridAfter w:val="1"/>
          <w:wAfter w:w="90" w:type="dxa"/>
        </w:trPr>
        <w:tc>
          <w:tcPr>
            <w:tcW w:w="4860" w:type="dxa"/>
          </w:tcPr>
          <w:p w14:paraId="6570DBE3" w14:textId="77777777" w:rsidR="00320EAE" w:rsidRPr="00EE79AE" w:rsidRDefault="00320EAE" w:rsidP="007149CF">
            <w:pPr>
              <w:rPr>
                <w:color w:val="000000"/>
              </w:rPr>
            </w:pPr>
            <w:r w:rsidRPr="00EE79AE">
              <w:rPr>
                <w:color w:val="000000"/>
              </w:rPr>
              <w:t>June 2020</w:t>
            </w:r>
          </w:p>
        </w:tc>
        <w:tc>
          <w:tcPr>
            <w:tcW w:w="1260" w:type="dxa"/>
            <w:gridSpan w:val="2"/>
          </w:tcPr>
          <w:p w14:paraId="35B07793" w14:textId="6214F042" w:rsidR="00320EAE" w:rsidRPr="00EE79AE" w:rsidRDefault="00475DE6" w:rsidP="00C744F8">
            <w:pPr>
              <w:tabs>
                <w:tab w:val="decimal" w:pos="1039"/>
              </w:tabs>
              <w:rPr>
                <w:color w:val="000000"/>
              </w:rPr>
            </w:pPr>
            <w:r>
              <w:rPr>
                <w:color w:val="000000"/>
              </w:rPr>
              <w:t>4</w:t>
            </w:r>
            <w:r w:rsidR="00320EAE" w:rsidRPr="00EE79AE">
              <w:rPr>
                <w:color w:val="000000"/>
              </w:rPr>
              <w:t>,000</w:t>
            </w:r>
          </w:p>
        </w:tc>
        <w:tc>
          <w:tcPr>
            <w:tcW w:w="1191" w:type="dxa"/>
            <w:gridSpan w:val="2"/>
          </w:tcPr>
          <w:p w14:paraId="4DE8004B" w14:textId="2A047DF0" w:rsidR="00320EAE" w:rsidRPr="00EE79AE" w:rsidRDefault="00320EAE" w:rsidP="007149CF">
            <w:pPr>
              <w:tabs>
                <w:tab w:val="decimal" w:pos="607"/>
              </w:tabs>
              <w:rPr>
                <w:color w:val="000000"/>
              </w:rPr>
            </w:pPr>
            <w:r w:rsidRPr="00EE79AE">
              <w:rPr>
                <w:color w:val="000000"/>
              </w:rPr>
              <w:t xml:space="preserve">$   </w:t>
            </w:r>
            <w:r w:rsidR="00475DE6">
              <w:rPr>
                <w:color w:val="000000"/>
              </w:rPr>
              <w:t>1.68</w:t>
            </w:r>
          </w:p>
        </w:tc>
        <w:tc>
          <w:tcPr>
            <w:tcW w:w="1959" w:type="dxa"/>
            <w:gridSpan w:val="2"/>
          </w:tcPr>
          <w:p w14:paraId="5860186F" w14:textId="77777777" w:rsidR="00320EAE" w:rsidRPr="00EE79AE" w:rsidRDefault="00320EAE" w:rsidP="007149CF">
            <w:pPr>
              <w:jc w:val="center"/>
              <w:rPr>
                <w:color w:val="000000"/>
              </w:rPr>
            </w:pPr>
            <w:r w:rsidRPr="00EE79AE">
              <w:rPr>
                <w:color w:val="000000"/>
              </w:rPr>
              <w:t>June 2025</w:t>
            </w:r>
          </w:p>
        </w:tc>
      </w:tr>
      <w:tr w:rsidR="00320EAE" w:rsidRPr="00EE79AE" w14:paraId="112CBC1F" w14:textId="77777777" w:rsidTr="00C744F8">
        <w:trPr>
          <w:gridAfter w:val="1"/>
          <w:wAfter w:w="90" w:type="dxa"/>
        </w:trPr>
        <w:tc>
          <w:tcPr>
            <w:tcW w:w="4860" w:type="dxa"/>
          </w:tcPr>
          <w:p w14:paraId="12AF5D2F" w14:textId="77777777" w:rsidR="00320EAE" w:rsidRPr="00EE79AE" w:rsidRDefault="00320EAE" w:rsidP="007149CF">
            <w:pPr>
              <w:rPr>
                <w:color w:val="000000"/>
              </w:rPr>
            </w:pPr>
            <w:r w:rsidRPr="00EE79AE">
              <w:rPr>
                <w:color w:val="000000"/>
              </w:rPr>
              <w:t xml:space="preserve">September 2020 </w:t>
            </w:r>
          </w:p>
        </w:tc>
        <w:tc>
          <w:tcPr>
            <w:tcW w:w="1260" w:type="dxa"/>
            <w:gridSpan w:val="2"/>
          </w:tcPr>
          <w:p w14:paraId="6C9682C1" w14:textId="77777777" w:rsidR="00320EAE" w:rsidRPr="00EE79AE" w:rsidRDefault="00320EAE" w:rsidP="00C744F8">
            <w:pPr>
              <w:tabs>
                <w:tab w:val="decimal" w:pos="1039"/>
              </w:tabs>
              <w:rPr>
                <w:color w:val="000000"/>
              </w:rPr>
            </w:pPr>
            <w:r w:rsidRPr="00EE79AE">
              <w:rPr>
                <w:color w:val="000000"/>
              </w:rPr>
              <w:t>159,781</w:t>
            </w:r>
          </w:p>
        </w:tc>
        <w:tc>
          <w:tcPr>
            <w:tcW w:w="1191" w:type="dxa"/>
            <w:gridSpan w:val="2"/>
          </w:tcPr>
          <w:p w14:paraId="6523062B" w14:textId="77777777" w:rsidR="00320EAE" w:rsidRPr="00EE79AE" w:rsidRDefault="00320EAE" w:rsidP="007149CF">
            <w:pPr>
              <w:tabs>
                <w:tab w:val="decimal" w:pos="607"/>
              </w:tabs>
              <w:rPr>
                <w:color w:val="000000"/>
              </w:rPr>
            </w:pPr>
            <w:r w:rsidRPr="00EE79AE">
              <w:rPr>
                <w:color w:val="000000"/>
              </w:rPr>
              <w:t>75.00</w:t>
            </w:r>
          </w:p>
        </w:tc>
        <w:tc>
          <w:tcPr>
            <w:tcW w:w="1959" w:type="dxa"/>
            <w:gridSpan w:val="2"/>
          </w:tcPr>
          <w:p w14:paraId="0BB09ABB" w14:textId="77777777" w:rsidR="00320EAE" w:rsidRPr="00EE79AE" w:rsidRDefault="00320EAE" w:rsidP="007149CF">
            <w:pPr>
              <w:jc w:val="center"/>
              <w:rPr>
                <w:color w:val="000000"/>
              </w:rPr>
            </w:pPr>
            <w:r w:rsidRPr="00EE79AE">
              <w:rPr>
                <w:color w:val="000000"/>
              </w:rPr>
              <w:t>September 2025</w:t>
            </w:r>
          </w:p>
        </w:tc>
      </w:tr>
      <w:tr w:rsidR="00320EAE" w:rsidRPr="00EE79AE" w14:paraId="4D0A0959" w14:textId="77777777" w:rsidTr="00C744F8">
        <w:trPr>
          <w:gridAfter w:val="1"/>
          <w:wAfter w:w="90" w:type="dxa"/>
        </w:trPr>
        <w:tc>
          <w:tcPr>
            <w:tcW w:w="4860" w:type="dxa"/>
          </w:tcPr>
          <w:p w14:paraId="7C39AFF9" w14:textId="77777777" w:rsidR="00320EAE" w:rsidRPr="00EE79AE" w:rsidRDefault="00320EAE" w:rsidP="007149CF">
            <w:pPr>
              <w:rPr>
                <w:color w:val="000000"/>
              </w:rPr>
            </w:pPr>
            <w:r w:rsidRPr="00EE79AE">
              <w:rPr>
                <w:color w:val="000000"/>
              </w:rPr>
              <w:t xml:space="preserve">February 2021 </w:t>
            </w:r>
          </w:p>
        </w:tc>
        <w:tc>
          <w:tcPr>
            <w:tcW w:w="1260" w:type="dxa"/>
            <w:gridSpan w:val="2"/>
          </w:tcPr>
          <w:p w14:paraId="4C20E4EF" w14:textId="77777777" w:rsidR="00320EAE" w:rsidRPr="00EE79AE" w:rsidRDefault="00320EAE" w:rsidP="00C744F8">
            <w:pPr>
              <w:tabs>
                <w:tab w:val="decimal" w:pos="1039"/>
              </w:tabs>
              <w:rPr>
                <w:color w:val="000000"/>
              </w:rPr>
            </w:pPr>
            <w:r w:rsidRPr="00EE79AE">
              <w:rPr>
                <w:color w:val="000000"/>
              </w:rPr>
              <w:t>4,800</w:t>
            </w:r>
          </w:p>
        </w:tc>
        <w:tc>
          <w:tcPr>
            <w:tcW w:w="1191" w:type="dxa"/>
            <w:gridSpan w:val="2"/>
          </w:tcPr>
          <w:p w14:paraId="24FB79DF" w14:textId="77777777" w:rsidR="00320EAE" w:rsidRPr="00EE79AE" w:rsidRDefault="00320EAE" w:rsidP="007149CF">
            <w:pPr>
              <w:tabs>
                <w:tab w:val="decimal" w:pos="607"/>
              </w:tabs>
              <w:rPr>
                <w:color w:val="000000"/>
              </w:rPr>
            </w:pPr>
            <w:r w:rsidRPr="00EE79AE">
              <w:rPr>
                <w:color w:val="000000"/>
              </w:rPr>
              <w:t>103.13</w:t>
            </w:r>
          </w:p>
        </w:tc>
        <w:tc>
          <w:tcPr>
            <w:tcW w:w="1959" w:type="dxa"/>
            <w:gridSpan w:val="2"/>
          </w:tcPr>
          <w:p w14:paraId="5E7F19B4" w14:textId="77777777" w:rsidR="00320EAE" w:rsidRPr="00EE79AE" w:rsidRDefault="00320EAE" w:rsidP="007149CF">
            <w:pPr>
              <w:jc w:val="center"/>
              <w:rPr>
                <w:color w:val="000000"/>
              </w:rPr>
            </w:pPr>
            <w:r w:rsidRPr="00EE79AE">
              <w:rPr>
                <w:color w:val="000000"/>
              </w:rPr>
              <w:t>August 2024</w:t>
            </w:r>
          </w:p>
        </w:tc>
      </w:tr>
      <w:tr w:rsidR="00320EAE" w:rsidRPr="00EE79AE" w14:paraId="49C28C17" w14:textId="77777777" w:rsidTr="00C744F8">
        <w:trPr>
          <w:gridAfter w:val="1"/>
          <w:wAfter w:w="90" w:type="dxa"/>
        </w:trPr>
        <w:tc>
          <w:tcPr>
            <w:tcW w:w="4860" w:type="dxa"/>
          </w:tcPr>
          <w:p w14:paraId="151577F2" w14:textId="77777777" w:rsidR="00320EAE" w:rsidRPr="00EE79AE" w:rsidRDefault="00320EAE" w:rsidP="007149CF">
            <w:pPr>
              <w:rPr>
                <w:color w:val="000000"/>
              </w:rPr>
            </w:pPr>
            <w:r w:rsidRPr="00EE79AE">
              <w:rPr>
                <w:color w:val="000000"/>
              </w:rPr>
              <w:t xml:space="preserve">September 2021 </w:t>
            </w:r>
          </w:p>
        </w:tc>
        <w:tc>
          <w:tcPr>
            <w:tcW w:w="1260" w:type="dxa"/>
            <w:gridSpan w:val="2"/>
          </w:tcPr>
          <w:p w14:paraId="73A745DE" w14:textId="77777777" w:rsidR="00320EAE" w:rsidRPr="00EE79AE" w:rsidRDefault="00320EAE" w:rsidP="00C744F8">
            <w:pPr>
              <w:tabs>
                <w:tab w:val="decimal" w:pos="1039"/>
              </w:tabs>
              <w:rPr>
                <w:color w:val="000000"/>
              </w:rPr>
            </w:pPr>
            <w:r w:rsidRPr="00EE79AE">
              <w:rPr>
                <w:color w:val="000000"/>
              </w:rPr>
              <w:t>6,668</w:t>
            </w:r>
          </w:p>
        </w:tc>
        <w:tc>
          <w:tcPr>
            <w:tcW w:w="1191" w:type="dxa"/>
            <w:gridSpan w:val="2"/>
          </w:tcPr>
          <w:p w14:paraId="7330565F" w14:textId="77777777" w:rsidR="00320EAE" w:rsidRPr="00EE79AE" w:rsidRDefault="00320EAE" w:rsidP="007149CF">
            <w:pPr>
              <w:tabs>
                <w:tab w:val="decimal" w:pos="607"/>
              </w:tabs>
              <w:rPr>
                <w:color w:val="000000"/>
              </w:rPr>
            </w:pPr>
            <w:r w:rsidRPr="00EE79AE">
              <w:rPr>
                <w:color w:val="000000"/>
              </w:rPr>
              <w:t>195.00</w:t>
            </w:r>
          </w:p>
        </w:tc>
        <w:tc>
          <w:tcPr>
            <w:tcW w:w="1959" w:type="dxa"/>
            <w:gridSpan w:val="2"/>
          </w:tcPr>
          <w:p w14:paraId="206E7D1D" w14:textId="77777777" w:rsidR="00320EAE" w:rsidRPr="00EE79AE" w:rsidRDefault="00320EAE" w:rsidP="007149CF">
            <w:pPr>
              <w:jc w:val="center"/>
              <w:rPr>
                <w:color w:val="000000"/>
              </w:rPr>
            </w:pPr>
            <w:r w:rsidRPr="00EE79AE">
              <w:rPr>
                <w:color w:val="000000"/>
              </w:rPr>
              <w:t>September 2026</w:t>
            </w:r>
          </w:p>
        </w:tc>
      </w:tr>
      <w:tr w:rsidR="00320EAE" w:rsidRPr="00EE79AE" w14:paraId="0847E6B3" w14:textId="77777777" w:rsidTr="00C744F8">
        <w:trPr>
          <w:gridAfter w:val="1"/>
          <w:wAfter w:w="90" w:type="dxa"/>
        </w:trPr>
        <w:tc>
          <w:tcPr>
            <w:tcW w:w="4860" w:type="dxa"/>
          </w:tcPr>
          <w:p w14:paraId="22691543" w14:textId="77777777" w:rsidR="00320EAE" w:rsidRPr="00EE79AE" w:rsidRDefault="00320EAE" w:rsidP="007149CF">
            <w:pPr>
              <w:rPr>
                <w:color w:val="000000"/>
              </w:rPr>
            </w:pPr>
            <w:r w:rsidRPr="00EE79AE">
              <w:rPr>
                <w:color w:val="000000"/>
              </w:rPr>
              <w:t xml:space="preserve">December 2023 </w:t>
            </w:r>
          </w:p>
        </w:tc>
        <w:tc>
          <w:tcPr>
            <w:tcW w:w="1260" w:type="dxa"/>
            <w:gridSpan w:val="2"/>
          </w:tcPr>
          <w:p w14:paraId="34617FB6" w14:textId="19C83FA5" w:rsidR="00320EAE" w:rsidRPr="00EE79AE" w:rsidRDefault="00475DE6" w:rsidP="00C744F8">
            <w:pPr>
              <w:tabs>
                <w:tab w:val="decimal" w:pos="1039"/>
              </w:tabs>
              <w:rPr>
                <w:color w:val="000000"/>
              </w:rPr>
            </w:pPr>
            <w:r>
              <w:rPr>
                <w:color w:val="000000"/>
              </w:rPr>
              <w:t>582,000</w:t>
            </w:r>
          </w:p>
        </w:tc>
        <w:tc>
          <w:tcPr>
            <w:tcW w:w="1191" w:type="dxa"/>
            <w:gridSpan w:val="2"/>
          </w:tcPr>
          <w:p w14:paraId="1B6D30D3" w14:textId="104C8D3C" w:rsidR="00320EAE" w:rsidRPr="00EE79AE" w:rsidRDefault="00475DE6" w:rsidP="007149CF">
            <w:pPr>
              <w:tabs>
                <w:tab w:val="decimal" w:pos="607"/>
              </w:tabs>
              <w:rPr>
                <w:color w:val="000000"/>
              </w:rPr>
            </w:pPr>
            <w:r>
              <w:rPr>
                <w:color w:val="000000"/>
              </w:rPr>
              <w:t>1.68</w:t>
            </w:r>
          </w:p>
        </w:tc>
        <w:tc>
          <w:tcPr>
            <w:tcW w:w="1959" w:type="dxa"/>
            <w:gridSpan w:val="2"/>
          </w:tcPr>
          <w:p w14:paraId="46F6E1F9" w14:textId="77777777" w:rsidR="00320EAE" w:rsidRPr="00EE79AE" w:rsidRDefault="00320EAE" w:rsidP="007149CF">
            <w:pPr>
              <w:jc w:val="center"/>
              <w:rPr>
                <w:color w:val="000000"/>
              </w:rPr>
            </w:pPr>
            <w:r w:rsidRPr="00EE79AE">
              <w:rPr>
                <w:color w:val="000000"/>
              </w:rPr>
              <w:t>June 2029</w:t>
            </w:r>
          </w:p>
        </w:tc>
      </w:tr>
      <w:tr w:rsidR="00475DE6" w:rsidRPr="00EE79AE" w14:paraId="054940CD" w14:textId="77777777" w:rsidTr="00C744F8">
        <w:trPr>
          <w:gridAfter w:val="1"/>
          <w:wAfter w:w="90" w:type="dxa"/>
        </w:trPr>
        <w:tc>
          <w:tcPr>
            <w:tcW w:w="4860" w:type="dxa"/>
          </w:tcPr>
          <w:p w14:paraId="5FFA0943" w14:textId="15603227" w:rsidR="00475DE6" w:rsidRPr="00EE79AE" w:rsidRDefault="00475DE6" w:rsidP="007149CF">
            <w:pPr>
              <w:rPr>
                <w:color w:val="000000"/>
              </w:rPr>
            </w:pPr>
            <w:r>
              <w:rPr>
                <w:color w:val="000000"/>
              </w:rPr>
              <w:t>May 2024</w:t>
            </w:r>
          </w:p>
        </w:tc>
        <w:tc>
          <w:tcPr>
            <w:tcW w:w="1260" w:type="dxa"/>
            <w:gridSpan w:val="2"/>
            <w:tcBorders>
              <w:bottom w:val="single" w:sz="4" w:space="0" w:color="auto"/>
            </w:tcBorders>
          </w:tcPr>
          <w:p w14:paraId="16422BE1" w14:textId="73F02FDA" w:rsidR="00475DE6" w:rsidRPr="00EE79AE" w:rsidRDefault="00475DE6" w:rsidP="00C744F8">
            <w:pPr>
              <w:tabs>
                <w:tab w:val="decimal" w:pos="1039"/>
              </w:tabs>
              <w:rPr>
                <w:color w:val="000000"/>
              </w:rPr>
            </w:pPr>
            <w:r>
              <w:rPr>
                <w:color w:val="000000"/>
              </w:rPr>
              <w:t>1,605,688</w:t>
            </w:r>
          </w:p>
        </w:tc>
        <w:tc>
          <w:tcPr>
            <w:tcW w:w="1191" w:type="dxa"/>
            <w:gridSpan w:val="2"/>
          </w:tcPr>
          <w:p w14:paraId="039A16BB" w14:textId="16E0E675" w:rsidR="00475DE6" w:rsidRPr="00EE79AE" w:rsidRDefault="00475DE6" w:rsidP="007149CF">
            <w:pPr>
              <w:tabs>
                <w:tab w:val="decimal" w:pos="607"/>
              </w:tabs>
              <w:rPr>
                <w:color w:val="000000"/>
              </w:rPr>
            </w:pPr>
            <w:r>
              <w:rPr>
                <w:color w:val="000000"/>
              </w:rPr>
              <w:t>1.68</w:t>
            </w:r>
          </w:p>
        </w:tc>
        <w:tc>
          <w:tcPr>
            <w:tcW w:w="1959" w:type="dxa"/>
            <w:gridSpan w:val="2"/>
          </w:tcPr>
          <w:p w14:paraId="4966BC0E" w14:textId="449B8C04" w:rsidR="00475DE6" w:rsidRPr="00EE79AE" w:rsidRDefault="00475DE6" w:rsidP="007149CF">
            <w:pPr>
              <w:jc w:val="center"/>
              <w:rPr>
                <w:color w:val="000000"/>
              </w:rPr>
            </w:pPr>
            <w:r>
              <w:rPr>
                <w:color w:val="000000"/>
              </w:rPr>
              <w:t>May 2029</w:t>
            </w:r>
          </w:p>
        </w:tc>
      </w:tr>
      <w:tr w:rsidR="00320EAE" w:rsidRPr="00EE79AE" w14:paraId="143ECF1E" w14:textId="77777777" w:rsidTr="00C744F8">
        <w:trPr>
          <w:gridAfter w:val="1"/>
          <w:wAfter w:w="90" w:type="dxa"/>
        </w:trPr>
        <w:tc>
          <w:tcPr>
            <w:tcW w:w="4860" w:type="dxa"/>
          </w:tcPr>
          <w:p w14:paraId="496A2151" w14:textId="1FDA03C2" w:rsidR="00320EAE" w:rsidRPr="00EE79AE" w:rsidRDefault="00320EAE" w:rsidP="007149CF">
            <w:pPr>
              <w:rPr>
                <w:color w:val="000000"/>
              </w:rPr>
            </w:pPr>
            <w:r w:rsidRPr="00EE79AE">
              <w:rPr>
                <w:color w:val="000000"/>
              </w:rPr>
              <w:t xml:space="preserve">Outstanding </w:t>
            </w:r>
            <w:proofErr w:type="gramStart"/>
            <w:r w:rsidRPr="00EE79AE">
              <w:rPr>
                <w:color w:val="000000"/>
              </w:rPr>
              <w:t>at</w:t>
            </w:r>
            <w:proofErr w:type="gramEnd"/>
            <w:r w:rsidRPr="00EE79AE">
              <w:rPr>
                <w:color w:val="000000"/>
              </w:rPr>
              <w:t xml:space="preserve"> </w:t>
            </w:r>
            <w:r w:rsidR="00475DE6">
              <w:rPr>
                <w:color w:val="000000"/>
              </w:rPr>
              <w:t>June</w:t>
            </w:r>
            <w:r w:rsidRPr="00EE79AE">
              <w:rPr>
                <w:color w:val="000000"/>
              </w:rPr>
              <w:t xml:space="preserve"> 3</w:t>
            </w:r>
            <w:r w:rsidR="00475DE6">
              <w:rPr>
                <w:color w:val="000000"/>
              </w:rPr>
              <w:t>0</w:t>
            </w:r>
            <w:r w:rsidRPr="00EE79AE">
              <w:rPr>
                <w:color w:val="000000"/>
              </w:rPr>
              <w:t>, 202</w:t>
            </w:r>
            <w:r>
              <w:rPr>
                <w:color w:val="000000"/>
              </w:rPr>
              <w:t>4</w:t>
            </w:r>
          </w:p>
        </w:tc>
        <w:tc>
          <w:tcPr>
            <w:tcW w:w="1260" w:type="dxa"/>
            <w:gridSpan w:val="2"/>
            <w:tcBorders>
              <w:top w:val="single" w:sz="4" w:space="0" w:color="auto"/>
              <w:bottom w:val="double" w:sz="4" w:space="0" w:color="auto"/>
            </w:tcBorders>
          </w:tcPr>
          <w:p w14:paraId="078CF46D" w14:textId="76DB4D89" w:rsidR="00320EAE" w:rsidRPr="00EE79AE" w:rsidRDefault="00475DE6" w:rsidP="00C744F8">
            <w:pPr>
              <w:tabs>
                <w:tab w:val="decimal" w:pos="1039"/>
              </w:tabs>
              <w:rPr>
                <w:color w:val="000000"/>
              </w:rPr>
            </w:pPr>
            <w:r>
              <w:rPr>
                <w:color w:val="000000"/>
              </w:rPr>
              <w:t>2,362,937</w:t>
            </w:r>
          </w:p>
        </w:tc>
        <w:tc>
          <w:tcPr>
            <w:tcW w:w="1191" w:type="dxa"/>
            <w:gridSpan w:val="2"/>
          </w:tcPr>
          <w:p w14:paraId="45899E76" w14:textId="77777777" w:rsidR="00320EAE" w:rsidRPr="00EE79AE" w:rsidRDefault="00320EAE" w:rsidP="007149CF">
            <w:pPr>
              <w:tabs>
                <w:tab w:val="decimal" w:pos="793"/>
              </w:tabs>
              <w:rPr>
                <w:color w:val="000000"/>
              </w:rPr>
            </w:pPr>
          </w:p>
        </w:tc>
        <w:tc>
          <w:tcPr>
            <w:tcW w:w="1959" w:type="dxa"/>
            <w:gridSpan w:val="2"/>
          </w:tcPr>
          <w:p w14:paraId="4B90FCCB" w14:textId="77777777" w:rsidR="00320EAE" w:rsidRPr="00EE79AE" w:rsidRDefault="00320EAE" w:rsidP="007149CF">
            <w:pPr>
              <w:rPr>
                <w:color w:val="000000"/>
              </w:rPr>
            </w:pPr>
          </w:p>
        </w:tc>
      </w:tr>
    </w:tbl>
    <w:p w14:paraId="40560E09" w14:textId="09DA59F9" w:rsidR="000A55AE" w:rsidRDefault="000A55AE" w:rsidP="000A55AE">
      <w:pPr>
        <w:rPr>
          <w:color w:val="000000"/>
        </w:rPr>
      </w:pPr>
    </w:p>
    <w:p w14:paraId="78E20A9F" w14:textId="21391CB4" w:rsidR="005B58B3" w:rsidRPr="00F53171" w:rsidRDefault="0090404A" w:rsidP="005B58B3">
      <w:pPr>
        <w:pStyle w:val="BodyTitle"/>
        <w:spacing w:after="0"/>
        <w:rPr>
          <w:rFonts w:eastAsia="Times New Roman"/>
          <w:b/>
          <w:bCs/>
          <w:iCs/>
          <w:color w:val="000000"/>
          <w:u w:val="none"/>
        </w:rPr>
      </w:pPr>
      <w:r>
        <w:rPr>
          <w:rFonts w:eastAsia="Times New Roman"/>
          <w:b/>
          <w:bCs/>
          <w:iCs/>
          <w:color w:val="000000"/>
          <w:u w:val="none"/>
        </w:rPr>
        <w:t>7</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626096F2" w:rsidR="009B589E" w:rsidRPr="00B26306" w:rsidRDefault="008C1886" w:rsidP="009B589E">
      <w:r w:rsidRPr="00B26306">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9B589E" w:rsidRPr="00B26306">
        <w:t>Stock-based compensation expense related to stock option grants was $</w:t>
      </w:r>
      <w:r w:rsidR="008D6A94">
        <w:t>101,640</w:t>
      </w:r>
      <w:r w:rsidR="009B589E" w:rsidRPr="00B26306">
        <w:t xml:space="preserve"> and $</w:t>
      </w:r>
      <w:r w:rsidR="008D6A94">
        <w:t>205,209</w:t>
      </w:r>
      <w:r w:rsidR="009B589E" w:rsidRPr="00B26306">
        <w:t xml:space="preserve"> during the three-month</w:t>
      </w:r>
      <w:r w:rsidR="006749F1" w:rsidRPr="00B26306">
        <w:t xml:space="preserve"> and six-month</w:t>
      </w:r>
      <w:r w:rsidR="009B589E" w:rsidRPr="00B26306">
        <w:t xml:space="preserve"> periods ended </w:t>
      </w:r>
      <w:r w:rsidR="006749F1" w:rsidRPr="00B26306">
        <w:t>June</w:t>
      </w:r>
      <w:r w:rsidR="009B589E" w:rsidRPr="00B26306">
        <w:t xml:space="preserve"> 3</w:t>
      </w:r>
      <w:r w:rsidR="006749F1" w:rsidRPr="00B26306">
        <w:t>0</w:t>
      </w:r>
      <w:r w:rsidR="009B589E" w:rsidRPr="00B26306">
        <w:t>, 202</w:t>
      </w:r>
      <w:r w:rsidR="00320EAE">
        <w:t>4</w:t>
      </w:r>
      <w:r w:rsidR="009B589E" w:rsidRPr="00B26306">
        <w:t>, respectively</w:t>
      </w:r>
      <w:r w:rsidRPr="00B26306">
        <w:t>, a</w:t>
      </w:r>
      <w:r w:rsidR="006749F1" w:rsidRPr="00B26306">
        <w:t>s compared to $</w:t>
      </w:r>
      <w:r w:rsidR="00320EAE">
        <w:t>226,013</w:t>
      </w:r>
      <w:r w:rsidR="006749F1" w:rsidRPr="00B26306">
        <w:t xml:space="preserve"> and $</w:t>
      </w:r>
      <w:r w:rsidR="00320EAE">
        <w:t>454,052</w:t>
      </w:r>
      <w:r w:rsidR="006749F1" w:rsidRPr="00B26306">
        <w:t>, respectively, during the same periods of 202</w:t>
      </w:r>
      <w:r w:rsidR="00320EAE">
        <w:t>3</w:t>
      </w:r>
      <w:r w:rsidR="006749F1" w:rsidRPr="00B26306">
        <w:t>. As</w:t>
      </w:r>
      <w:r w:rsidR="009B589E" w:rsidRPr="00B26306">
        <w:rPr>
          <w:color w:val="000000"/>
        </w:rPr>
        <w:t xml:space="preserve"> of </w:t>
      </w:r>
      <w:r w:rsidR="006749F1" w:rsidRPr="00B26306">
        <w:rPr>
          <w:color w:val="000000"/>
        </w:rPr>
        <w:t>June 30</w:t>
      </w:r>
      <w:r w:rsidR="009B589E" w:rsidRPr="00B26306">
        <w:rPr>
          <w:color w:val="000000"/>
        </w:rPr>
        <w:t>, 202</w:t>
      </w:r>
      <w:r w:rsidR="00320EAE">
        <w:rPr>
          <w:color w:val="000000"/>
        </w:rPr>
        <w:t>4</w:t>
      </w:r>
      <w:r w:rsidR="009B589E" w:rsidRPr="00B26306">
        <w:rPr>
          <w:color w:val="000000"/>
        </w:rPr>
        <w:t>, there is $</w:t>
      </w:r>
      <w:r w:rsidR="008D6A94">
        <w:rPr>
          <w:color w:val="000000"/>
        </w:rPr>
        <w:t>342,156</w:t>
      </w:r>
      <w:r w:rsidR="009B589E" w:rsidRPr="00B26306">
        <w:rPr>
          <w:color w:val="000000"/>
        </w:rPr>
        <w:t xml:space="preserve"> of unrecognized compensation expense that we expect to recognize over a weighted-average period of </w:t>
      </w:r>
      <w:r w:rsidR="008D6A94">
        <w:rPr>
          <w:color w:val="000000"/>
        </w:rPr>
        <w:t>1.1</w:t>
      </w:r>
      <w:r w:rsidR="009B589E" w:rsidRPr="00B26306">
        <w:rPr>
          <w:color w:val="000000"/>
        </w:rPr>
        <w:t xml:space="preserve"> years.</w:t>
      </w:r>
    </w:p>
    <w:p w14:paraId="5DF6D531" w14:textId="77777777" w:rsidR="009B589E" w:rsidRPr="00B26306" w:rsidRDefault="009B589E" w:rsidP="009B589E">
      <w:pPr>
        <w:rPr>
          <w:color w:val="000000"/>
        </w:rPr>
      </w:pPr>
    </w:p>
    <w:p w14:paraId="615D9CE7" w14:textId="21828D05" w:rsidR="009B589E" w:rsidRDefault="008C1886" w:rsidP="009B589E">
      <w:pPr>
        <w:rPr>
          <w:color w:val="000000"/>
        </w:rPr>
      </w:pPr>
      <w:r w:rsidRPr="00B26306">
        <w:t xml:space="preserve">We have </w:t>
      </w:r>
      <w:r w:rsidR="00CC7B89" w:rsidRPr="00B26306">
        <w:t xml:space="preserve">also </w:t>
      </w:r>
      <w:r w:rsidRPr="00B26306">
        <w:t xml:space="preserve">issued shares of </w:t>
      </w:r>
      <w:r w:rsidR="00CC7B89" w:rsidRPr="00B26306">
        <w:t xml:space="preserve">our </w:t>
      </w:r>
      <w:r w:rsidRPr="00B26306">
        <w:t xml:space="preserve">restricted common stock to consultants and recognize the related expense over the terms of the related agreements. </w:t>
      </w:r>
      <w:r w:rsidR="009B589E" w:rsidRPr="00B26306">
        <w:t>During the three-month</w:t>
      </w:r>
      <w:r w:rsidR="006749F1" w:rsidRPr="00B26306">
        <w:t xml:space="preserve"> and six-month</w:t>
      </w:r>
      <w:r w:rsidR="009B589E" w:rsidRPr="00B26306">
        <w:t xml:space="preserve"> periods ended </w:t>
      </w:r>
      <w:r w:rsidR="006749F1" w:rsidRPr="00B26306">
        <w:t>June</w:t>
      </w:r>
      <w:r w:rsidR="009B589E" w:rsidRPr="00B26306">
        <w:t xml:space="preserve"> 3</w:t>
      </w:r>
      <w:r w:rsidR="006749F1" w:rsidRPr="00B26306">
        <w:t>0</w:t>
      </w:r>
      <w:r w:rsidR="009B589E" w:rsidRPr="00B26306">
        <w:t xml:space="preserve">, </w:t>
      </w:r>
      <w:proofErr w:type="gramStart"/>
      <w:r w:rsidR="009B589E" w:rsidRPr="00B26306">
        <w:t>202</w:t>
      </w:r>
      <w:r w:rsidR="00320EAE">
        <w:t>4</w:t>
      </w:r>
      <w:proofErr w:type="gramEnd"/>
      <w:r w:rsidR="009B589E" w:rsidRPr="00B26306">
        <w:t xml:space="preserve"> we recorded stock-based compensation expense of $</w:t>
      </w:r>
      <w:r w:rsidR="008D6A94">
        <w:t>-0-</w:t>
      </w:r>
      <w:r w:rsidR="009B589E" w:rsidRPr="00B26306">
        <w:t xml:space="preserve"> and $</w:t>
      </w:r>
      <w:r w:rsidR="008D6A94">
        <w:t>54,167</w:t>
      </w:r>
      <w:r w:rsidR="009B589E" w:rsidRPr="00B26306">
        <w:t>, respectively, associated with common stock issued for consulting services</w:t>
      </w:r>
      <w:r w:rsidR="006749F1" w:rsidRPr="00B26306">
        <w:t>, as compared to $</w:t>
      </w:r>
      <w:r w:rsidR="00320EAE">
        <w:t>43,500</w:t>
      </w:r>
      <w:r w:rsidR="006749F1" w:rsidRPr="00B26306">
        <w:t xml:space="preserve"> and $</w:t>
      </w:r>
      <w:r w:rsidR="00320EAE">
        <w:t>61,500</w:t>
      </w:r>
      <w:r w:rsidR="006749F1" w:rsidRPr="00B26306">
        <w:t>, respectively, for the same periods of 202</w:t>
      </w:r>
      <w:r w:rsidR="00320EAE">
        <w:t>3</w:t>
      </w:r>
      <w:r w:rsidR="009B589E" w:rsidRPr="00B26306">
        <w:t>.</w:t>
      </w:r>
    </w:p>
    <w:p w14:paraId="75E8E643" w14:textId="02D688F6" w:rsidR="00C33214" w:rsidRDefault="00C33214" w:rsidP="000A55AE">
      <w:pPr>
        <w:rPr>
          <w:color w:val="000000"/>
        </w:rPr>
      </w:pPr>
    </w:p>
    <w:p w14:paraId="228424D6" w14:textId="15AE4BCE" w:rsidR="0090404A" w:rsidRPr="001C6303" w:rsidRDefault="0090404A" w:rsidP="0090404A">
      <w:pPr>
        <w:pStyle w:val="ListNumbering"/>
        <w:spacing w:after="0"/>
      </w:pPr>
      <w:r>
        <w:t>8</w:t>
      </w:r>
      <w:r w:rsidRPr="00CA6DDA">
        <w:t>.</w:t>
      </w:r>
      <w:r w:rsidRPr="00CA6DDA">
        <w:tab/>
      </w:r>
      <w:r>
        <w:t>Revenue</w:t>
      </w:r>
      <w:r w:rsidR="00972725">
        <w:t xml:space="preserve"> from Government Contract</w:t>
      </w:r>
    </w:p>
    <w:p w14:paraId="4285F2D8" w14:textId="77777777" w:rsidR="0090404A" w:rsidRDefault="0090404A" w:rsidP="0090404A">
      <w:pPr>
        <w:pStyle w:val="BodyText"/>
        <w:spacing w:after="0"/>
      </w:pPr>
    </w:p>
    <w:p w14:paraId="7D1467E6" w14:textId="582B83AD" w:rsidR="00972725" w:rsidRPr="00954A86" w:rsidRDefault="00972725" w:rsidP="00972725">
      <w:pPr>
        <w:pStyle w:val="BodyText"/>
        <w:spacing w:after="0"/>
      </w:pPr>
      <w:r w:rsidRPr="00F669C6">
        <w:t>On</w:t>
      </w:r>
      <w:r>
        <w:t xml:space="preserve"> June</w:t>
      </w:r>
      <w:r w:rsidRPr="00F669C6">
        <w:t xml:space="preserve"> 12, 2024,</w:t>
      </w:r>
      <w:r>
        <w:t xml:space="preserve"> GeoVax</w:t>
      </w:r>
      <w:r w:rsidRPr="00F669C6">
        <w:t xml:space="preserve"> was awarded a contract (the</w:t>
      </w:r>
      <w:r>
        <w:t xml:space="preserve"> </w:t>
      </w:r>
      <w:r w:rsidRPr="00F669C6">
        <w:t xml:space="preserve">“BARDA Contract”) </w:t>
      </w:r>
      <w:r w:rsidRPr="00954A86">
        <w:t>through the Rapid Response Partnership Vehicle (RRPV) to advance</w:t>
      </w:r>
      <w:r>
        <w:t xml:space="preserve"> the clinical</w:t>
      </w:r>
      <w:r w:rsidRPr="00954A86">
        <w:t xml:space="preserve"> development of GEO-CM04S1, </w:t>
      </w:r>
      <w:r>
        <w:t>the Company’s</w:t>
      </w:r>
      <w:r w:rsidRPr="00954A86">
        <w:t xml:space="preserve"> next-generation COVID-19 vaccine. The RRPV is a </w:t>
      </w:r>
      <w:r w:rsidR="002666CA">
        <w:t>c</w:t>
      </w:r>
      <w:r w:rsidRPr="00954A86">
        <w:t>onsortium funded by the Biomedical Advanced Research and Development Authority (BARDA), part of the Administration for Strategic Preparedness and Response (ASPR) in the U.S. Department of Health and Human Services (HHS</w:t>
      </w:r>
      <w:r>
        <w:t>).</w:t>
      </w:r>
    </w:p>
    <w:p w14:paraId="12E2D473" w14:textId="77777777" w:rsidR="00972725" w:rsidRDefault="00972725" w:rsidP="00972725">
      <w:pPr>
        <w:pStyle w:val="BodyText"/>
        <w:spacing w:after="0"/>
      </w:pPr>
    </w:p>
    <w:p w14:paraId="322AC2E2" w14:textId="18677092" w:rsidR="008E7234" w:rsidRDefault="00972725" w:rsidP="00972725">
      <w:pPr>
        <w:pStyle w:val="BodyText"/>
        <w:spacing w:after="0"/>
      </w:pPr>
      <w:r w:rsidRPr="00954A86">
        <w:t xml:space="preserve">Under the </w:t>
      </w:r>
      <w:r w:rsidR="002666CA">
        <w:t>BARDA Contract</w:t>
      </w:r>
      <w:r w:rsidRPr="00954A86">
        <w:t xml:space="preserve">, GeoVax will sponsor a 10,000-participant, randomized, Phase 2b double-blinded study to </w:t>
      </w:r>
      <w:r w:rsidR="00A8483B">
        <w:t>assess</w:t>
      </w:r>
      <w:r w:rsidR="00A8483B" w:rsidRPr="00954A86">
        <w:t xml:space="preserve"> </w:t>
      </w:r>
      <w:r w:rsidRPr="00954A86">
        <w:t xml:space="preserve">the </w:t>
      </w:r>
      <w:r w:rsidR="00A8483B">
        <w:t xml:space="preserve">clinical </w:t>
      </w:r>
      <w:r w:rsidRPr="00954A86">
        <w:t xml:space="preserve">efficacy, safety, and immunogenicity of GEO-CM04S1 </w:t>
      </w:r>
      <w:r w:rsidR="00A8483B">
        <w:t xml:space="preserve">compared </w:t>
      </w:r>
      <w:r w:rsidRPr="00954A86">
        <w:t xml:space="preserve">with a U.S. Food and Drug Administration (FDA)-approved mRNA COVID-19 vaccine. The direct award to GeoVax of approximately $24.3 million, which may increase to as much as $45 million, will fund the manufacturing of clinical materials and support for the Phase 2b clinical trial, including regulatory activities. BARDA has </w:t>
      </w:r>
      <w:r w:rsidR="00C744F8">
        <w:t xml:space="preserve">made </w:t>
      </w:r>
      <w:r>
        <w:t>a</w:t>
      </w:r>
      <w:r w:rsidRPr="00954A86">
        <w:t xml:space="preserve"> separate award </w:t>
      </w:r>
      <w:r>
        <w:t xml:space="preserve">of approximately $343 million </w:t>
      </w:r>
      <w:r w:rsidRPr="00954A86">
        <w:t>through its Clinical Studies Network to support execution of the study</w:t>
      </w:r>
      <w:r>
        <w:t xml:space="preserve"> by Allucent, a global clinical research organization.</w:t>
      </w:r>
      <w:r w:rsidRPr="00F359AA">
        <w:t xml:space="preserve"> </w:t>
      </w:r>
    </w:p>
    <w:p w14:paraId="34A2C0D0" w14:textId="77777777" w:rsidR="008E7234" w:rsidRDefault="008E7234" w:rsidP="00972725">
      <w:pPr>
        <w:pStyle w:val="BodyText"/>
        <w:spacing w:after="0"/>
      </w:pPr>
    </w:p>
    <w:p w14:paraId="7DB962A8" w14:textId="53565A05" w:rsidR="00972725" w:rsidRPr="00F359AA" w:rsidRDefault="00972725" w:rsidP="00972725">
      <w:pPr>
        <w:pStyle w:val="BodyText"/>
        <w:spacing w:after="0"/>
      </w:pPr>
      <w:r w:rsidRPr="00F359AA">
        <w:t xml:space="preserve">GeoVax’s role in </w:t>
      </w:r>
      <w:r>
        <w:t>the</w:t>
      </w:r>
      <w:r w:rsidRPr="00F359AA">
        <w:t xml:space="preserve"> project is being funded in whole or in part with federal funds from BARDA under Other Transaction 75A50123D00005.</w:t>
      </w:r>
      <w:r>
        <w:t xml:space="preserve"> </w:t>
      </w:r>
      <w:proofErr w:type="spellStart"/>
      <w:r w:rsidRPr="00F359AA">
        <w:t>Allucent’s</w:t>
      </w:r>
      <w:proofErr w:type="spellEnd"/>
      <w:r w:rsidRPr="00F359AA">
        <w:t xml:space="preserve"> role in </w:t>
      </w:r>
      <w:r>
        <w:t>the</w:t>
      </w:r>
      <w:r w:rsidRPr="00F359AA">
        <w:t xml:space="preserve"> project is being funded in whole or in part with federal funds from BARDA under contract 75A50120D00016/75A50123F33005.</w:t>
      </w:r>
    </w:p>
    <w:p w14:paraId="4C0ACD9A" w14:textId="77777777" w:rsidR="00972725" w:rsidRPr="00954A86" w:rsidRDefault="00972725" w:rsidP="00972725">
      <w:pPr>
        <w:pStyle w:val="BodyText"/>
        <w:spacing w:after="0"/>
      </w:pPr>
    </w:p>
    <w:p w14:paraId="557E6F7A" w14:textId="7C648B17" w:rsidR="00972725" w:rsidRDefault="00972725" w:rsidP="00972725">
      <w:pPr>
        <w:pStyle w:val="BodyText"/>
        <w:spacing w:after="0"/>
      </w:pPr>
      <w:r>
        <w:t>During the three</w:t>
      </w:r>
      <w:r w:rsidR="00C744F8">
        <w:t>-month</w:t>
      </w:r>
      <w:r>
        <w:t xml:space="preserve"> and six-month periods ending June 30, 20</w:t>
      </w:r>
      <w:r w:rsidR="00C744F8">
        <w:t>2</w:t>
      </w:r>
      <w:r>
        <w:t>4, GeoVax</w:t>
      </w:r>
      <w:r w:rsidRPr="00F669C6">
        <w:t xml:space="preserve"> recognized revenue of </w:t>
      </w:r>
      <w:r w:rsidR="00790130">
        <w:t>$300,677</w:t>
      </w:r>
      <w:r>
        <w:t xml:space="preserve"> associated with the BARDA contract.</w:t>
      </w:r>
      <w:r w:rsidR="005A0E70" w:rsidRPr="005A0E70">
        <w:t xml:space="preserve"> </w:t>
      </w:r>
      <w:r w:rsidR="005A0E70">
        <w:t>We record revenue associated with this contract as the reimbursable costs are incurred.</w:t>
      </w:r>
    </w:p>
    <w:p w14:paraId="57098019" w14:textId="77777777" w:rsidR="0090404A" w:rsidRDefault="0090404A" w:rsidP="000A55AE">
      <w:pPr>
        <w:rPr>
          <w:color w:val="000000"/>
        </w:rPr>
      </w:pPr>
    </w:p>
    <w:p w14:paraId="2E26F5C9" w14:textId="3C442C6B" w:rsidR="00C33214" w:rsidRPr="001C6303" w:rsidRDefault="0090404A" w:rsidP="00C33214">
      <w:pPr>
        <w:pStyle w:val="ListNumbering"/>
        <w:spacing w:after="0"/>
      </w:pPr>
      <w:r>
        <w:t>9</w:t>
      </w:r>
      <w:r w:rsidR="00C33214" w:rsidRPr="001C6303">
        <w:t>.</w:t>
      </w:r>
      <w:r w:rsidR="00C33214" w:rsidRPr="001C6303">
        <w:tab/>
      </w:r>
      <w:r w:rsidR="00C33214">
        <w:t xml:space="preserve">Net </w:t>
      </w:r>
      <w:r w:rsidR="00C33214" w:rsidRPr="001C6303">
        <w:t>Loss Per Share</w:t>
      </w:r>
    </w:p>
    <w:p w14:paraId="27AFE495" w14:textId="77777777" w:rsidR="00C33214" w:rsidRDefault="00C33214" w:rsidP="00C33214">
      <w:pPr>
        <w:pStyle w:val="BodyText"/>
        <w:spacing w:after="0"/>
      </w:pPr>
    </w:p>
    <w:p w14:paraId="21E0E353" w14:textId="67E955CF" w:rsidR="00C33214" w:rsidRDefault="00C33214" w:rsidP="00C33214">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2" w:name="_Hlk107585474"/>
      <w:r>
        <w:t xml:space="preserve">The securities that could potentially dilute basic </w:t>
      </w:r>
      <w:r w:rsidRPr="00CE0C17">
        <w:t xml:space="preserve">earnings per share in the future and that have been excluded </w:t>
      </w:r>
      <w:bookmarkEnd w:id="22"/>
      <w:r w:rsidRPr="00CE0C17">
        <w:t xml:space="preserve">from the computation of diluted net loss per share totaled </w:t>
      </w:r>
      <w:r w:rsidR="008D6A94">
        <w:t>2,496,585</w:t>
      </w:r>
      <w:r w:rsidRPr="00CE0C17">
        <w:t xml:space="preserve"> and </w:t>
      </w:r>
      <w:r w:rsidR="008D6A94">
        <w:t>1,027,084</w:t>
      </w:r>
      <w:r w:rsidRPr="00CE0C17">
        <w:t xml:space="preserve"> shares </w:t>
      </w:r>
      <w:proofErr w:type="gramStart"/>
      <w:r w:rsidRPr="00CE0C17">
        <w:t>at</w:t>
      </w:r>
      <w:proofErr w:type="gramEnd"/>
      <w:r w:rsidRPr="00CE0C17">
        <w:t xml:space="preserve"> </w:t>
      </w:r>
      <w:r w:rsidR="00CE0C17" w:rsidRPr="00CE0C17">
        <w:t>June</w:t>
      </w:r>
      <w:r w:rsidRPr="00CE0C17">
        <w:t xml:space="preserve"> 3</w:t>
      </w:r>
      <w:r w:rsidR="00CE0C17" w:rsidRPr="00CE0C17">
        <w:t>0</w:t>
      </w:r>
      <w:r w:rsidRPr="00CE0C17">
        <w:t>, 202</w:t>
      </w:r>
      <w:r w:rsidR="00320EAE">
        <w:t>4</w:t>
      </w:r>
      <w:r w:rsidRPr="00CE0C17">
        <w:t xml:space="preserve"> and 202</w:t>
      </w:r>
      <w:r w:rsidR="00320EAE">
        <w:t>3</w:t>
      </w:r>
      <w:r w:rsidRPr="00CE0C17">
        <w:t>, respectively.</w:t>
      </w:r>
    </w:p>
    <w:p w14:paraId="5F29D6AE" w14:textId="77777777" w:rsidR="00C33214" w:rsidRDefault="00C33214" w:rsidP="000A55AE">
      <w:pPr>
        <w:rPr>
          <w:color w:val="000000"/>
        </w:rPr>
      </w:pPr>
    </w:p>
    <w:p w14:paraId="29E14F09" w14:textId="77777777" w:rsidR="000877FE" w:rsidRDefault="000877FE">
      <w:pPr>
        <w:rPr>
          <w:b/>
        </w:rPr>
      </w:pPr>
      <w:r>
        <w:br w:type="page"/>
      </w:r>
    </w:p>
    <w:p w14:paraId="45163D60" w14:textId="3144724A" w:rsidR="00881E20" w:rsidRPr="001C6303" w:rsidRDefault="0090404A" w:rsidP="000A55AE">
      <w:pPr>
        <w:pStyle w:val="ListNumbering"/>
        <w:spacing w:after="0"/>
      </w:pPr>
      <w:r>
        <w:lastRenderedPageBreak/>
        <w:t>10</w:t>
      </w:r>
      <w:r w:rsidR="00881E20" w:rsidRPr="001C6303">
        <w:t>.</w:t>
      </w:r>
      <w:r w:rsidR="00881E20" w:rsidRPr="001C6303">
        <w:tab/>
        <w:t>Income Taxes</w:t>
      </w:r>
    </w:p>
    <w:p w14:paraId="0850CD3F" w14:textId="38305047" w:rsidR="000A55AE" w:rsidRDefault="000A55AE" w:rsidP="000A55AE">
      <w:pPr>
        <w:pStyle w:val="BodyText"/>
        <w:spacing w:after="0"/>
      </w:pPr>
    </w:p>
    <w:p w14:paraId="5D139C65" w14:textId="6A61EDBA" w:rsidR="00C33214" w:rsidRDefault="00C33214" w:rsidP="00C33214">
      <w:pPr>
        <w:pStyle w:val="BodyText"/>
        <w:spacing w:after="0"/>
      </w:pPr>
      <w:r>
        <w:t xml:space="preserve">No provision for income taxes was recorded in either of the </w:t>
      </w:r>
      <w:r w:rsidR="00B935E6">
        <w:t>six</w:t>
      </w:r>
      <w:r>
        <w:t xml:space="preserve">-month periods ended </w:t>
      </w:r>
      <w:r w:rsidR="00B935E6">
        <w:t>June</w:t>
      </w:r>
      <w:r>
        <w:t xml:space="preserve"> 3</w:t>
      </w:r>
      <w:r w:rsidR="00B935E6">
        <w:t>0</w:t>
      </w:r>
      <w:r>
        <w:t xml:space="preserve">, </w:t>
      </w:r>
      <w:proofErr w:type="gramStart"/>
      <w:r>
        <w:t>202</w:t>
      </w:r>
      <w:r w:rsidR="00320EAE">
        <w:t>4</w:t>
      </w:r>
      <w:proofErr w:type="gramEnd"/>
      <w:r>
        <w:t xml:space="preserve"> and 202</w:t>
      </w:r>
      <w:r w:rsidR="00320EAE">
        <w:t>3</w:t>
      </w:r>
      <w:r>
        <w:t xml:space="preserve">. The Company remains in a cumulative loss position with a full valuation allowance recorded against its net deferred income tax assets as of </w:t>
      </w:r>
      <w:r w:rsidR="00B935E6">
        <w:t>June</w:t>
      </w:r>
      <w:r>
        <w:t xml:space="preserve"> 3</w:t>
      </w:r>
      <w:r w:rsidR="00B935E6">
        <w:t>0</w:t>
      </w:r>
      <w:r>
        <w:t>, 202</w:t>
      </w:r>
      <w:r w:rsidR="00320EAE">
        <w:t>4</w:t>
      </w:r>
      <w:r>
        <w:t>.</w:t>
      </w:r>
    </w:p>
    <w:p w14:paraId="0C44511C" w14:textId="74075BE4" w:rsidR="000A55AE" w:rsidRDefault="000A55AE" w:rsidP="000A55AE">
      <w:pPr>
        <w:pStyle w:val="BodyText"/>
        <w:spacing w:after="0"/>
      </w:pPr>
    </w:p>
    <w:p w14:paraId="0660FBB1" w14:textId="46994626" w:rsidR="00320EAE" w:rsidRPr="001C6303" w:rsidRDefault="0090404A" w:rsidP="00320EAE">
      <w:pPr>
        <w:pStyle w:val="ListNumbering"/>
        <w:spacing w:after="0"/>
      </w:pPr>
      <w:r>
        <w:t>11</w:t>
      </w:r>
      <w:r w:rsidR="00320EAE" w:rsidRPr="001C6303">
        <w:t>.</w:t>
      </w:r>
      <w:r w:rsidR="00320EAE" w:rsidRPr="001C6303">
        <w:tab/>
      </w:r>
      <w:r w:rsidR="00320EAE">
        <w:t>Subsequent Events</w:t>
      </w:r>
    </w:p>
    <w:p w14:paraId="6E66C8A1" w14:textId="77777777" w:rsidR="00320EAE" w:rsidRDefault="00320EAE" w:rsidP="000A55AE">
      <w:pPr>
        <w:pStyle w:val="BodyText"/>
        <w:spacing w:after="0"/>
      </w:pPr>
    </w:p>
    <w:p w14:paraId="6E23F9E8" w14:textId="2E909AE8" w:rsidR="00E5783E" w:rsidRPr="000877FE" w:rsidRDefault="004866E4" w:rsidP="004866E4">
      <w:pPr>
        <w:pStyle w:val="BodyTitle"/>
        <w:spacing w:after="0"/>
        <w:rPr>
          <w:rFonts w:eastAsia="Times New Roman"/>
          <w:i/>
          <w:iCs/>
          <w:u w:val="none"/>
        </w:rPr>
      </w:pPr>
      <w:bookmarkStart w:id="23" w:name="_Hlk172634044"/>
      <w:r>
        <w:rPr>
          <w:rFonts w:eastAsia="Times New Roman"/>
          <w:i/>
          <w:iCs/>
          <w:u w:val="none"/>
        </w:rPr>
        <w:t>July 2024 Offering</w:t>
      </w:r>
      <w:r w:rsidR="000877FE">
        <w:rPr>
          <w:rFonts w:eastAsia="Times New Roman"/>
          <w:i/>
          <w:iCs/>
          <w:u w:val="none"/>
        </w:rPr>
        <w:t xml:space="preserve">.  </w:t>
      </w:r>
      <w:r>
        <w:rPr>
          <w:u w:val="none"/>
        </w:rPr>
        <w:t xml:space="preserve">On </w:t>
      </w:r>
      <w:r w:rsidR="005D1183">
        <w:rPr>
          <w:u w:val="none"/>
        </w:rPr>
        <w:t xml:space="preserve">July </w:t>
      </w:r>
      <w:r>
        <w:rPr>
          <w:u w:val="none"/>
        </w:rPr>
        <w:t xml:space="preserve">12, 2024, we closed a registered direct offering of </w:t>
      </w:r>
      <w:r>
        <w:rPr>
          <w:bCs/>
          <w:u w:val="none"/>
        </w:rPr>
        <w:t xml:space="preserve">458,632 shares of common stock and pre-funded warrants to purchase an aggregate of 626,368 shares of common stock (the “July 2024 Pre-Funded Warrants”). In a concurrent private placement, we issued common warrants to the purchaser to purchase up to 2,170,000 shares of common stock at an exercise price of $2.86 per share (the “July 2024 Common Warrants”). </w:t>
      </w:r>
      <w:r>
        <w:rPr>
          <w:u w:val="none"/>
        </w:rPr>
        <w:t>Net proceeds after deducting placement agent commissions and other offering expenses were approximately $</w:t>
      </w:r>
      <w:r w:rsidR="00C9747A">
        <w:rPr>
          <w:u w:val="none"/>
        </w:rPr>
        <w:t>2.8</w:t>
      </w:r>
      <w:r>
        <w:rPr>
          <w:u w:val="none"/>
        </w:rPr>
        <w:t xml:space="preserve"> million.</w:t>
      </w:r>
      <w:r>
        <w:rPr>
          <w:bCs/>
          <w:u w:val="none"/>
        </w:rPr>
        <w:t xml:space="preserve"> </w:t>
      </w:r>
      <w:r w:rsidR="004E2C15">
        <w:rPr>
          <w:bCs/>
          <w:u w:val="none"/>
        </w:rPr>
        <w:t xml:space="preserve">On </w:t>
      </w:r>
      <w:r w:rsidR="001D476C">
        <w:rPr>
          <w:bCs/>
          <w:u w:val="none"/>
        </w:rPr>
        <w:t xml:space="preserve">July </w:t>
      </w:r>
      <w:r w:rsidR="004E2C15">
        <w:rPr>
          <w:bCs/>
          <w:u w:val="none"/>
        </w:rPr>
        <w:t>18</w:t>
      </w:r>
      <w:r w:rsidR="001D476C">
        <w:rPr>
          <w:bCs/>
          <w:u w:val="none"/>
        </w:rPr>
        <w:t xml:space="preserve"> and 23</w:t>
      </w:r>
      <w:r w:rsidR="004E2C15">
        <w:rPr>
          <w:bCs/>
          <w:u w:val="none"/>
        </w:rPr>
        <w:t xml:space="preserve">, 2024, we issued </w:t>
      </w:r>
      <w:r w:rsidR="001D476C">
        <w:rPr>
          <w:bCs/>
          <w:u w:val="none"/>
        </w:rPr>
        <w:t>an aggregate of 626,368</w:t>
      </w:r>
      <w:r w:rsidR="004E2C15">
        <w:rPr>
          <w:bCs/>
          <w:u w:val="none"/>
        </w:rPr>
        <w:t xml:space="preserve"> shares of common stock upon</w:t>
      </w:r>
      <w:r w:rsidR="001D476C">
        <w:rPr>
          <w:bCs/>
          <w:u w:val="none"/>
        </w:rPr>
        <w:t xml:space="preserve"> full</w:t>
      </w:r>
      <w:r w:rsidR="004E2C15">
        <w:rPr>
          <w:bCs/>
          <w:u w:val="none"/>
        </w:rPr>
        <w:t xml:space="preserve"> exercise of the July 2024 Pre-Funded Warrants.</w:t>
      </w:r>
    </w:p>
    <w:bookmarkEnd w:id="23"/>
    <w:p w14:paraId="7E6C912B" w14:textId="77777777" w:rsidR="000877FE" w:rsidRDefault="000877FE" w:rsidP="000877FE"/>
    <w:p w14:paraId="6A031C5D" w14:textId="77777777" w:rsidR="000877FE" w:rsidRPr="000877FE" w:rsidRDefault="000877FE" w:rsidP="000877FE"/>
    <w:p w14:paraId="511152B0" w14:textId="4730AA50" w:rsidR="00BD6BBE" w:rsidRPr="001C6303" w:rsidRDefault="0054260E" w:rsidP="000A55AE">
      <w:pPr>
        <w:pStyle w:val="Heading2"/>
        <w:numPr>
          <w:ilvl w:val="0"/>
          <w:numId w:val="0"/>
        </w:numPr>
        <w:tabs>
          <w:tab w:val="left" w:pos="1080"/>
        </w:tabs>
        <w:spacing w:after="0"/>
      </w:pPr>
      <w:r w:rsidRPr="00291008">
        <w:rPr>
          <w:u w:val="none"/>
        </w:rPr>
        <w:t>Item 2</w:t>
      </w:r>
      <w:r w:rsidRPr="00291008">
        <w:rPr>
          <w:u w:val="none"/>
        </w:rPr>
        <w:tab/>
      </w:r>
      <w:r w:rsidR="00BD6BBE" w:rsidRPr="00291008">
        <w:t>Management</w:t>
      </w:r>
      <w:r w:rsidR="00B44A4C" w:rsidRPr="00291008">
        <w:t>’</w:t>
      </w:r>
      <w:r w:rsidR="00BD6BBE" w:rsidRPr="00291008">
        <w:t xml:space="preserve">s Discussion and Analysis of Financial Condition </w:t>
      </w:r>
      <w:proofErr w:type="gramStart"/>
      <w:r w:rsidR="00BD6BBE" w:rsidRPr="00291008">
        <w:t>And</w:t>
      </w:r>
      <w:proofErr w:type="gramEnd"/>
      <w:r w:rsidR="00BD6BBE" w:rsidRPr="00291008">
        <w:t xml:space="preserve"> Results of Operations</w:t>
      </w:r>
      <w:bookmarkEnd w:id="19"/>
    </w:p>
    <w:p w14:paraId="10D16227" w14:textId="7DF0C357" w:rsidR="000A55AE" w:rsidRDefault="000A55AE" w:rsidP="000A55AE">
      <w:pPr>
        <w:pStyle w:val="Subtitle"/>
        <w:spacing w:after="0"/>
      </w:pPr>
    </w:p>
    <w:p w14:paraId="7E153B7A" w14:textId="22025240" w:rsidR="00F2707B" w:rsidRPr="0009354D" w:rsidRDefault="00F2707B" w:rsidP="00F2707B">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w:t>
      </w:r>
      <w:r w:rsidR="002666CA">
        <w:rPr>
          <w:bCs/>
          <w:i/>
          <w:iCs/>
        </w:rPr>
        <w:t xml:space="preserve">Quarterly </w:t>
      </w:r>
      <w:r w:rsidRPr="0009354D">
        <w:rPr>
          <w:bCs/>
          <w:i/>
          <w:iCs/>
        </w:rPr>
        <w:t>Report”), and our audited financial statements and the accompanying notes thereto included in our Annual Report on Form 10-K for the year ended December 31, 202</w:t>
      </w:r>
      <w:r>
        <w:rPr>
          <w:bCs/>
          <w:i/>
          <w:iCs/>
        </w:rPr>
        <w:t>3</w:t>
      </w:r>
      <w:r w:rsidRPr="0009354D">
        <w:rPr>
          <w:bCs/>
          <w:i/>
          <w:iCs/>
        </w:rPr>
        <w:t>, which was filed with the Securities and Exchange Commission</w:t>
      </w:r>
      <w:r w:rsidR="002666CA">
        <w:rPr>
          <w:bCs/>
          <w:i/>
          <w:iCs/>
        </w:rPr>
        <w:t xml:space="preserve"> (the “SEC”)</w:t>
      </w:r>
      <w:r w:rsidRPr="0009354D">
        <w:rPr>
          <w:bCs/>
          <w:i/>
          <w:iCs/>
        </w:rPr>
        <w:t xml:space="preserve"> on </w:t>
      </w:r>
      <w:r>
        <w:rPr>
          <w:bCs/>
          <w:i/>
          <w:iCs/>
        </w:rPr>
        <w:t>February</w:t>
      </w:r>
      <w:r w:rsidRPr="0009354D">
        <w:rPr>
          <w:bCs/>
          <w:i/>
          <w:iCs/>
        </w:rPr>
        <w:t xml:space="preserve"> </w:t>
      </w:r>
      <w:r>
        <w:rPr>
          <w:bCs/>
          <w:i/>
          <w:iCs/>
        </w:rPr>
        <w:t>29</w:t>
      </w:r>
      <w:r w:rsidRPr="0009354D">
        <w:rPr>
          <w:bCs/>
          <w:i/>
          <w:iCs/>
        </w:rPr>
        <w:t>, 20</w:t>
      </w:r>
      <w:r>
        <w:rPr>
          <w:bCs/>
          <w:i/>
          <w:iCs/>
        </w:rPr>
        <w:t>24</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1DAFD1AD" w14:textId="42A5D954" w:rsidR="00F2707B" w:rsidRPr="00CC7B89" w:rsidRDefault="00F2707B" w:rsidP="00F2707B">
      <w:pPr>
        <w:tabs>
          <w:tab w:val="decimal" w:pos="9180"/>
        </w:tabs>
        <w:rPr>
          <w:bCs/>
          <w:i/>
          <w:iCs/>
        </w:rPr>
      </w:pPr>
      <w:r w:rsidRPr="00CC7B89">
        <w:rPr>
          <w:bCs/>
          <w:i/>
          <w:iCs/>
        </w:rPr>
        <w:t xml:space="preserve">Information included in this </w:t>
      </w:r>
      <w:r w:rsidR="002666CA">
        <w:rPr>
          <w:bCs/>
          <w:i/>
          <w:iCs/>
        </w:rPr>
        <w:t xml:space="preserve">Quarterly </w:t>
      </w:r>
      <w:r w:rsidRPr="00CC7B89">
        <w:rPr>
          <w:bCs/>
          <w:i/>
          <w:iCs/>
        </w:rPr>
        <w:t xml:space="preserve">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w:t>
      </w:r>
      <w:r w:rsidR="003C6624">
        <w:rPr>
          <w:bCs/>
          <w:i/>
          <w:iCs/>
        </w:rPr>
        <w:t xml:space="preserve">Quarterly </w:t>
      </w:r>
      <w:r w:rsidRPr="00CC7B89">
        <w:rPr>
          <w:bCs/>
          <w:i/>
          <w:iCs/>
        </w:rPr>
        <w:t xml:space="preserve">Report, other than statements of historical facts, including statements regarding our strategy, future operations, future financial position, future revenues, </w:t>
      </w:r>
      <w:r>
        <w:rPr>
          <w:bCs/>
          <w:i/>
          <w:iCs/>
        </w:rPr>
        <w:t xml:space="preserve">future governmental grants, </w:t>
      </w:r>
      <w:r w:rsidRPr="00CC7B89">
        <w:rPr>
          <w:bCs/>
          <w:i/>
          <w:iCs/>
        </w:rPr>
        <w:t>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i/>
          <w:iCs/>
        </w:rPr>
        <w:t>3</w:t>
      </w:r>
      <w:r w:rsidRPr="00CC7B89">
        <w:rPr>
          <w:bCs/>
          <w:i/>
          <w:iCs/>
        </w:rPr>
        <w:t xml:space="preserve">.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w:t>
      </w:r>
      <w:r w:rsidR="003C6624">
        <w:rPr>
          <w:bCs/>
          <w:i/>
          <w:iCs/>
        </w:rPr>
        <w:t xml:space="preserve">Quarterly </w:t>
      </w:r>
      <w:r w:rsidRPr="00CC7B89">
        <w:rPr>
          <w:bCs/>
          <w:i/>
          <w:iCs/>
        </w:rPr>
        <w:t>Report.</w:t>
      </w:r>
    </w:p>
    <w:p w14:paraId="7C583FCF" w14:textId="3D1CF61B"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2D43E916" w14:textId="05966795" w:rsidR="007852C5" w:rsidRDefault="007852C5" w:rsidP="007852C5">
      <w:pPr>
        <w:rPr>
          <w:bCs/>
        </w:rPr>
      </w:pPr>
      <w:r w:rsidRPr="00E55FA4">
        <w:t>GeoVax is a clinical-stage biotechnology company developing immunotherapies and vaccines against</w:t>
      </w:r>
      <w:r>
        <w:t xml:space="preserve"> cancers and</w:t>
      </w:r>
      <w:r w:rsidRPr="00E55FA4">
        <w:t xml:space="preserve"> infectious diseases using novel vector vaccine platforms. </w:t>
      </w:r>
      <w:r w:rsidRPr="00E55FA4">
        <w:rPr>
          <w:bCs/>
        </w:rPr>
        <w:t xml:space="preserve">GeoVax’s product pipeline includes ongoing human clinical trials </w:t>
      </w:r>
      <w:r>
        <w:rPr>
          <w:bCs/>
        </w:rPr>
        <w:t>for a next-generation</w:t>
      </w:r>
      <w:r w:rsidRPr="00E55FA4">
        <w:rPr>
          <w:bCs/>
        </w:rPr>
        <w:t xml:space="preserve"> COVID-19</w:t>
      </w:r>
      <w:r>
        <w:rPr>
          <w:bCs/>
        </w:rPr>
        <w:t xml:space="preserve"> vaccine</w:t>
      </w:r>
      <w:r w:rsidRPr="00E55FA4">
        <w:rPr>
          <w:bCs/>
        </w:rPr>
        <w:t xml:space="preserve"> and </w:t>
      </w:r>
      <w:r>
        <w:rPr>
          <w:bCs/>
        </w:rPr>
        <w:t xml:space="preserve">a gene-directed therapy against </w:t>
      </w:r>
      <w:r w:rsidRPr="00E55FA4">
        <w:rPr>
          <w:bCs/>
        </w:rPr>
        <w:t xml:space="preserve">advanced </w:t>
      </w:r>
      <w:r w:rsidRPr="00E55FA4">
        <w:t xml:space="preserve">head and neck cancer. </w:t>
      </w:r>
      <w:r>
        <w:rPr>
          <w:bCs/>
        </w:rPr>
        <w:t>Additional preclinical research and development programs include preventive vaccines against Mpox (</w:t>
      </w:r>
      <w:r w:rsidR="003C6624">
        <w:rPr>
          <w:bCs/>
        </w:rPr>
        <w:t xml:space="preserve">formerly known as </w:t>
      </w:r>
      <w:r>
        <w:rPr>
          <w:bCs/>
        </w:rPr>
        <w:t xml:space="preserve">monkeypox), hemorrhagic fever viruses (Ebola Zaire, Ebola Sudan, </w:t>
      </w:r>
      <w:r w:rsidR="003C6624">
        <w:rPr>
          <w:bCs/>
        </w:rPr>
        <w:t xml:space="preserve">and </w:t>
      </w:r>
      <w:r>
        <w:rPr>
          <w:bCs/>
        </w:rPr>
        <w:t>Marburg),</w:t>
      </w:r>
      <w:r w:rsidR="003477BD">
        <w:rPr>
          <w:bCs/>
        </w:rPr>
        <w:t xml:space="preserve"> and</w:t>
      </w:r>
      <w:r>
        <w:rPr>
          <w:bCs/>
        </w:rPr>
        <w:t xml:space="preserve"> Zika virus, as well as immunotherapies for solid tumors. </w:t>
      </w:r>
    </w:p>
    <w:p w14:paraId="49D02D06" w14:textId="77777777" w:rsidR="00CF5C51" w:rsidRDefault="00CF5C51" w:rsidP="007852C5"/>
    <w:p w14:paraId="43263863" w14:textId="77777777" w:rsidR="00CF5C51" w:rsidRPr="00E55FA4" w:rsidRDefault="00CF5C51" w:rsidP="00CF5C51">
      <w:r w:rsidRPr="00E55FA4">
        <w:t xml:space="preserve">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w:t>
      </w:r>
      <w:r w:rsidRPr="00E55FA4">
        <w:lastRenderedPageBreak/>
        <w:t>collaborations and partnerships for preclinical and clinical testing with multiple government, academic and corporate entities.</w:t>
      </w:r>
    </w:p>
    <w:p w14:paraId="2151CEE1" w14:textId="77777777" w:rsidR="007852C5" w:rsidRDefault="007852C5" w:rsidP="007852C5"/>
    <w:p w14:paraId="5A7A5811" w14:textId="57891B41" w:rsidR="007852C5" w:rsidRPr="00E55FA4" w:rsidRDefault="007852C5" w:rsidP="007852C5">
      <w:r w:rsidRPr="00E55FA4">
        <w:t>Our programs are in various stages of development</w:t>
      </w:r>
      <w:bookmarkStart w:id="24" w:name="_Hlk86323645"/>
      <w:r w:rsidRPr="00E55FA4">
        <w:t>, the most significant of which are summarized below</w:t>
      </w:r>
      <w:r w:rsidR="00CF5C51">
        <w:t xml:space="preserve"> along with recent developments</w:t>
      </w:r>
      <w:r w:rsidRPr="00E55FA4">
        <w:t>:</w:t>
      </w:r>
    </w:p>
    <w:p w14:paraId="22916536" w14:textId="77777777" w:rsidR="007852C5" w:rsidRDefault="007852C5" w:rsidP="007852C5">
      <w:pPr>
        <w:numPr>
          <w:ilvl w:val="0"/>
          <w:numId w:val="11"/>
        </w:numPr>
        <w:ind w:left="360"/>
        <w:rPr>
          <w:bCs/>
        </w:rPr>
      </w:pPr>
      <w:r w:rsidRPr="00E55FA4">
        <w:rPr>
          <w:bCs/>
        </w:rPr>
        <w:t>GEO-CM04S1</w:t>
      </w:r>
      <w:r>
        <w:rPr>
          <w:bCs/>
        </w:rPr>
        <w:t xml:space="preserve"> – Next Generation COVID-19 Vaccine:</w:t>
      </w:r>
    </w:p>
    <w:p w14:paraId="3EE484B6" w14:textId="15561D78" w:rsidR="007852C5" w:rsidRPr="00C10C9A" w:rsidRDefault="007852C5" w:rsidP="007852C5">
      <w:pPr>
        <w:numPr>
          <w:ilvl w:val="1"/>
          <w:numId w:val="11"/>
        </w:numPr>
        <w:ind w:left="720"/>
        <w:rPr>
          <w:bCs/>
        </w:rPr>
      </w:pPr>
      <w:r w:rsidRPr="00C10C9A">
        <w:rPr>
          <w:bCs/>
        </w:rPr>
        <w:t>On June 12, 2024, GeoVax was awarded a contract (the “BARDA Contract”) through the Rapid Response Partnership Vehicle (RRPV) to advance the clinical development of GEO-CM04S1. The RRPV is a Consortium funded by the Biomedical Advanced Research and Development Authority (BARDA), part of the Administration for Strategic Preparedness and Response (ASPR) in the U.S. Department of Health and Human Services (HHS).</w:t>
      </w:r>
      <w:r>
        <w:rPr>
          <w:bCs/>
        </w:rPr>
        <w:t xml:space="preserve"> </w:t>
      </w:r>
      <w:r w:rsidRPr="00C10C9A">
        <w:rPr>
          <w:bCs/>
        </w:rPr>
        <w:t xml:space="preserve">Under the agreement, GeoVax will sponsor a 10,000-participant, randomized, Phase 2b double-blinded study to </w:t>
      </w:r>
      <w:r w:rsidR="00A8483B">
        <w:rPr>
          <w:bCs/>
        </w:rPr>
        <w:t>assess</w:t>
      </w:r>
      <w:r w:rsidR="00A8483B" w:rsidRPr="00C10C9A">
        <w:rPr>
          <w:bCs/>
        </w:rPr>
        <w:t xml:space="preserve"> </w:t>
      </w:r>
      <w:r w:rsidRPr="00C10C9A">
        <w:rPr>
          <w:bCs/>
        </w:rPr>
        <w:t>the</w:t>
      </w:r>
      <w:r w:rsidR="00A8483B">
        <w:rPr>
          <w:bCs/>
        </w:rPr>
        <w:t xml:space="preserve"> clinical</w:t>
      </w:r>
      <w:r w:rsidRPr="00C10C9A">
        <w:rPr>
          <w:bCs/>
        </w:rPr>
        <w:t xml:space="preserve"> efficacy, safety, and immunogenicity of GEO-CM04S1</w:t>
      </w:r>
      <w:r w:rsidR="00A8483B">
        <w:rPr>
          <w:bCs/>
        </w:rPr>
        <w:t xml:space="preserve"> compared</w:t>
      </w:r>
      <w:r w:rsidRPr="00C10C9A">
        <w:rPr>
          <w:bCs/>
        </w:rPr>
        <w:t xml:space="preserve"> with a U.S. Food and Drug Administration (FDA)-approved mRNA COVID-19 vaccine.</w:t>
      </w:r>
      <w:r>
        <w:rPr>
          <w:bCs/>
        </w:rPr>
        <w:t xml:space="preserve"> </w:t>
      </w:r>
      <w:r w:rsidRPr="00C10C9A">
        <w:rPr>
          <w:bCs/>
        </w:rPr>
        <w:t>The original direct award to GeoVax of approximately $24.3 million, which may increase to as much as $45 million, will fund the manufacturing of clinical materials and support for the Phase 2b clinical trial, including regulatory activities. BARDA has</w:t>
      </w:r>
      <w:r>
        <w:rPr>
          <w:bCs/>
        </w:rPr>
        <w:t xml:space="preserve"> made</w:t>
      </w:r>
      <w:r w:rsidRPr="00C10C9A">
        <w:rPr>
          <w:bCs/>
        </w:rPr>
        <w:t xml:space="preserve"> a separate award of approximately $343 million through its Clinical Studies Network to Allucent, a global clinical research organization</w:t>
      </w:r>
      <w:r w:rsidR="00A8483B">
        <w:rPr>
          <w:bCs/>
        </w:rPr>
        <w:t>, to execute the clinical trial as part of BARDA’s Clinical Studies Network</w:t>
      </w:r>
      <w:r w:rsidRPr="00C10C9A">
        <w:rPr>
          <w:bCs/>
        </w:rPr>
        <w:t>.</w:t>
      </w:r>
    </w:p>
    <w:p w14:paraId="16E44232" w14:textId="1EE7555C" w:rsidR="007662C7" w:rsidRDefault="007852C5" w:rsidP="007662C7">
      <w:pPr>
        <w:numPr>
          <w:ilvl w:val="1"/>
          <w:numId w:val="11"/>
        </w:numPr>
        <w:ind w:left="720"/>
        <w:rPr>
          <w:bCs/>
        </w:rPr>
      </w:pPr>
      <w:r>
        <w:rPr>
          <w:bCs/>
        </w:rPr>
        <w:t xml:space="preserve">GEO-CM04S1 is </w:t>
      </w:r>
      <w:r w:rsidRPr="00E55FA4">
        <w:rPr>
          <w:bCs/>
        </w:rPr>
        <w:t xml:space="preserve">currently undergoing a Phase 2 clinical trial (ClinicalTrials.gov Identifier: NCT04977024), evaluating its safety and efficacy as a preventive COVID-19 vaccine in </w:t>
      </w:r>
      <w:r>
        <w:rPr>
          <w:bCs/>
        </w:rPr>
        <w:t xml:space="preserve">high-risk immunocompromised </w:t>
      </w:r>
      <w:r w:rsidRPr="00E55FA4">
        <w:rPr>
          <w:bCs/>
        </w:rPr>
        <w:t>patients</w:t>
      </w:r>
      <w:r>
        <w:rPr>
          <w:bCs/>
        </w:rPr>
        <w:t xml:space="preserve"> (</w:t>
      </w:r>
      <w:r w:rsidR="003C6624">
        <w:rPr>
          <w:bCs/>
        </w:rPr>
        <w:t>i.e.</w:t>
      </w:r>
      <w:r>
        <w:rPr>
          <w:bCs/>
        </w:rPr>
        <w:t xml:space="preserve"> patients</w:t>
      </w:r>
      <w:r w:rsidR="00A8483B">
        <w:rPr>
          <w:bCs/>
        </w:rPr>
        <w:t xml:space="preserve"> with blood cancers</w:t>
      </w:r>
      <w:r w:rsidRPr="00E55FA4">
        <w:rPr>
          <w:bCs/>
        </w:rPr>
        <w:t xml:space="preserve"> who have previously received either an allogeneic hematopoietic cell transplant, an autologous hematopoietic cell transplant or chimeric antigen receptor (CAR) T cell therapy</w:t>
      </w:r>
      <w:r>
        <w:rPr>
          <w:bCs/>
        </w:rPr>
        <w:t>)</w:t>
      </w:r>
      <w:r w:rsidRPr="00E55FA4">
        <w:rPr>
          <w:bCs/>
        </w:rPr>
        <w:t xml:space="preserve">. </w:t>
      </w:r>
      <w:r w:rsidR="00A8483B">
        <w:rPr>
          <w:bCs/>
        </w:rPr>
        <w:t>D</w:t>
      </w:r>
      <w:r>
        <w:rPr>
          <w:bCs/>
        </w:rPr>
        <w:t>ata</w:t>
      </w:r>
      <w:r w:rsidR="00A8483B">
        <w:rPr>
          <w:bCs/>
        </w:rPr>
        <w:t xml:space="preserve"> published</w:t>
      </w:r>
      <w:r>
        <w:rPr>
          <w:bCs/>
        </w:rPr>
        <w:t xml:space="preserve"> from </w:t>
      </w:r>
      <w:r w:rsidR="00A8483B">
        <w:rPr>
          <w:bCs/>
        </w:rPr>
        <w:t>the safety lead-in portion of the trial</w:t>
      </w:r>
      <w:r>
        <w:rPr>
          <w:bCs/>
        </w:rPr>
        <w:t xml:space="preserve"> </w:t>
      </w:r>
      <w:r w:rsidRPr="00C97366">
        <w:rPr>
          <w:bCs/>
        </w:rPr>
        <w:t xml:space="preserve">indicates </w:t>
      </w:r>
      <w:r w:rsidR="00A8483B">
        <w:rPr>
          <w:bCs/>
        </w:rPr>
        <w:t>that GEO-</w:t>
      </w:r>
      <w:r w:rsidRPr="00C97366">
        <w:rPr>
          <w:bCs/>
        </w:rPr>
        <w:t xml:space="preserve">CM04S1 is highly immunogenic in these patients, inducing </w:t>
      </w:r>
      <w:r w:rsidR="00A8483B">
        <w:rPr>
          <w:bCs/>
        </w:rPr>
        <w:t>broad and durable</w:t>
      </w:r>
      <w:r w:rsidR="00A8483B" w:rsidRPr="00C97366">
        <w:rPr>
          <w:bCs/>
        </w:rPr>
        <w:t xml:space="preserve"> </w:t>
      </w:r>
      <w:r w:rsidR="00A8483B">
        <w:rPr>
          <w:bCs/>
        </w:rPr>
        <w:t xml:space="preserve">neutralizing </w:t>
      </w:r>
      <w:r w:rsidRPr="00C97366">
        <w:rPr>
          <w:bCs/>
        </w:rPr>
        <w:t xml:space="preserve">antibody and T cell responses. </w:t>
      </w:r>
    </w:p>
    <w:p w14:paraId="7E614524" w14:textId="597365AC" w:rsidR="007852C5" w:rsidRPr="007662C7" w:rsidRDefault="007852C5" w:rsidP="007662C7">
      <w:pPr>
        <w:numPr>
          <w:ilvl w:val="1"/>
          <w:numId w:val="11"/>
        </w:numPr>
        <w:ind w:left="720"/>
        <w:rPr>
          <w:bCs/>
        </w:rPr>
      </w:pPr>
      <w:r w:rsidRPr="007662C7">
        <w:rPr>
          <w:bCs/>
        </w:rPr>
        <w:t xml:space="preserve">GEO-CM04S1 is also undergoing the Phase 2 portion of a Phase 1/2 trial (ClinicalTrials.gov Identifier: NCT04639466), evaluating </w:t>
      </w:r>
      <w:r w:rsidR="00A8483B">
        <w:rPr>
          <w:bCs/>
        </w:rPr>
        <w:t>two vaccine dose levels</w:t>
      </w:r>
      <w:r w:rsidRPr="007662C7">
        <w:rPr>
          <w:bCs/>
        </w:rPr>
        <w:t xml:space="preserve"> as a </w:t>
      </w:r>
      <w:r w:rsidR="00A8483B">
        <w:rPr>
          <w:bCs/>
        </w:rPr>
        <w:t>heterologous</w:t>
      </w:r>
      <w:r w:rsidR="00A8483B" w:rsidRPr="007662C7">
        <w:rPr>
          <w:bCs/>
        </w:rPr>
        <w:t xml:space="preserve"> </w:t>
      </w:r>
      <w:r w:rsidRPr="007662C7">
        <w:rPr>
          <w:bCs/>
        </w:rPr>
        <w:t>COVID-19 booster vaccine to current FDA-approved mRNA vaccines from Pfizer/BioNTech and Moderna.</w:t>
      </w:r>
      <w:r w:rsidR="007662C7" w:rsidRPr="007662C7">
        <w:t xml:space="preserve"> </w:t>
      </w:r>
      <w:r w:rsidR="007662C7" w:rsidRPr="00286385">
        <w:t>In February 2024, we announced positive interim safety and immune responses findings following vaccine administration. Consolidated data</w:t>
      </w:r>
      <w:r w:rsidR="00A8483B">
        <w:t xml:space="preserve"> (blinded to vaccine dose)</w:t>
      </w:r>
      <w:r w:rsidR="007662C7" w:rsidRPr="00286385">
        <w:t xml:space="preserve"> from all subjects tested one-month post-vaccination, documented statistically significant increases in neutralizing antibody responses against multiple SARS-CoV-2 variants, ranging from the original Wuhan strain through Delta and Omicron XBB 1.5.</w:t>
      </w:r>
    </w:p>
    <w:p w14:paraId="74A66F62" w14:textId="3B10579E" w:rsidR="007852C5" w:rsidRPr="00E55FA4" w:rsidRDefault="007852C5" w:rsidP="007852C5">
      <w:pPr>
        <w:numPr>
          <w:ilvl w:val="1"/>
          <w:numId w:val="11"/>
        </w:numPr>
        <w:ind w:left="720"/>
        <w:rPr>
          <w:bCs/>
        </w:rPr>
      </w:pPr>
      <w:r>
        <w:rPr>
          <w:bCs/>
        </w:rPr>
        <w:t xml:space="preserve">An investigator-initiated Phase 2 clinical trial </w:t>
      </w:r>
      <w:r w:rsidRPr="00E55FA4">
        <w:rPr>
          <w:bCs/>
        </w:rPr>
        <w:t xml:space="preserve">(ClinicalTrials.gov Identifier: </w:t>
      </w:r>
      <w:r>
        <w:rPr>
          <w:bCs/>
        </w:rPr>
        <w:t>NCT05672355</w:t>
      </w:r>
      <w:r w:rsidRPr="00E55FA4">
        <w:rPr>
          <w:bCs/>
        </w:rPr>
        <w:t>)</w:t>
      </w:r>
      <w:r>
        <w:rPr>
          <w:bCs/>
        </w:rPr>
        <w:t xml:space="preserve"> of GEO-CM04S1 is evaluating its use as a COVID-19 vaccine </w:t>
      </w:r>
      <w:r w:rsidR="00A8483B">
        <w:rPr>
          <w:bCs/>
        </w:rPr>
        <w:t xml:space="preserve">booster </w:t>
      </w:r>
      <w:r>
        <w:rPr>
          <w:bCs/>
        </w:rPr>
        <w:t>in patients with chronic lymphocytic leukemia (CLL)</w:t>
      </w:r>
      <w:r w:rsidR="007662C7">
        <w:rPr>
          <w:bCs/>
        </w:rPr>
        <w:t xml:space="preserve"> </w:t>
      </w:r>
      <w:r w:rsidR="007662C7" w:rsidRPr="00E0206D">
        <w:t>compared to the Pfizer/BioNTech mRNA-based vaccine</w:t>
      </w:r>
      <w:r w:rsidR="007662C7">
        <w:t>.</w:t>
      </w:r>
    </w:p>
    <w:p w14:paraId="49DA67C7" w14:textId="41E2A8BB" w:rsidR="007662C7" w:rsidRDefault="007852C5" w:rsidP="007852C5">
      <w:pPr>
        <w:numPr>
          <w:ilvl w:val="0"/>
          <w:numId w:val="11"/>
        </w:numPr>
        <w:ind w:left="360"/>
        <w:rPr>
          <w:bCs/>
        </w:rPr>
      </w:pPr>
      <w:r w:rsidRPr="00E55FA4">
        <w:rPr>
          <w:bCs/>
        </w:rPr>
        <w:t>Gedeptin</w:t>
      </w:r>
      <w:r w:rsidRPr="00E55FA4">
        <w:rPr>
          <w:bCs/>
          <w:vertAlign w:val="superscript"/>
        </w:rPr>
        <w:t>®</w:t>
      </w:r>
      <w:r w:rsidRPr="00E55FA4">
        <w:rPr>
          <w:bCs/>
        </w:rPr>
        <w:t xml:space="preserve"> </w:t>
      </w:r>
      <w:r w:rsidR="007662C7">
        <w:rPr>
          <w:bCs/>
        </w:rPr>
        <w:t>- Advanced Head and Neck Cancer Phase 1/2 Trial:</w:t>
      </w:r>
    </w:p>
    <w:p w14:paraId="6176A135" w14:textId="2BC26578" w:rsidR="007662C7" w:rsidRDefault="007662C7" w:rsidP="007662C7">
      <w:pPr>
        <w:numPr>
          <w:ilvl w:val="1"/>
          <w:numId w:val="11"/>
        </w:numPr>
        <w:ind w:left="720"/>
        <w:rPr>
          <w:bCs/>
        </w:rPr>
      </w:pPr>
      <w:r w:rsidRPr="00E55FA4">
        <w:rPr>
          <w:bCs/>
        </w:rPr>
        <w:t xml:space="preserve">Gedeptin </w:t>
      </w:r>
      <w:r w:rsidR="008E7234">
        <w:rPr>
          <w:bCs/>
        </w:rPr>
        <w:t>recently completed</w:t>
      </w:r>
      <w:r w:rsidR="007852C5" w:rsidRPr="00E55FA4">
        <w:rPr>
          <w:bCs/>
        </w:rPr>
        <w:t xml:space="preserve"> a Phase 1/2 clinical trial</w:t>
      </w:r>
      <w:r w:rsidR="008E7234">
        <w:rPr>
          <w:bCs/>
        </w:rPr>
        <w:t xml:space="preserve"> (PNP-002)</w:t>
      </w:r>
      <w:r w:rsidR="007852C5" w:rsidRPr="00E55FA4">
        <w:rPr>
          <w:bCs/>
        </w:rPr>
        <w:t xml:space="preserve"> (ClinicalTrials.gov Identifier: NCT03754933) for treatment of patients with advanced head and neck squamous cell carcinoma (HNSCC). This trial</w:t>
      </w:r>
      <w:bookmarkEnd w:id="24"/>
      <w:r w:rsidR="007852C5" w:rsidRPr="00E55FA4">
        <w:rPr>
          <w:bCs/>
        </w:rPr>
        <w:t xml:space="preserve"> is being funded in part by the U.S. Food &amp; Drug Administration (FDA) pursuant to its Orphan Products Clinical Trials Grants Program. </w:t>
      </w:r>
    </w:p>
    <w:p w14:paraId="069DAA29" w14:textId="71A89B9F" w:rsidR="007662C7" w:rsidRPr="007662C7" w:rsidRDefault="008E7234" w:rsidP="007662C7">
      <w:pPr>
        <w:numPr>
          <w:ilvl w:val="1"/>
          <w:numId w:val="11"/>
        </w:numPr>
        <w:ind w:left="720"/>
        <w:rPr>
          <w:bCs/>
        </w:rPr>
      </w:pPr>
      <w:r>
        <w:t>We recently convened a special</w:t>
      </w:r>
      <w:r w:rsidRPr="00393968">
        <w:t xml:space="preserve"> </w:t>
      </w:r>
      <w:r>
        <w:t>c</w:t>
      </w:r>
      <w:r w:rsidRPr="00393968">
        <w:t xml:space="preserve">linical </w:t>
      </w:r>
      <w:r>
        <w:t>a</w:t>
      </w:r>
      <w:r w:rsidRPr="00393968">
        <w:t xml:space="preserve">dvisory </w:t>
      </w:r>
      <w:r>
        <w:t>b</w:t>
      </w:r>
      <w:r w:rsidRPr="00393968">
        <w:t xml:space="preserve">oard </w:t>
      </w:r>
      <w:r>
        <w:t>to conduct</w:t>
      </w:r>
      <w:r w:rsidRPr="00393968">
        <w:t xml:space="preserve"> a comprehensive review of</w:t>
      </w:r>
      <w:r>
        <w:t xml:space="preserve"> the</w:t>
      </w:r>
      <w:r w:rsidRPr="00393968">
        <w:t xml:space="preserve"> </w:t>
      </w:r>
      <w:r>
        <w:t>PNP-002 trial results</w:t>
      </w:r>
      <w:r w:rsidRPr="00393968">
        <w:t>,</w:t>
      </w:r>
      <w:r>
        <w:t xml:space="preserve"> together with the previously completed Phase 1 trial (PNP-001). This review</w:t>
      </w:r>
      <w:r w:rsidRPr="00393968">
        <w:t xml:space="preserve"> conclud</w:t>
      </w:r>
      <w:r>
        <w:t>ed</w:t>
      </w:r>
      <w:r w:rsidRPr="00393968">
        <w:t xml:space="preserve"> that Gedeptin demonstrated </w:t>
      </w:r>
      <w:r>
        <w:t>an acceptable</w:t>
      </w:r>
      <w:r w:rsidRPr="00393968">
        <w:t xml:space="preserve"> safety</w:t>
      </w:r>
      <w:r>
        <w:t xml:space="preserve"> and efficacy profile to support continued development</w:t>
      </w:r>
      <w:r w:rsidRPr="00393968">
        <w:t xml:space="preserve">. In addition, the therapy has demonstrated sufficient tumor stabilization/reduction activity to support plans to advance clinical development of Gedeptin therapy </w:t>
      </w:r>
      <w:r>
        <w:t>in</w:t>
      </w:r>
      <w:r w:rsidRPr="00393968">
        <w:t xml:space="preserve"> an expanded Phase 2 clinical trial</w:t>
      </w:r>
      <w:r>
        <w:t>.</w:t>
      </w:r>
    </w:p>
    <w:p w14:paraId="300C05CD" w14:textId="296E0F2E" w:rsidR="007852C5" w:rsidRPr="00E55FA4" w:rsidRDefault="008E7234" w:rsidP="007662C7">
      <w:pPr>
        <w:numPr>
          <w:ilvl w:val="1"/>
          <w:numId w:val="11"/>
        </w:numPr>
        <w:ind w:left="720"/>
        <w:rPr>
          <w:bCs/>
        </w:rPr>
      </w:pPr>
      <w:r>
        <w:t>We have</w:t>
      </w:r>
      <w:r w:rsidRPr="00EE24C2">
        <w:t xml:space="preserve"> initiated activities in support of a Phase 2 trial in first-recurrence head and neck cancer. The primary goal of this trial will be to establish efficacy of </w:t>
      </w:r>
      <w:r>
        <w:t xml:space="preserve">neoadjuvant </w:t>
      </w:r>
      <w:r w:rsidRPr="00EE24C2">
        <w:t xml:space="preserve">Gedeptin therapy combined with an immune checkpoint inhibitor in squamous cell head and neck cancer. This trial is anticipated to be a single cycle trial with surgery to follow in </w:t>
      </w:r>
      <w:r w:rsidR="00572656">
        <w:t xml:space="preserve">approximately </w:t>
      </w:r>
      <w:r w:rsidRPr="00EE24C2">
        <w:t xml:space="preserve">36 patients with </w:t>
      </w:r>
      <w:r>
        <w:t xml:space="preserve">pathologic </w:t>
      </w:r>
      <w:r w:rsidRPr="00EE24C2">
        <w:t xml:space="preserve">response rate as the primary endpoint. </w:t>
      </w:r>
      <w:r>
        <w:t>We have</w:t>
      </w:r>
      <w:r w:rsidRPr="00EE24C2">
        <w:t xml:space="preserve"> initiated the necessary planning activities, including</w:t>
      </w:r>
      <w:r>
        <w:t xml:space="preserve"> protocol development, manufacturing and</w:t>
      </w:r>
      <w:r w:rsidRPr="00EE24C2">
        <w:t xml:space="preserve"> CRO selection</w:t>
      </w:r>
      <w:r>
        <w:t xml:space="preserve">, </w:t>
      </w:r>
      <w:r w:rsidRPr="00EE24C2">
        <w:t>with the trial activation anticipated during the first half</w:t>
      </w:r>
      <w:r>
        <w:t xml:space="preserve"> of</w:t>
      </w:r>
      <w:r w:rsidRPr="00EE24C2">
        <w:t xml:space="preserve"> 2025</w:t>
      </w:r>
      <w:r w:rsidR="007662C7">
        <w:t>.</w:t>
      </w:r>
    </w:p>
    <w:p w14:paraId="58476569" w14:textId="77777777" w:rsidR="007852C5" w:rsidRDefault="007852C5" w:rsidP="007852C5">
      <w:pPr>
        <w:numPr>
          <w:ilvl w:val="0"/>
          <w:numId w:val="11"/>
        </w:numPr>
        <w:ind w:left="360"/>
      </w:pPr>
      <w:r>
        <w:t>Our</w:t>
      </w:r>
      <w:r w:rsidRPr="00E55FA4">
        <w:t xml:space="preserve"> additional research programs for vaccines and immunotherapies at various stages of preclinical development.</w:t>
      </w:r>
    </w:p>
    <w:p w14:paraId="651024C9" w14:textId="23AC63C6" w:rsidR="00CF5C51" w:rsidRDefault="00CF5C51" w:rsidP="007852C5">
      <w:pPr>
        <w:numPr>
          <w:ilvl w:val="0"/>
          <w:numId w:val="11"/>
        </w:numPr>
        <w:ind w:left="360"/>
      </w:pPr>
      <w:r>
        <w:t>General Corporate:</w:t>
      </w:r>
    </w:p>
    <w:p w14:paraId="487EAC52" w14:textId="53AC23D5" w:rsidR="000733A2" w:rsidRPr="00E55FA4" w:rsidRDefault="00CF5C51" w:rsidP="000733A2">
      <w:pPr>
        <w:numPr>
          <w:ilvl w:val="1"/>
          <w:numId w:val="11"/>
        </w:numPr>
        <w:ind w:left="720"/>
      </w:pPr>
      <w:r>
        <w:t>O</w:t>
      </w:r>
      <w:r w:rsidRPr="00B24830">
        <w:t xml:space="preserve">n May 23, 2024, </w:t>
      </w:r>
      <w:r>
        <w:t>we</w:t>
      </w:r>
      <w:r w:rsidRPr="00B24830">
        <w:t xml:space="preserve"> received a notice from the Listing Qualifications Department of </w:t>
      </w:r>
      <w:r>
        <w:t>the Nasdaq Stock Market (“Nasdaq”)</w:t>
      </w:r>
      <w:r w:rsidRPr="00B24830">
        <w:t xml:space="preserve"> notifying the Company that it no longer complie</w:t>
      </w:r>
      <w:r>
        <w:t>d</w:t>
      </w:r>
      <w:r w:rsidRPr="00B24830">
        <w:t xml:space="preserve"> with the $2,500,000 minimum stockholders’ equity required for continued listing pursuant to Nasdaq Listing Rule 5550(b)(1)</w:t>
      </w:r>
      <w:r>
        <w:t xml:space="preserve"> (the “Stockholders’ Equity Requirement”)</w:t>
      </w:r>
      <w:r w:rsidRPr="00B24830">
        <w:t>, because the Company’s stockholders’ equity as reported in its Form 10-Q for the period ended March 31, 2024 did not meet the required minimum.</w:t>
      </w:r>
      <w:r>
        <w:t xml:space="preserve"> On July 18, 2024, we received notice from Nasdaq granting our request for an extension of time to regain compliance with the Stockholders’ Equity Requirement until November 19, 2024.</w:t>
      </w:r>
      <w:r w:rsidR="000877FE" w:rsidRPr="000877FE">
        <w:rPr>
          <w:color w:val="000000"/>
        </w:rPr>
        <w:t xml:space="preserve"> </w:t>
      </w:r>
      <w:r w:rsidR="000877FE" w:rsidRPr="00BF6FC3">
        <w:t xml:space="preserve">We are currently reviewing potential transactions that, if implemented, could remedy the </w:t>
      </w:r>
      <w:r w:rsidR="000877FE" w:rsidRPr="00BF6FC3">
        <w:lastRenderedPageBreak/>
        <w:t xml:space="preserve">shortfall in our stockholders’ equity. </w:t>
      </w:r>
      <w:r w:rsidR="000877FE">
        <w:t>There can be no assurance</w:t>
      </w:r>
      <w:r w:rsidR="000877FE" w:rsidRPr="00BF6FC3">
        <w:t>, however, whether we will be able to remedy the non-compliance</w:t>
      </w:r>
      <w:r w:rsidR="000877FE">
        <w:t>.</w:t>
      </w:r>
    </w:p>
    <w:p w14:paraId="4B0F4CCA" w14:textId="77777777" w:rsidR="00E377E4" w:rsidRDefault="00E377E4" w:rsidP="00177E79"/>
    <w:p w14:paraId="766472F2" w14:textId="77777777" w:rsidR="00F2707B" w:rsidRPr="00E55FA4" w:rsidRDefault="00F2707B" w:rsidP="00F2707B">
      <w:pPr>
        <w:rPr>
          <w:b/>
          <w:bCs/>
        </w:rPr>
      </w:pPr>
      <w:r w:rsidRPr="00E55FA4">
        <w:rPr>
          <w:b/>
          <w:bCs/>
        </w:rPr>
        <w:t>Financial Overview</w:t>
      </w:r>
    </w:p>
    <w:p w14:paraId="069AB2EA" w14:textId="77777777" w:rsidR="00F2707B" w:rsidRPr="00E55FA4" w:rsidRDefault="00F2707B" w:rsidP="00F2707B">
      <w:pPr>
        <w:rPr>
          <w:i/>
          <w:iCs/>
        </w:rPr>
      </w:pPr>
    </w:p>
    <w:p w14:paraId="77CE7E5E" w14:textId="77777777" w:rsidR="00F2707B" w:rsidRPr="00E55FA4" w:rsidRDefault="00F2707B" w:rsidP="00F2707B">
      <w:pPr>
        <w:rPr>
          <w:i/>
          <w:iCs/>
        </w:rPr>
      </w:pPr>
      <w:r w:rsidRPr="00E55FA4">
        <w:rPr>
          <w:i/>
          <w:iCs/>
        </w:rPr>
        <w:t>Revenue</w:t>
      </w:r>
    </w:p>
    <w:p w14:paraId="47D2C14D" w14:textId="77777777" w:rsidR="00F2707B" w:rsidRPr="00E55FA4" w:rsidRDefault="00F2707B" w:rsidP="00F2707B"/>
    <w:p w14:paraId="7B4E8933" w14:textId="5E8FB755" w:rsidR="00F2707B" w:rsidRPr="00E55FA4" w:rsidRDefault="005C39B1" w:rsidP="00F2707B">
      <w:r>
        <w:rPr>
          <w:color w:val="000000"/>
        </w:rPr>
        <w:t xml:space="preserve">Our revenues to date have been related to government grants and contracts and other collaborative arrangements in support of our product development activities. </w:t>
      </w:r>
      <w:r w:rsidR="00F2707B" w:rsidRPr="00DD33CB">
        <w:rPr>
          <w:color w:val="000000"/>
        </w:rPr>
        <w:t>We have not generated any revenue</w:t>
      </w:r>
      <w:r w:rsidR="00F2707B">
        <w:rPr>
          <w:color w:val="000000"/>
        </w:rPr>
        <w:t xml:space="preserve"> to date</w:t>
      </w:r>
      <w:r w:rsidR="00F2707B" w:rsidRPr="00DD33CB">
        <w:rPr>
          <w:color w:val="000000"/>
        </w:rPr>
        <w:t xml:space="preserve"> from the sale of the products we are developing</w:t>
      </w:r>
      <w:r w:rsidR="00F2707B" w:rsidRPr="00E55FA4">
        <w:t xml:space="preserv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t>
      </w:r>
    </w:p>
    <w:p w14:paraId="0EF26EC1" w14:textId="77777777" w:rsidR="00F2707B" w:rsidRPr="00E55FA4" w:rsidRDefault="00F2707B" w:rsidP="00F2707B"/>
    <w:p w14:paraId="058F9418" w14:textId="77777777" w:rsidR="00F2707B" w:rsidRPr="00E55FA4" w:rsidRDefault="00F2707B" w:rsidP="00F2707B">
      <w:pPr>
        <w:rPr>
          <w:i/>
          <w:iCs/>
        </w:rPr>
      </w:pPr>
      <w:r w:rsidRPr="00E55FA4">
        <w:rPr>
          <w:i/>
          <w:iCs/>
        </w:rPr>
        <w:t>Research and development expenses</w:t>
      </w:r>
    </w:p>
    <w:p w14:paraId="7031161C" w14:textId="77777777" w:rsidR="00F2707B" w:rsidRPr="00E55FA4" w:rsidRDefault="00F2707B" w:rsidP="00F2707B"/>
    <w:p w14:paraId="262A359F" w14:textId="77777777" w:rsidR="00F2707B" w:rsidRPr="00AE68C1" w:rsidRDefault="00F2707B" w:rsidP="00F2707B">
      <w:pPr>
        <w:rPr>
          <w:color w:val="000000"/>
        </w:rPr>
      </w:pPr>
      <w:r w:rsidRPr="00AE68C1">
        <w:rPr>
          <w:color w:val="000000"/>
        </w:rPr>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3C57DB92"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personnel costs in our research, development and regulatory functions, which include salaries, benefits and stock-based </w:t>
      </w:r>
      <w:proofErr w:type="gramStart"/>
      <w:r w:rsidRPr="00AE68C1">
        <w:rPr>
          <w:color w:val="000000"/>
          <w:lang w:eastAsia="zh-CN"/>
        </w:rPr>
        <w:t>compensation;</w:t>
      </w:r>
      <w:proofErr w:type="gramEnd"/>
    </w:p>
    <w:p w14:paraId="118F3C78"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contract research organizations (“CROs”), that conduct clinical trials on our </w:t>
      </w:r>
      <w:proofErr w:type="gramStart"/>
      <w:r w:rsidRPr="00AE68C1">
        <w:rPr>
          <w:color w:val="000000"/>
          <w:lang w:eastAsia="zh-CN"/>
        </w:rPr>
        <w:t>behalf;</w:t>
      </w:r>
      <w:proofErr w:type="gramEnd"/>
    </w:p>
    <w:p w14:paraId="3F0F858F"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contract manufacturing organizations (“CMOs”), that manufacture product used in the clinical </w:t>
      </w:r>
      <w:proofErr w:type="gramStart"/>
      <w:r w:rsidRPr="00AE68C1">
        <w:rPr>
          <w:color w:val="000000"/>
          <w:lang w:eastAsia="zh-CN"/>
        </w:rPr>
        <w:t>trials;</w:t>
      </w:r>
      <w:proofErr w:type="gramEnd"/>
    </w:p>
    <w:p w14:paraId="5183A11B"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expenses incurred in procuring materials and for analytical and release testing services required to produce vaccine candidates used in clinical </w:t>
      </w:r>
      <w:proofErr w:type="gramStart"/>
      <w:r w:rsidRPr="00AE68C1">
        <w:rPr>
          <w:color w:val="000000"/>
          <w:lang w:eastAsia="zh-CN"/>
        </w:rPr>
        <w:t>trials;</w:t>
      </w:r>
      <w:proofErr w:type="gramEnd"/>
    </w:p>
    <w:p w14:paraId="41C860B3" w14:textId="7F4F52FF"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process development expenses to improve the efficiency and yield of the bulk </w:t>
      </w:r>
      <w:proofErr w:type="gramStart"/>
      <w:r w:rsidRPr="00AE68C1">
        <w:rPr>
          <w:color w:val="000000"/>
          <w:lang w:eastAsia="zh-CN"/>
        </w:rPr>
        <w:t>vaccine;</w:t>
      </w:r>
      <w:proofErr w:type="gramEnd"/>
    </w:p>
    <w:p w14:paraId="3F328F57"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laboratory supplies, vendor expenses and other third-party contract expenses related to preclinical research </w:t>
      </w:r>
      <w:proofErr w:type="gramStart"/>
      <w:r w:rsidRPr="00AE68C1">
        <w:rPr>
          <w:color w:val="000000"/>
          <w:lang w:eastAsia="zh-CN"/>
        </w:rPr>
        <w:t>activities;</w:t>
      </w:r>
      <w:proofErr w:type="gramEnd"/>
    </w:p>
    <w:p w14:paraId="11B1CE0E"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 xml:space="preserve">technology license </w:t>
      </w:r>
      <w:proofErr w:type="gramStart"/>
      <w:r w:rsidRPr="00AE68C1">
        <w:rPr>
          <w:color w:val="000000"/>
          <w:lang w:eastAsia="zh-CN"/>
        </w:rPr>
        <w:t>fees;</w:t>
      </w:r>
      <w:proofErr w:type="gramEnd"/>
    </w:p>
    <w:p w14:paraId="6D3AB391"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consultant expenses for services supporting our clinical, regulatory and manufacturing activities; and</w:t>
      </w:r>
    </w:p>
    <w:p w14:paraId="0007C2A2" w14:textId="77777777" w:rsidR="00F2707B" w:rsidRPr="00AE68C1" w:rsidRDefault="00F2707B" w:rsidP="00F2707B">
      <w:pPr>
        <w:ind w:left="360" w:hanging="360"/>
        <w:rPr>
          <w:color w:val="000000"/>
          <w:lang w:eastAsia="zh-CN"/>
        </w:rPr>
      </w:pPr>
      <w:r w:rsidRPr="00AE68C1">
        <w:rPr>
          <w:color w:val="000000"/>
          <w:lang w:eastAsia="zh-CN"/>
        </w:rPr>
        <w:t>•</w:t>
      </w:r>
      <w:r w:rsidRPr="00AE68C1">
        <w:rPr>
          <w:color w:val="000000"/>
          <w:lang w:eastAsia="zh-CN"/>
        </w:rPr>
        <w:tab/>
        <w:t>facilities, depreciation and other general overhead expenses.</w:t>
      </w:r>
    </w:p>
    <w:p w14:paraId="44C26531" w14:textId="77777777" w:rsidR="00F2707B" w:rsidRPr="00AE68C1" w:rsidRDefault="00F2707B" w:rsidP="00F2707B">
      <w:pPr>
        <w:rPr>
          <w:color w:val="000000"/>
          <w:lang w:eastAsia="zh-CN"/>
        </w:rPr>
      </w:pPr>
    </w:p>
    <w:p w14:paraId="70B0E64F" w14:textId="77777777" w:rsidR="00F2707B" w:rsidRPr="00AE68C1" w:rsidRDefault="00F2707B" w:rsidP="00F2707B">
      <w:pPr>
        <w:rPr>
          <w:color w:val="000000"/>
        </w:rPr>
      </w:pPr>
      <w:r w:rsidRPr="00AE68C1">
        <w:rPr>
          <w:color w:val="000000"/>
        </w:rPr>
        <w:t>We expect our research and development expenditures to increase as we advance our existing and future product candidates into and through clinical trials and pursue regulatory approval, especially with regard to the Gedeptin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4D80668D" w14:textId="77777777" w:rsidR="00F2707B" w:rsidRPr="00E55FA4" w:rsidRDefault="00F2707B" w:rsidP="00F2707B"/>
    <w:p w14:paraId="51EB00D2" w14:textId="77777777" w:rsidR="00F2707B" w:rsidRPr="00E55FA4" w:rsidRDefault="00F2707B" w:rsidP="00F2707B">
      <w:pPr>
        <w:rPr>
          <w:i/>
          <w:iCs/>
        </w:rPr>
      </w:pPr>
      <w:r w:rsidRPr="00E55FA4">
        <w:rPr>
          <w:i/>
          <w:iCs/>
        </w:rPr>
        <w:t>General and administrative expenses</w:t>
      </w:r>
    </w:p>
    <w:p w14:paraId="3F8B4AB6" w14:textId="77777777" w:rsidR="00F2707B" w:rsidRPr="00E55FA4" w:rsidRDefault="00F2707B" w:rsidP="00F2707B"/>
    <w:p w14:paraId="5DBDFA76" w14:textId="4A791158" w:rsidR="00F2707B" w:rsidRPr="00AE68C1" w:rsidRDefault="00F2707B" w:rsidP="00F2707B">
      <w:pPr>
        <w:rPr>
          <w:color w:val="000000"/>
        </w:rPr>
      </w:pPr>
      <w:r w:rsidRPr="00AE68C1">
        <w:rPr>
          <w:color w:val="000000"/>
        </w:rPr>
        <w:t xml:space="preserve">Our general and administrative expenses consist primarily of personnel costs in our executive, finance and investor relations, business development and administrative functions, including stock-based compensation.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to continue to increase in the future as we support expanded research and development activities, prepare for potential commercialization of our current and future product candidates, maintain compliance with requirements of Nasdaq and the </w:t>
      </w:r>
      <w:r w:rsidR="003C6624">
        <w:rPr>
          <w:color w:val="000000"/>
        </w:rPr>
        <w:t>SEC</w:t>
      </w:r>
      <w:r w:rsidRPr="00AE68C1">
        <w:rPr>
          <w:color w:val="000000"/>
        </w:rPr>
        <w:t>, and other general corporate activities.</w:t>
      </w:r>
    </w:p>
    <w:p w14:paraId="5C3E729B" w14:textId="77777777" w:rsidR="00F2707B" w:rsidRDefault="00F2707B" w:rsidP="00F2707B"/>
    <w:p w14:paraId="2418FF12" w14:textId="77777777" w:rsidR="00B9502C" w:rsidRDefault="00B9502C">
      <w:pPr>
        <w:rPr>
          <w:rFonts w:eastAsia="????"/>
          <w:b/>
        </w:rPr>
      </w:pPr>
      <w:r>
        <w:rPr>
          <w:rFonts w:eastAsia="????"/>
          <w:b/>
        </w:rPr>
        <w:br w:type="page"/>
      </w:r>
    </w:p>
    <w:p w14:paraId="62BF9A2B" w14:textId="3CB919A1" w:rsidR="00F2707B" w:rsidRPr="0009354D" w:rsidRDefault="00F2707B" w:rsidP="00F2707B">
      <w:pPr>
        <w:rPr>
          <w:rFonts w:eastAsia="????"/>
          <w:b/>
        </w:rPr>
      </w:pPr>
      <w:r w:rsidRPr="0009354D">
        <w:rPr>
          <w:rFonts w:eastAsia="????"/>
          <w:b/>
        </w:rPr>
        <w:lastRenderedPageBreak/>
        <w:t>Critical Accounting Policies and Estimates</w:t>
      </w:r>
    </w:p>
    <w:p w14:paraId="6B8A591B" w14:textId="77777777" w:rsidR="00F2707B" w:rsidRPr="0009354D" w:rsidRDefault="00F2707B" w:rsidP="00F2707B"/>
    <w:p w14:paraId="358959D2" w14:textId="77777777" w:rsidR="00F2707B" w:rsidRPr="0009354D" w:rsidRDefault="00F2707B" w:rsidP="00F2707B">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71478E40" w14:textId="77777777" w:rsidR="00F2707B" w:rsidRPr="0009354D" w:rsidRDefault="00F2707B" w:rsidP="00F2707B"/>
    <w:p w14:paraId="61291998" w14:textId="77777777" w:rsidR="00F2707B" w:rsidRPr="0009354D" w:rsidRDefault="00F2707B" w:rsidP="00F2707B">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t>to the</w:t>
      </w:r>
      <w:r w:rsidRPr="0009354D">
        <w:t xml:space="preserve"> Management’s Discussion and Analysis of Financial Condition and Results of Operations in our Annual Report on Form 10-K for the year ended December 31, 202</w:t>
      </w:r>
      <w:r>
        <w:t>3</w:t>
      </w:r>
      <w:r w:rsidRPr="0009354D">
        <w:t>. There have been no significant changes to our critical accounting policies from those disclosed in our 202</w:t>
      </w:r>
      <w:r>
        <w:t>3</w:t>
      </w:r>
      <w:r w:rsidRPr="0009354D">
        <w:t xml:space="preserve"> Annual Report.</w:t>
      </w:r>
    </w:p>
    <w:p w14:paraId="00C7CF3D" w14:textId="77777777" w:rsidR="00F2707B" w:rsidRPr="0009354D" w:rsidRDefault="00F2707B" w:rsidP="00F2707B">
      <w:pPr>
        <w:rPr>
          <w:rFonts w:eastAsia="????"/>
          <w:b/>
        </w:rPr>
      </w:pPr>
    </w:p>
    <w:p w14:paraId="0C6603AC" w14:textId="77777777" w:rsidR="00F2707B" w:rsidRPr="0009354D" w:rsidRDefault="00F2707B" w:rsidP="00F2707B">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condensed consolidated financial statements, included in this Quarterly Report.</w:t>
      </w:r>
    </w:p>
    <w:p w14:paraId="40A78CEA" w14:textId="77777777" w:rsidR="00F2707B" w:rsidRDefault="00F2707B" w:rsidP="00F2707B"/>
    <w:p w14:paraId="76D5D185" w14:textId="77777777" w:rsidR="00F2707B" w:rsidRPr="001C37F3" w:rsidRDefault="00F2707B" w:rsidP="00F2707B">
      <w:pPr>
        <w:rPr>
          <w:b/>
          <w:iCs/>
        </w:rPr>
      </w:pPr>
      <w:r w:rsidRPr="001C37F3">
        <w:rPr>
          <w:b/>
          <w:iCs/>
        </w:rPr>
        <w:t>Off-Balance Sheet Arrangements</w:t>
      </w:r>
    </w:p>
    <w:p w14:paraId="03D3E20B" w14:textId="77777777" w:rsidR="00F2707B" w:rsidRPr="00640BA0" w:rsidRDefault="00F2707B" w:rsidP="00F2707B"/>
    <w:p w14:paraId="729363E2" w14:textId="77777777" w:rsidR="00F2707B" w:rsidRDefault="00F2707B" w:rsidP="00F2707B">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5216869F" w14:textId="77777777" w:rsidR="00FC0E85" w:rsidRDefault="00FC0E85" w:rsidP="00177E79"/>
    <w:p w14:paraId="1FE83587" w14:textId="69D51EFE" w:rsidR="00177E79" w:rsidRPr="0009354D" w:rsidRDefault="00177E79" w:rsidP="00177E79">
      <w:pPr>
        <w:rPr>
          <w:rFonts w:eastAsia="????"/>
          <w:b/>
        </w:rPr>
      </w:pPr>
      <w:r w:rsidRPr="0009354D">
        <w:rPr>
          <w:rFonts w:eastAsia="????"/>
          <w:b/>
        </w:rPr>
        <w:t>Results of Operations</w:t>
      </w:r>
    </w:p>
    <w:p w14:paraId="2A5A41A7" w14:textId="77777777" w:rsidR="00177E79" w:rsidRPr="0009354D" w:rsidRDefault="00177E79" w:rsidP="00177E79">
      <w:pPr>
        <w:rPr>
          <w:i/>
          <w:iCs/>
        </w:rPr>
      </w:pPr>
    </w:p>
    <w:p w14:paraId="639573B1" w14:textId="1FDAE3A5" w:rsidR="00177E79" w:rsidRDefault="00177E79" w:rsidP="00177E79">
      <w:pPr>
        <w:tabs>
          <w:tab w:val="left" w:pos="1080"/>
          <w:tab w:val="left" w:pos="1260"/>
          <w:tab w:val="left" w:pos="2340"/>
          <w:tab w:val="right" w:pos="9180"/>
        </w:tabs>
        <w:ind w:right="36"/>
        <w:rPr>
          <w:bCs/>
        </w:rPr>
      </w:pPr>
      <w:bookmarkStart w:id="25" w:name="_Hlk77172497"/>
      <w:r w:rsidRPr="0009354D">
        <w:rPr>
          <w:bCs/>
        </w:rPr>
        <w:t>The following table summarize</w:t>
      </w:r>
      <w:r w:rsidR="001F2E8C">
        <w:rPr>
          <w:bCs/>
        </w:rPr>
        <w:t>s</w:t>
      </w:r>
      <w:r w:rsidRPr="0009354D">
        <w:rPr>
          <w:bCs/>
        </w:rPr>
        <w:t xml:space="preserve"> our results of operations for the three-month </w:t>
      </w:r>
      <w:r w:rsidR="008E7767">
        <w:rPr>
          <w:bCs/>
        </w:rPr>
        <w:t xml:space="preserve">and six-month </w:t>
      </w:r>
      <w:r w:rsidRPr="0009354D">
        <w:rPr>
          <w:bCs/>
        </w:rPr>
        <w:t xml:space="preserve">periods ended </w:t>
      </w:r>
      <w:r w:rsidR="008E7767">
        <w:rPr>
          <w:bCs/>
        </w:rPr>
        <w:t>June</w:t>
      </w:r>
      <w:r w:rsidRPr="0009354D">
        <w:rPr>
          <w:bCs/>
        </w:rPr>
        <w:t xml:space="preserve"> 3</w:t>
      </w:r>
      <w:r w:rsidR="008E7767">
        <w:rPr>
          <w:bCs/>
        </w:rPr>
        <w:t>0</w:t>
      </w:r>
      <w:r w:rsidRPr="0009354D">
        <w:rPr>
          <w:bCs/>
        </w:rPr>
        <w:t xml:space="preserve">, </w:t>
      </w:r>
      <w:proofErr w:type="gramStart"/>
      <w:r w:rsidRPr="0009354D">
        <w:rPr>
          <w:bCs/>
        </w:rPr>
        <w:t>202</w:t>
      </w:r>
      <w:r w:rsidR="00340DE3">
        <w:rPr>
          <w:bCs/>
        </w:rPr>
        <w:t>4</w:t>
      </w:r>
      <w:proofErr w:type="gramEnd"/>
      <w:r w:rsidRPr="0009354D">
        <w:rPr>
          <w:bCs/>
        </w:rPr>
        <w:t xml:space="preserve"> and 20</w:t>
      </w:r>
      <w:r w:rsidR="001F2E8C">
        <w:rPr>
          <w:bCs/>
        </w:rPr>
        <w:t>2</w:t>
      </w:r>
      <w:r w:rsidR="00340DE3">
        <w:rPr>
          <w:bCs/>
        </w:rPr>
        <w:t>3</w:t>
      </w:r>
      <w:r w:rsidRPr="0009354D">
        <w:rPr>
          <w:bCs/>
        </w:rPr>
        <w:t>:</w:t>
      </w:r>
      <w:bookmarkEnd w:id="25"/>
    </w:p>
    <w:p w14:paraId="5523F180" w14:textId="77777777" w:rsidR="001F2E8C" w:rsidRPr="0009354D" w:rsidRDefault="001F2E8C" w:rsidP="00177E79">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8E7767" w:rsidRPr="0009354D" w14:paraId="131D8DA0" w14:textId="77777777" w:rsidTr="005C5FAB">
        <w:tc>
          <w:tcPr>
            <w:tcW w:w="378" w:type="dxa"/>
          </w:tcPr>
          <w:p w14:paraId="3738D14B" w14:textId="77777777" w:rsidR="008E7767" w:rsidRPr="0009354D" w:rsidRDefault="008E7767" w:rsidP="005C5FAB">
            <w:pPr>
              <w:ind w:right="-360"/>
            </w:pPr>
          </w:p>
        </w:tc>
        <w:tc>
          <w:tcPr>
            <w:tcW w:w="450" w:type="dxa"/>
          </w:tcPr>
          <w:p w14:paraId="19C203B7" w14:textId="77777777" w:rsidR="008E7767" w:rsidRPr="0009354D" w:rsidRDefault="008E7767" w:rsidP="005C5FAB">
            <w:pPr>
              <w:ind w:right="-360"/>
            </w:pPr>
          </w:p>
        </w:tc>
        <w:tc>
          <w:tcPr>
            <w:tcW w:w="450" w:type="dxa"/>
          </w:tcPr>
          <w:p w14:paraId="43153250" w14:textId="77777777" w:rsidR="008E7767" w:rsidRPr="0009354D" w:rsidRDefault="008E7767" w:rsidP="005C5FAB">
            <w:pPr>
              <w:ind w:right="-360"/>
            </w:pPr>
          </w:p>
        </w:tc>
        <w:tc>
          <w:tcPr>
            <w:tcW w:w="2160" w:type="dxa"/>
          </w:tcPr>
          <w:p w14:paraId="1F37EEB2" w14:textId="77777777" w:rsidR="008E7767" w:rsidRPr="0009354D" w:rsidRDefault="008E7767" w:rsidP="005C5FAB">
            <w:pPr>
              <w:tabs>
                <w:tab w:val="right" w:pos="9180"/>
              </w:tabs>
              <w:ind w:right="-360"/>
            </w:pPr>
          </w:p>
        </w:tc>
        <w:tc>
          <w:tcPr>
            <w:tcW w:w="1440" w:type="dxa"/>
          </w:tcPr>
          <w:p w14:paraId="3FCCEF04" w14:textId="77777777" w:rsidR="008E7767" w:rsidRPr="0009354D" w:rsidRDefault="008E7767" w:rsidP="005C5FAB">
            <w:pPr>
              <w:tabs>
                <w:tab w:val="right" w:pos="9180"/>
              </w:tabs>
              <w:ind w:right="-46"/>
              <w:jc w:val="center"/>
            </w:pPr>
          </w:p>
        </w:tc>
        <w:tc>
          <w:tcPr>
            <w:tcW w:w="2880" w:type="dxa"/>
            <w:gridSpan w:val="2"/>
            <w:tcBorders>
              <w:bottom w:val="single" w:sz="4" w:space="0" w:color="auto"/>
            </w:tcBorders>
          </w:tcPr>
          <w:p w14:paraId="33FA49D1" w14:textId="77777777" w:rsidR="008E7767" w:rsidRPr="0009354D" w:rsidRDefault="008E7767" w:rsidP="005C5FAB">
            <w:pPr>
              <w:tabs>
                <w:tab w:val="right" w:pos="9180"/>
              </w:tabs>
              <w:ind w:right="-18"/>
              <w:jc w:val="center"/>
            </w:pPr>
            <w:r w:rsidRPr="0009354D">
              <w:t>Three Months Ended June 30,</w:t>
            </w:r>
          </w:p>
        </w:tc>
        <w:tc>
          <w:tcPr>
            <w:tcW w:w="1530" w:type="dxa"/>
          </w:tcPr>
          <w:p w14:paraId="23EE96D7" w14:textId="77777777" w:rsidR="008E7767" w:rsidRPr="0009354D" w:rsidRDefault="008E7767" w:rsidP="005C5FAB">
            <w:pPr>
              <w:tabs>
                <w:tab w:val="right" w:pos="9180"/>
              </w:tabs>
              <w:ind w:right="-18"/>
              <w:jc w:val="center"/>
            </w:pPr>
          </w:p>
        </w:tc>
      </w:tr>
      <w:tr w:rsidR="008E7767" w:rsidRPr="0009354D" w14:paraId="0575EEBA" w14:textId="77777777" w:rsidTr="005C5FAB">
        <w:tc>
          <w:tcPr>
            <w:tcW w:w="378" w:type="dxa"/>
          </w:tcPr>
          <w:p w14:paraId="6FCEEC98" w14:textId="77777777" w:rsidR="008E7767" w:rsidRPr="0009354D" w:rsidRDefault="008E7767" w:rsidP="005C5FAB">
            <w:pPr>
              <w:ind w:right="-360"/>
            </w:pPr>
          </w:p>
        </w:tc>
        <w:tc>
          <w:tcPr>
            <w:tcW w:w="450" w:type="dxa"/>
          </w:tcPr>
          <w:p w14:paraId="70576945" w14:textId="77777777" w:rsidR="008E7767" w:rsidRPr="0009354D" w:rsidRDefault="008E7767" w:rsidP="005C5FAB">
            <w:pPr>
              <w:ind w:right="-360"/>
            </w:pPr>
          </w:p>
        </w:tc>
        <w:tc>
          <w:tcPr>
            <w:tcW w:w="450" w:type="dxa"/>
          </w:tcPr>
          <w:p w14:paraId="646E6530" w14:textId="77777777" w:rsidR="008E7767" w:rsidRPr="0009354D" w:rsidRDefault="008E7767" w:rsidP="005C5FAB">
            <w:pPr>
              <w:ind w:right="-360"/>
            </w:pPr>
          </w:p>
        </w:tc>
        <w:tc>
          <w:tcPr>
            <w:tcW w:w="2160" w:type="dxa"/>
          </w:tcPr>
          <w:p w14:paraId="7A2CDCA4" w14:textId="77777777" w:rsidR="008E7767" w:rsidRPr="0009354D" w:rsidRDefault="008E7767" w:rsidP="005C5FAB">
            <w:pPr>
              <w:tabs>
                <w:tab w:val="right" w:pos="9180"/>
              </w:tabs>
              <w:ind w:right="-360"/>
            </w:pPr>
          </w:p>
        </w:tc>
        <w:tc>
          <w:tcPr>
            <w:tcW w:w="1440" w:type="dxa"/>
          </w:tcPr>
          <w:p w14:paraId="26198999" w14:textId="77777777" w:rsidR="008E7767" w:rsidRPr="0009354D" w:rsidRDefault="008E7767" w:rsidP="005C5FAB">
            <w:pPr>
              <w:tabs>
                <w:tab w:val="right" w:pos="9180"/>
              </w:tabs>
              <w:ind w:right="-46"/>
              <w:jc w:val="center"/>
            </w:pPr>
          </w:p>
        </w:tc>
        <w:tc>
          <w:tcPr>
            <w:tcW w:w="1440" w:type="dxa"/>
            <w:tcBorders>
              <w:bottom w:val="single" w:sz="4" w:space="0" w:color="auto"/>
            </w:tcBorders>
          </w:tcPr>
          <w:p w14:paraId="3CC07C89" w14:textId="0F61AE75" w:rsidR="008E7767" w:rsidRPr="0009354D" w:rsidRDefault="008E7767" w:rsidP="005C5FAB">
            <w:pPr>
              <w:tabs>
                <w:tab w:val="right" w:pos="9180"/>
              </w:tabs>
              <w:ind w:right="-46"/>
              <w:jc w:val="center"/>
            </w:pPr>
            <w:r w:rsidRPr="0009354D">
              <w:t>202</w:t>
            </w:r>
            <w:r w:rsidR="00340DE3">
              <w:t>4</w:t>
            </w:r>
          </w:p>
        </w:tc>
        <w:tc>
          <w:tcPr>
            <w:tcW w:w="1440" w:type="dxa"/>
            <w:tcBorders>
              <w:bottom w:val="single" w:sz="4" w:space="0" w:color="auto"/>
            </w:tcBorders>
          </w:tcPr>
          <w:p w14:paraId="3F767853" w14:textId="011CDA1D" w:rsidR="008E7767" w:rsidRPr="0009354D" w:rsidRDefault="008E7767" w:rsidP="005C5FAB">
            <w:pPr>
              <w:tabs>
                <w:tab w:val="right" w:pos="9180"/>
              </w:tabs>
              <w:ind w:right="-18"/>
              <w:jc w:val="center"/>
            </w:pPr>
            <w:r w:rsidRPr="0009354D">
              <w:t>202</w:t>
            </w:r>
            <w:r w:rsidR="00340DE3">
              <w:t>3</w:t>
            </w:r>
          </w:p>
        </w:tc>
        <w:tc>
          <w:tcPr>
            <w:tcW w:w="1530" w:type="dxa"/>
            <w:tcBorders>
              <w:bottom w:val="single" w:sz="4" w:space="0" w:color="auto"/>
            </w:tcBorders>
          </w:tcPr>
          <w:p w14:paraId="3EF2D8DA" w14:textId="77777777" w:rsidR="008E7767" w:rsidRPr="0009354D" w:rsidRDefault="008E7767" w:rsidP="005C5FAB">
            <w:pPr>
              <w:tabs>
                <w:tab w:val="right" w:pos="9180"/>
              </w:tabs>
              <w:ind w:right="-18"/>
              <w:jc w:val="center"/>
            </w:pPr>
            <w:r w:rsidRPr="0009354D">
              <w:t>Change</w:t>
            </w:r>
          </w:p>
        </w:tc>
      </w:tr>
      <w:tr w:rsidR="008E7767" w:rsidRPr="0009354D" w14:paraId="4D681A83" w14:textId="77777777" w:rsidTr="005C5FAB">
        <w:tc>
          <w:tcPr>
            <w:tcW w:w="3438" w:type="dxa"/>
            <w:gridSpan w:val="4"/>
          </w:tcPr>
          <w:p w14:paraId="18540CA5" w14:textId="4BAA62CF" w:rsidR="008E7767" w:rsidRPr="0009354D" w:rsidRDefault="00340DE3" w:rsidP="005C5FAB">
            <w:pPr>
              <w:tabs>
                <w:tab w:val="right" w:pos="9180"/>
              </w:tabs>
              <w:ind w:right="-360"/>
            </w:pPr>
            <w:r>
              <w:t>Revenue from government contract</w:t>
            </w:r>
          </w:p>
        </w:tc>
        <w:tc>
          <w:tcPr>
            <w:tcW w:w="1440" w:type="dxa"/>
          </w:tcPr>
          <w:p w14:paraId="6B75DCD2" w14:textId="77777777" w:rsidR="008E7767" w:rsidRPr="0009354D" w:rsidRDefault="008E7767" w:rsidP="005C5FAB">
            <w:pPr>
              <w:tabs>
                <w:tab w:val="decimal" w:pos="1062"/>
                <w:tab w:val="right" w:pos="9180"/>
              </w:tabs>
              <w:ind w:right="-46"/>
            </w:pPr>
          </w:p>
        </w:tc>
        <w:tc>
          <w:tcPr>
            <w:tcW w:w="1440" w:type="dxa"/>
            <w:tcBorders>
              <w:top w:val="single" w:sz="4" w:space="0" w:color="auto"/>
            </w:tcBorders>
          </w:tcPr>
          <w:p w14:paraId="23A55E0D" w14:textId="1CE03287" w:rsidR="008E7767" w:rsidRPr="0009354D" w:rsidRDefault="008E7767" w:rsidP="005C5FAB">
            <w:pPr>
              <w:tabs>
                <w:tab w:val="decimal" w:pos="1062"/>
                <w:tab w:val="right" w:pos="9180"/>
              </w:tabs>
              <w:ind w:right="-46"/>
            </w:pPr>
            <w:r w:rsidRPr="0009354D">
              <w:t>$</w:t>
            </w:r>
            <w:r w:rsidRPr="0009354D">
              <w:tab/>
            </w:r>
            <w:r w:rsidR="00340DE3">
              <w:t>300,677</w:t>
            </w:r>
          </w:p>
        </w:tc>
        <w:tc>
          <w:tcPr>
            <w:tcW w:w="1440" w:type="dxa"/>
          </w:tcPr>
          <w:p w14:paraId="1A15D2A5" w14:textId="707476A3" w:rsidR="008E7767" w:rsidRPr="0009354D" w:rsidRDefault="008E7767" w:rsidP="005C5FAB">
            <w:pPr>
              <w:tabs>
                <w:tab w:val="decimal" w:pos="1062"/>
                <w:tab w:val="right" w:pos="9180"/>
              </w:tabs>
              <w:ind w:right="-18"/>
            </w:pPr>
            <w:r w:rsidRPr="0009354D">
              <w:t>$</w:t>
            </w:r>
            <w:r w:rsidRPr="0009354D">
              <w:tab/>
            </w:r>
            <w:r>
              <w:t>-</w:t>
            </w:r>
          </w:p>
        </w:tc>
        <w:tc>
          <w:tcPr>
            <w:tcW w:w="1530" w:type="dxa"/>
          </w:tcPr>
          <w:p w14:paraId="523EC714" w14:textId="4FD0EF51" w:rsidR="008E7767" w:rsidRPr="0009354D" w:rsidRDefault="008E7767" w:rsidP="005C5FAB">
            <w:pPr>
              <w:tabs>
                <w:tab w:val="decimal" w:pos="1152"/>
                <w:tab w:val="right" w:pos="9180"/>
              </w:tabs>
              <w:ind w:right="-18"/>
            </w:pPr>
            <w:r w:rsidRPr="0009354D">
              <w:t>$</w:t>
            </w:r>
            <w:r w:rsidRPr="0009354D">
              <w:tab/>
            </w:r>
            <w:r w:rsidR="00340DE3">
              <w:t>300,677</w:t>
            </w:r>
          </w:p>
        </w:tc>
      </w:tr>
      <w:tr w:rsidR="008E7767" w:rsidRPr="0009354D" w14:paraId="13FB6B1E" w14:textId="77777777" w:rsidTr="005C5FAB">
        <w:tc>
          <w:tcPr>
            <w:tcW w:w="3438" w:type="dxa"/>
            <w:gridSpan w:val="4"/>
          </w:tcPr>
          <w:p w14:paraId="2DCE0209" w14:textId="77777777" w:rsidR="008E7767" w:rsidRPr="0009354D" w:rsidRDefault="008E7767" w:rsidP="005C5FAB">
            <w:pPr>
              <w:tabs>
                <w:tab w:val="right" w:pos="9180"/>
              </w:tabs>
              <w:ind w:right="-360"/>
            </w:pPr>
            <w:r w:rsidRPr="0009354D">
              <w:t>Operating expenses:</w:t>
            </w:r>
          </w:p>
        </w:tc>
        <w:tc>
          <w:tcPr>
            <w:tcW w:w="1440" w:type="dxa"/>
          </w:tcPr>
          <w:p w14:paraId="5330E311" w14:textId="77777777" w:rsidR="008E7767" w:rsidRPr="0009354D" w:rsidRDefault="008E7767" w:rsidP="005C5FAB">
            <w:pPr>
              <w:tabs>
                <w:tab w:val="right" w:pos="9180"/>
              </w:tabs>
              <w:ind w:right="-46"/>
            </w:pPr>
          </w:p>
        </w:tc>
        <w:tc>
          <w:tcPr>
            <w:tcW w:w="1440" w:type="dxa"/>
          </w:tcPr>
          <w:p w14:paraId="1583EE2D" w14:textId="77777777" w:rsidR="008E7767" w:rsidRPr="0009354D" w:rsidRDefault="008E7767" w:rsidP="005C5FAB">
            <w:pPr>
              <w:tabs>
                <w:tab w:val="right" w:pos="9180"/>
              </w:tabs>
              <w:ind w:right="-46"/>
            </w:pPr>
          </w:p>
        </w:tc>
        <w:tc>
          <w:tcPr>
            <w:tcW w:w="1440" w:type="dxa"/>
          </w:tcPr>
          <w:p w14:paraId="0154F683" w14:textId="77777777" w:rsidR="008E7767" w:rsidRPr="0009354D" w:rsidRDefault="008E7767" w:rsidP="005C5FAB">
            <w:pPr>
              <w:tabs>
                <w:tab w:val="right" w:pos="9180"/>
              </w:tabs>
              <w:ind w:right="-18"/>
            </w:pPr>
          </w:p>
        </w:tc>
        <w:tc>
          <w:tcPr>
            <w:tcW w:w="1530" w:type="dxa"/>
          </w:tcPr>
          <w:p w14:paraId="3381C1FA" w14:textId="77777777" w:rsidR="008E7767" w:rsidRPr="0009354D" w:rsidRDefault="008E7767" w:rsidP="005C5FAB">
            <w:pPr>
              <w:tabs>
                <w:tab w:val="right" w:pos="9180"/>
              </w:tabs>
              <w:ind w:right="-18"/>
            </w:pPr>
          </w:p>
        </w:tc>
      </w:tr>
      <w:tr w:rsidR="008E7767" w:rsidRPr="0009354D" w14:paraId="4EC223A8" w14:textId="77777777" w:rsidTr="005C5FAB">
        <w:tc>
          <w:tcPr>
            <w:tcW w:w="378" w:type="dxa"/>
          </w:tcPr>
          <w:p w14:paraId="2F490DF7" w14:textId="77777777" w:rsidR="008E7767" w:rsidRPr="0009354D" w:rsidRDefault="008E7767" w:rsidP="005C5FAB">
            <w:pPr>
              <w:ind w:right="-360"/>
            </w:pPr>
          </w:p>
        </w:tc>
        <w:tc>
          <w:tcPr>
            <w:tcW w:w="3060" w:type="dxa"/>
            <w:gridSpan w:val="3"/>
          </w:tcPr>
          <w:p w14:paraId="20A9976F" w14:textId="77777777" w:rsidR="008E7767" w:rsidRPr="0009354D" w:rsidRDefault="008E7767" w:rsidP="005C5FAB">
            <w:pPr>
              <w:tabs>
                <w:tab w:val="right" w:pos="9180"/>
              </w:tabs>
              <w:ind w:right="-360"/>
            </w:pPr>
            <w:r w:rsidRPr="0009354D">
              <w:t>Research and development</w:t>
            </w:r>
          </w:p>
        </w:tc>
        <w:tc>
          <w:tcPr>
            <w:tcW w:w="1440" w:type="dxa"/>
          </w:tcPr>
          <w:p w14:paraId="25233F3A" w14:textId="77777777" w:rsidR="008E7767" w:rsidRPr="0009354D" w:rsidRDefault="008E7767" w:rsidP="005C5FAB">
            <w:pPr>
              <w:tabs>
                <w:tab w:val="decimal" w:pos="1062"/>
                <w:tab w:val="right" w:pos="9180"/>
              </w:tabs>
              <w:ind w:right="-46"/>
            </w:pPr>
          </w:p>
        </w:tc>
        <w:tc>
          <w:tcPr>
            <w:tcW w:w="1440" w:type="dxa"/>
          </w:tcPr>
          <w:p w14:paraId="543D5140" w14:textId="6BE3DE07" w:rsidR="008E7767" w:rsidRPr="0009354D" w:rsidRDefault="008E7767" w:rsidP="005C5FAB">
            <w:pPr>
              <w:tabs>
                <w:tab w:val="decimal" w:pos="1062"/>
                <w:tab w:val="right" w:pos="9180"/>
              </w:tabs>
              <w:ind w:right="-46"/>
            </w:pPr>
            <w:r w:rsidRPr="0009354D">
              <w:tab/>
            </w:r>
            <w:r w:rsidR="00340DE3">
              <w:t>4,276,868</w:t>
            </w:r>
          </w:p>
        </w:tc>
        <w:tc>
          <w:tcPr>
            <w:tcW w:w="1440" w:type="dxa"/>
          </w:tcPr>
          <w:p w14:paraId="4F62D6C8" w14:textId="5BC203C3" w:rsidR="008E7767" w:rsidRPr="0009354D" w:rsidRDefault="008E7767" w:rsidP="005C5FAB">
            <w:pPr>
              <w:tabs>
                <w:tab w:val="decimal" w:pos="1062"/>
                <w:tab w:val="right" w:pos="9180"/>
              </w:tabs>
              <w:ind w:right="-18"/>
            </w:pPr>
            <w:r w:rsidRPr="0009354D">
              <w:tab/>
            </w:r>
            <w:r w:rsidR="00340DE3">
              <w:t>4,719,728</w:t>
            </w:r>
          </w:p>
        </w:tc>
        <w:tc>
          <w:tcPr>
            <w:tcW w:w="1530" w:type="dxa"/>
          </w:tcPr>
          <w:p w14:paraId="1DD6A69A" w14:textId="65C8C2B9" w:rsidR="008E7767" w:rsidRPr="0009354D" w:rsidRDefault="008E7767" w:rsidP="005C5FAB">
            <w:pPr>
              <w:tabs>
                <w:tab w:val="decimal" w:pos="1152"/>
                <w:tab w:val="right" w:pos="9180"/>
              </w:tabs>
              <w:ind w:right="-18"/>
            </w:pPr>
            <w:r w:rsidRPr="0009354D">
              <w:tab/>
            </w:r>
            <w:r w:rsidR="00340DE3">
              <w:t>(442,860)</w:t>
            </w:r>
          </w:p>
        </w:tc>
      </w:tr>
      <w:tr w:rsidR="008E7767" w:rsidRPr="0009354D" w14:paraId="6C1A9AA7" w14:textId="77777777" w:rsidTr="005C5FAB">
        <w:tc>
          <w:tcPr>
            <w:tcW w:w="378" w:type="dxa"/>
          </w:tcPr>
          <w:p w14:paraId="08DEC957" w14:textId="77777777" w:rsidR="008E7767" w:rsidRPr="0009354D" w:rsidRDefault="008E7767" w:rsidP="005C5FAB">
            <w:pPr>
              <w:ind w:right="-360"/>
            </w:pPr>
          </w:p>
        </w:tc>
        <w:tc>
          <w:tcPr>
            <w:tcW w:w="3060" w:type="dxa"/>
            <w:gridSpan w:val="3"/>
          </w:tcPr>
          <w:p w14:paraId="65DEB1E5" w14:textId="77777777" w:rsidR="008E7767" w:rsidRPr="0009354D" w:rsidRDefault="008E7767" w:rsidP="005C5FAB">
            <w:pPr>
              <w:tabs>
                <w:tab w:val="right" w:pos="9180"/>
              </w:tabs>
              <w:ind w:right="-360"/>
            </w:pPr>
            <w:r w:rsidRPr="0009354D">
              <w:t>General and administrative</w:t>
            </w:r>
          </w:p>
        </w:tc>
        <w:tc>
          <w:tcPr>
            <w:tcW w:w="1440" w:type="dxa"/>
          </w:tcPr>
          <w:p w14:paraId="2B5B8D3D" w14:textId="77777777" w:rsidR="008E7767" w:rsidRPr="0009354D" w:rsidRDefault="008E7767" w:rsidP="005C5FAB">
            <w:pPr>
              <w:tabs>
                <w:tab w:val="decimal" w:pos="1062"/>
                <w:tab w:val="right" w:pos="9180"/>
              </w:tabs>
              <w:ind w:right="-46"/>
            </w:pPr>
          </w:p>
        </w:tc>
        <w:tc>
          <w:tcPr>
            <w:tcW w:w="1440" w:type="dxa"/>
          </w:tcPr>
          <w:p w14:paraId="724617FA" w14:textId="359BD4E9" w:rsidR="008E7767" w:rsidRPr="0009354D" w:rsidRDefault="008E7767" w:rsidP="005C5FAB">
            <w:pPr>
              <w:tabs>
                <w:tab w:val="decimal" w:pos="1062"/>
                <w:tab w:val="right" w:pos="9180"/>
              </w:tabs>
              <w:ind w:right="-46"/>
            </w:pPr>
            <w:r w:rsidRPr="0009354D">
              <w:tab/>
            </w:r>
            <w:r w:rsidR="00340DE3">
              <w:t>1,086,030</w:t>
            </w:r>
          </w:p>
        </w:tc>
        <w:tc>
          <w:tcPr>
            <w:tcW w:w="1440" w:type="dxa"/>
          </w:tcPr>
          <w:p w14:paraId="0612C237" w14:textId="2F87447A" w:rsidR="008E7767" w:rsidRPr="0009354D" w:rsidRDefault="008E7767" w:rsidP="005C5FAB">
            <w:pPr>
              <w:tabs>
                <w:tab w:val="decimal" w:pos="1062"/>
                <w:tab w:val="right" w:pos="9180"/>
              </w:tabs>
              <w:ind w:right="-18"/>
            </w:pPr>
            <w:r w:rsidRPr="0009354D">
              <w:tab/>
            </w:r>
            <w:r w:rsidR="00340DE3">
              <w:t>1,459,093</w:t>
            </w:r>
          </w:p>
        </w:tc>
        <w:tc>
          <w:tcPr>
            <w:tcW w:w="1530" w:type="dxa"/>
          </w:tcPr>
          <w:p w14:paraId="18B17D24" w14:textId="35689496" w:rsidR="008E7767" w:rsidRPr="0009354D" w:rsidRDefault="008E7767" w:rsidP="005C5FAB">
            <w:pPr>
              <w:tabs>
                <w:tab w:val="decimal" w:pos="1152"/>
                <w:tab w:val="right" w:pos="9180"/>
              </w:tabs>
              <w:ind w:right="-18"/>
            </w:pPr>
            <w:r w:rsidRPr="0009354D">
              <w:tab/>
            </w:r>
            <w:r w:rsidR="00340DE3">
              <w:t>(373,063)</w:t>
            </w:r>
          </w:p>
        </w:tc>
      </w:tr>
      <w:tr w:rsidR="008E7767" w:rsidRPr="0009354D" w14:paraId="513B5A60" w14:textId="77777777" w:rsidTr="005C5FAB">
        <w:tc>
          <w:tcPr>
            <w:tcW w:w="3438" w:type="dxa"/>
            <w:gridSpan w:val="4"/>
          </w:tcPr>
          <w:p w14:paraId="53ABEAEF" w14:textId="77777777" w:rsidR="008E7767" w:rsidRPr="0009354D" w:rsidRDefault="008E7767" w:rsidP="005C5FAB">
            <w:pPr>
              <w:tabs>
                <w:tab w:val="right" w:pos="9180"/>
              </w:tabs>
              <w:ind w:right="-360"/>
            </w:pPr>
            <w:r w:rsidRPr="0009354D">
              <w:t>Total operating expenses</w:t>
            </w:r>
          </w:p>
        </w:tc>
        <w:tc>
          <w:tcPr>
            <w:tcW w:w="1440" w:type="dxa"/>
          </w:tcPr>
          <w:p w14:paraId="0560ACD1" w14:textId="77777777" w:rsidR="008E7767" w:rsidRPr="0009354D" w:rsidRDefault="008E7767" w:rsidP="005C5FAB">
            <w:pPr>
              <w:tabs>
                <w:tab w:val="decimal" w:pos="1062"/>
                <w:tab w:val="right" w:pos="9180"/>
              </w:tabs>
              <w:ind w:right="-46"/>
            </w:pPr>
          </w:p>
        </w:tc>
        <w:tc>
          <w:tcPr>
            <w:tcW w:w="1440" w:type="dxa"/>
            <w:tcBorders>
              <w:top w:val="single" w:sz="4" w:space="0" w:color="auto"/>
              <w:bottom w:val="single" w:sz="4" w:space="0" w:color="auto"/>
            </w:tcBorders>
          </w:tcPr>
          <w:p w14:paraId="68D2872B" w14:textId="0F92780F" w:rsidR="008E7767" w:rsidRPr="0009354D" w:rsidRDefault="008E7767" w:rsidP="005C5FAB">
            <w:pPr>
              <w:tabs>
                <w:tab w:val="decimal" w:pos="1062"/>
                <w:tab w:val="right" w:pos="9180"/>
              </w:tabs>
              <w:ind w:right="-46"/>
            </w:pPr>
            <w:r w:rsidRPr="0009354D">
              <w:tab/>
            </w:r>
            <w:r w:rsidR="00340DE3">
              <w:t>5,362,898</w:t>
            </w:r>
          </w:p>
        </w:tc>
        <w:tc>
          <w:tcPr>
            <w:tcW w:w="1440" w:type="dxa"/>
            <w:tcBorders>
              <w:top w:val="single" w:sz="4" w:space="0" w:color="auto"/>
              <w:bottom w:val="single" w:sz="4" w:space="0" w:color="auto"/>
            </w:tcBorders>
          </w:tcPr>
          <w:p w14:paraId="6F987421" w14:textId="49D14AD9" w:rsidR="008E7767" w:rsidRPr="0009354D" w:rsidRDefault="008E7767" w:rsidP="005C5FAB">
            <w:pPr>
              <w:tabs>
                <w:tab w:val="decimal" w:pos="1062"/>
                <w:tab w:val="right" w:pos="9180"/>
              </w:tabs>
              <w:ind w:right="-18"/>
            </w:pPr>
            <w:r w:rsidRPr="0009354D">
              <w:tab/>
            </w:r>
            <w:r w:rsidR="00340DE3">
              <w:t>6,178,821</w:t>
            </w:r>
          </w:p>
        </w:tc>
        <w:tc>
          <w:tcPr>
            <w:tcW w:w="1530" w:type="dxa"/>
            <w:tcBorders>
              <w:top w:val="single" w:sz="4" w:space="0" w:color="auto"/>
              <w:bottom w:val="single" w:sz="4" w:space="0" w:color="auto"/>
            </w:tcBorders>
          </w:tcPr>
          <w:p w14:paraId="46AC0B53" w14:textId="2C814E50" w:rsidR="008E7767" w:rsidRPr="0009354D" w:rsidRDefault="008E7767" w:rsidP="005C5FAB">
            <w:pPr>
              <w:tabs>
                <w:tab w:val="decimal" w:pos="1152"/>
                <w:tab w:val="right" w:pos="9180"/>
              </w:tabs>
              <w:ind w:right="-18"/>
            </w:pPr>
            <w:r w:rsidRPr="0009354D">
              <w:tab/>
            </w:r>
            <w:r w:rsidR="00340DE3">
              <w:t>(815,923)</w:t>
            </w:r>
          </w:p>
        </w:tc>
      </w:tr>
      <w:tr w:rsidR="008E7767" w:rsidRPr="0009354D" w14:paraId="27FBFD17" w14:textId="77777777" w:rsidTr="00340DE3">
        <w:tc>
          <w:tcPr>
            <w:tcW w:w="3438" w:type="dxa"/>
            <w:gridSpan w:val="4"/>
          </w:tcPr>
          <w:p w14:paraId="6D06EBF0" w14:textId="77777777" w:rsidR="008E7767" w:rsidRPr="0009354D" w:rsidRDefault="008E7767" w:rsidP="005C5FAB">
            <w:pPr>
              <w:tabs>
                <w:tab w:val="right" w:pos="9180"/>
              </w:tabs>
              <w:ind w:right="-360"/>
            </w:pPr>
            <w:r w:rsidRPr="0009354D">
              <w:t>Loss from operations</w:t>
            </w:r>
          </w:p>
        </w:tc>
        <w:tc>
          <w:tcPr>
            <w:tcW w:w="1440" w:type="dxa"/>
          </w:tcPr>
          <w:p w14:paraId="3D9658F0" w14:textId="77777777" w:rsidR="008E7767" w:rsidRPr="0009354D" w:rsidRDefault="008E7767" w:rsidP="005C5FAB">
            <w:pPr>
              <w:tabs>
                <w:tab w:val="decimal" w:pos="1062"/>
                <w:tab w:val="right" w:pos="9180"/>
              </w:tabs>
              <w:ind w:right="-46"/>
            </w:pPr>
          </w:p>
        </w:tc>
        <w:tc>
          <w:tcPr>
            <w:tcW w:w="1440" w:type="dxa"/>
          </w:tcPr>
          <w:p w14:paraId="4BDEC7AD" w14:textId="611C3391" w:rsidR="008E7767" w:rsidRPr="0009354D" w:rsidRDefault="008E7767" w:rsidP="005C5FAB">
            <w:pPr>
              <w:tabs>
                <w:tab w:val="decimal" w:pos="1062"/>
                <w:tab w:val="right" w:pos="9180"/>
              </w:tabs>
              <w:ind w:right="-46"/>
            </w:pPr>
            <w:r w:rsidRPr="0009354D">
              <w:tab/>
            </w:r>
            <w:r w:rsidR="0057490D">
              <w:t>(</w:t>
            </w:r>
            <w:r w:rsidR="00340DE3">
              <w:t>5,062,221</w:t>
            </w:r>
            <w:r w:rsidR="0057490D">
              <w:t>)</w:t>
            </w:r>
          </w:p>
        </w:tc>
        <w:tc>
          <w:tcPr>
            <w:tcW w:w="1440" w:type="dxa"/>
          </w:tcPr>
          <w:p w14:paraId="3C9F258B" w14:textId="454C28E9" w:rsidR="008E7767" w:rsidRPr="0009354D" w:rsidRDefault="008E7767" w:rsidP="005C5FAB">
            <w:pPr>
              <w:tabs>
                <w:tab w:val="decimal" w:pos="1044"/>
                <w:tab w:val="right" w:pos="9180"/>
              </w:tabs>
              <w:ind w:right="-18"/>
            </w:pPr>
            <w:r w:rsidRPr="0009354D">
              <w:tab/>
              <w:t>(</w:t>
            </w:r>
            <w:r w:rsidR="00340DE3">
              <w:t>6,178,821</w:t>
            </w:r>
            <w:r w:rsidRPr="0009354D">
              <w:t>)</w:t>
            </w:r>
          </w:p>
        </w:tc>
        <w:tc>
          <w:tcPr>
            <w:tcW w:w="1530" w:type="dxa"/>
          </w:tcPr>
          <w:p w14:paraId="40701C57" w14:textId="2EC4D3D9" w:rsidR="008E7767" w:rsidRPr="0009354D" w:rsidRDefault="008E7767" w:rsidP="005C5FAB">
            <w:pPr>
              <w:tabs>
                <w:tab w:val="decimal" w:pos="1152"/>
                <w:tab w:val="right" w:pos="9180"/>
              </w:tabs>
              <w:ind w:right="-18"/>
            </w:pPr>
            <w:r w:rsidRPr="0009354D">
              <w:tab/>
            </w:r>
            <w:r w:rsidR="00340DE3">
              <w:t>1,116,600</w:t>
            </w:r>
          </w:p>
        </w:tc>
      </w:tr>
      <w:tr w:rsidR="008E7767" w:rsidRPr="0009354D" w14:paraId="73610446" w14:textId="77777777" w:rsidTr="00340DE3">
        <w:tc>
          <w:tcPr>
            <w:tcW w:w="3438" w:type="dxa"/>
            <w:gridSpan w:val="4"/>
          </w:tcPr>
          <w:p w14:paraId="092919C6" w14:textId="7B260825" w:rsidR="008E7767" w:rsidRPr="0009354D" w:rsidRDefault="00340DE3" w:rsidP="005C5FAB">
            <w:pPr>
              <w:tabs>
                <w:tab w:val="right" w:pos="9180"/>
              </w:tabs>
              <w:ind w:right="-360"/>
            </w:pPr>
            <w:r>
              <w:t>Interest income</w:t>
            </w:r>
          </w:p>
        </w:tc>
        <w:tc>
          <w:tcPr>
            <w:tcW w:w="1440" w:type="dxa"/>
          </w:tcPr>
          <w:p w14:paraId="08CE802C" w14:textId="77777777" w:rsidR="008E7767" w:rsidRPr="0009354D" w:rsidRDefault="008E7767" w:rsidP="005C5FAB">
            <w:pPr>
              <w:tabs>
                <w:tab w:val="decimal" w:pos="1062"/>
                <w:tab w:val="right" w:pos="9180"/>
              </w:tabs>
              <w:ind w:right="-46"/>
            </w:pPr>
          </w:p>
        </w:tc>
        <w:tc>
          <w:tcPr>
            <w:tcW w:w="1440" w:type="dxa"/>
          </w:tcPr>
          <w:p w14:paraId="7517D725" w14:textId="468E76C3" w:rsidR="008E7767" w:rsidRPr="0009354D" w:rsidRDefault="008E7767" w:rsidP="005C5FAB">
            <w:pPr>
              <w:tabs>
                <w:tab w:val="decimal" w:pos="1062"/>
                <w:tab w:val="right" w:pos="9180"/>
              </w:tabs>
              <w:ind w:right="-46"/>
            </w:pPr>
            <w:r w:rsidRPr="0009354D">
              <w:tab/>
            </w:r>
            <w:r w:rsidR="00340DE3">
              <w:t>5,471</w:t>
            </w:r>
          </w:p>
        </w:tc>
        <w:tc>
          <w:tcPr>
            <w:tcW w:w="1440" w:type="dxa"/>
          </w:tcPr>
          <w:p w14:paraId="2EA5AB5E" w14:textId="1FC8111E" w:rsidR="008E7767" w:rsidRPr="0009354D" w:rsidRDefault="008E7767" w:rsidP="005C5FAB">
            <w:pPr>
              <w:tabs>
                <w:tab w:val="decimal" w:pos="1062"/>
                <w:tab w:val="right" w:pos="9180"/>
              </w:tabs>
              <w:ind w:right="-18"/>
            </w:pPr>
            <w:r w:rsidRPr="0009354D">
              <w:tab/>
            </w:r>
            <w:r w:rsidR="00340DE3">
              <w:t>251,201</w:t>
            </w:r>
          </w:p>
        </w:tc>
        <w:tc>
          <w:tcPr>
            <w:tcW w:w="1530" w:type="dxa"/>
          </w:tcPr>
          <w:p w14:paraId="24ABF19E" w14:textId="4D7951CD" w:rsidR="008E7767" w:rsidRPr="0009354D" w:rsidRDefault="008E7767" w:rsidP="005C5FAB">
            <w:pPr>
              <w:tabs>
                <w:tab w:val="decimal" w:pos="1152"/>
                <w:tab w:val="right" w:pos="9180"/>
              </w:tabs>
              <w:ind w:right="-18"/>
            </w:pPr>
            <w:r w:rsidRPr="0009354D">
              <w:tab/>
            </w:r>
            <w:r w:rsidR="00340DE3">
              <w:t>(245,730)</w:t>
            </w:r>
          </w:p>
        </w:tc>
      </w:tr>
      <w:tr w:rsidR="00340DE3" w:rsidRPr="0009354D" w14:paraId="69A2324F" w14:textId="77777777" w:rsidTr="00340DE3">
        <w:tc>
          <w:tcPr>
            <w:tcW w:w="3438" w:type="dxa"/>
            <w:gridSpan w:val="4"/>
          </w:tcPr>
          <w:p w14:paraId="660625CA" w14:textId="34A43FE5" w:rsidR="00340DE3" w:rsidRDefault="00340DE3" w:rsidP="005C5FAB">
            <w:pPr>
              <w:tabs>
                <w:tab w:val="right" w:pos="9180"/>
              </w:tabs>
              <w:ind w:right="-360"/>
            </w:pPr>
            <w:r>
              <w:t>Interest expense</w:t>
            </w:r>
          </w:p>
        </w:tc>
        <w:tc>
          <w:tcPr>
            <w:tcW w:w="1440" w:type="dxa"/>
          </w:tcPr>
          <w:p w14:paraId="14E4A834" w14:textId="77777777" w:rsidR="00340DE3" w:rsidRPr="0009354D" w:rsidRDefault="00340DE3" w:rsidP="005C5FAB">
            <w:pPr>
              <w:tabs>
                <w:tab w:val="decimal" w:pos="1062"/>
                <w:tab w:val="right" w:pos="9180"/>
              </w:tabs>
              <w:ind w:right="-46"/>
            </w:pPr>
          </w:p>
        </w:tc>
        <w:tc>
          <w:tcPr>
            <w:tcW w:w="1440" w:type="dxa"/>
            <w:tcBorders>
              <w:bottom w:val="single" w:sz="4" w:space="0" w:color="auto"/>
            </w:tcBorders>
          </w:tcPr>
          <w:p w14:paraId="231582FF" w14:textId="44E1B1B4" w:rsidR="00340DE3" w:rsidRPr="0009354D" w:rsidRDefault="00340DE3" w:rsidP="005C5FAB">
            <w:pPr>
              <w:tabs>
                <w:tab w:val="decimal" w:pos="1062"/>
                <w:tab w:val="right" w:pos="9180"/>
              </w:tabs>
              <w:ind w:right="-46"/>
            </w:pPr>
            <w:r>
              <w:tab/>
              <w:t>(7,292)</w:t>
            </w:r>
          </w:p>
        </w:tc>
        <w:tc>
          <w:tcPr>
            <w:tcW w:w="1440" w:type="dxa"/>
            <w:tcBorders>
              <w:bottom w:val="single" w:sz="4" w:space="0" w:color="auto"/>
            </w:tcBorders>
          </w:tcPr>
          <w:p w14:paraId="0B4F3BA5" w14:textId="2472D81C" w:rsidR="00340DE3" w:rsidRPr="0009354D" w:rsidRDefault="00340DE3" w:rsidP="005C5FAB">
            <w:pPr>
              <w:tabs>
                <w:tab w:val="decimal" w:pos="1062"/>
                <w:tab w:val="right" w:pos="9180"/>
              </w:tabs>
              <w:ind w:right="-18"/>
            </w:pPr>
            <w:r>
              <w:tab/>
              <w:t>-</w:t>
            </w:r>
          </w:p>
        </w:tc>
        <w:tc>
          <w:tcPr>
            <w:tcW w:w="1530" w:type="dxa"/>
            <w:tcBorders>
              <w:bottom w:val="single" w:sz="4" w:space="0" w:color="auto"/>
            </w:tcBorders>
          </w:tcPr>
          <w:p w14:paraId="79AFD598" w14:textId="47191021" w:rsidR="00340DE3" w:rsidRPr="0009354D" w:rsidRDefault="00340DE3" w:rsidP="005C5FAB">
            <w:pPr>
              <w:tabs>
                <w:tab w:val="decimal" w:pos="1152"/>
                <w:tab w:val="right" w:pos="9180"/>
              </w:tabs>
              <w:ind w:right="-18"/>
            </w:pPr>
            <w:r>
              <w:tab/>
              <w:t>(7,292)</w:t>
            </w:r>
          </w:p>
        </w:tc>
      </w:tr>
      <w:tr w:rsidR="008E7767" w:rsidRPr="0009354D" w14:paraId="1219D8E1" w14:textId="77777777" w:rsidTr="00340DE3">
        <w:tc>
          <w:tcPr>
            <w:tcW w:w="3438" w:type="dxa"/>
            <w:gridSpan w:val="4"/>
          </w:tcPr>
          <w:p w14:paraId="6BEDF560" w14:textId="77777777" w:rsidR="008E7767" w:rsidRPr="0009354D" w:rsidRDefault="008E7767" w:rsidP="005C5FAB">
            <w:pPr>
              <w:tabs>
                <w:tab w:val="right" w:pos="9180"/>
              </w:tabs>
              <w:ind w:right="-360"/>
            </w:pPr>
            <w:r w:rsidRPr="0009354D">
              <w:t>Net loss</w:t>
            </w:r>
          </w:p>
        </w:tc>
        <w:tc>
          <w:tcPr>
            <w:tcW w:w="1440" w:type="dxa"/>
          </w:tcPr>
          <w:p w14:paraId="22EB5F22" w14:textId="77777777" w:rsidR="008E7767" w:rsidRPr="0009354D" w:rsidRDefault="008E7767" w:rsidP="005C5FAB">
            <w:pPr>
              <w:tabs>
                <w:tab w:val="decimal" w:pos="1062"/>
                <w:tab w:val="right" w:pos="9180"/>
              </w:tabs>
              <w:ind w:right="-46"/>
            </w:pPr>
          </w:p>
        </w:tc>
        <w:tc>
          <w:tcPr>
            <w:tcW w:w="1440" w:type="dxa"/>
            <w:tcBorders>
              <w:top w:val="single" w:sz="4" w:space="0" w:color="auto"/>
              <w:bottom w:val="double" w:sz="4" w:space="0" w:color="auto"/>
            </w:tcBorders>
          </w:tcPr>
          <w:p w14:paraId="3AAD6D8C" w14:textId="1F9CBC50" w:rsidR="008E7767" w:rsidRPr="0009354D" w:rsidRDefault="008E7767" w:rsidP="005C5FAB">
            <w:pPr>
              <w:tabs>
                <w:tab w:val="decimal" w:pos="1062"/>
                <w:tab w:val="right" w:pos="9180"/>
              </w:tabs>
              <w:ind w:right="-46"/>
            </w:pPr>
            <w:r w:rsidRPr="0009354D">
              <w:t>$</w:t>
            </w:r>
            <w:r w:rsidRPr="0009354D">
              <w:tab/>
            </w:r>
            <w:r w:rsidR="0057490D">
              <w:t>(</w:t>
            </w:r>
            <w:r w:rsidR="00340DE3">
              <w:t>5,064,042</w:t>
            </w:r>
            <w:r w:rsidR="0057490D">
              <w:t>)</w:t>
            </w:r>
          </w:p>
        </w:tc>
        <w:tc>
          <w:tcPr>
            <w:tcW w:w="1440" w:type="dxa"/>
            <w:tcBorders>
              <w:top w:val="single" w:sz="4" w:space="0" w:color="auto"/>
              <w:bottom w:val="double" w:sz="4" w:space="0" w:color="auto"/>
            </w:tcBorders>
          </w:tcPr>
          <w:p w14:paraId="2A5077AA" w14:textId="2F7B277A" w:rsidR="008E7767" w:rsidRPr="0009354D" w:rsidRDefault="008E7767" w:rsidP="005C5FAB">
            <w:pPr>
              <w:tabs>
                <w:tab w:val="decimal" w:pos="1044"/>
                <w:tab w:val="right" w:pos="9180"/>
              </w:tabs>
              <w:ind w:right="-18"/>
            </w:pPr>
            <w:r w:rsidRPr="0009354D">
              <w:t>$</w:t>
            </w:r>
            <w:r w:rsidRPr="0009354D">
              <w:tab/>
              <w:t>(</w:t>
            </w:r>
            <w:r w:rsidR="00340DE3">
              <w:t>5,927,620</w:t>
            </w:r>
            <w:r w:rsidRPr="0009354D">
              <w:t>)</w:t>
            </w:r>
          </w:p>
        </w:tc>
        <w:tc>
          <w:tcPr>
            <w:tcW w:w="1530" w:type="dxa"/>
            <w:tcBorders>
              <w:top w:val="single" w:sz="4" w:space="0" w:color="auto"/>
              <w:bottom w:val="double" w:sz="4" w:space="0" w:color="auto"/>
            </w:tcBorders>
          </w:tcPr>
          <w:p w14:paraId="6C0B8C7F" w14:textId="219B322A" w:rsidR="008E7767" w:rsidRPr="0009354D" w:rsidRDefault="008E7767" w:rsidP="005C5FAB">
            <w:pPr>
              <w:tabs>
                <w:tab w:val="decimal" w:pos="1152"/>
                <w:tab w:val="right" w:pos="9180"/>
              </w:tabs>
              <w:ind w:right="-18"/>
            </w:pPr>
            <w:r w:rsidRPr="0009354D">
              <w:t>$</w:t>
            </w:r>
            <w:r w:rsidRPr="0009354D">
              <w:tab/>
            </w:r>
            <w:r w:rsidR="00340DE3">
              <w:t>8</w:t>
            </w:r>
            <w:r w:rsidR="005C39B1">
              <w:t>63,578</w:t>
            </w:r>
          </w:p>
        </w:tc>
      </w:tr>
    </w:tbl>
    <w:p w14:paraId="04A1E338" w14:textId="77777777" w:rsidR="008E7767" w:rsidRPr="0009354D" w:rsidRDefault="008E7767" w:rsidP="008E7767">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8E7767" w:rsidRPr="0009354D" w14:paraId="16B2F1E3" w14:textId="77777777" w:rsidTr="005C5FAB">
        <w:tc>
          <w:tcPr>
            <w:tcW w:w="378" w:type="dxa"/>
          </w:tcPr>
          <w:p w14:paraId="519686A7" w14:textId="77777777" w:rsidR="008E7767" w:rsidRPr="0009354D" w:rsidRDefault="008E7767" w:rsidP="005C5FAB">
            <w:pPr>
              <w:ind w:right="-360"/>
            </w:pPr>
            <w:bookmarkStart w:id="26" w:name="_Hlk77171462"/>
            <w:bookmarkStart w:id="27" w:name="_Hlk77088476"/>
          </w:p>
        </w:tc>
        <w:tc>
          <w:tcPr>
            <w:tcW w:w="450" w:type="dxa"/>
          </w:tcPr>
          <w:p w14:paraId="16B88E0F" w14:textId="77777777" w:rsidR="008E7767" w:rsidRPr="0009354D" w:rsidRDefault="008E7767" w:rsidP="005C5FAB">
            <w:pPr>
              <w:ind w:right="-360"/>
            </w:pPr>
          </w:p>
        </w:tc>
        <w:tc>
          <w:tcPr>
            <w:tcW w:w="450" w:type="dxa"/>
          </w:tcPr>
          <w:p w14:paraId="412EA3AD" w14:textId="77777777" w:rsidR="008E7767" w:rsidRPr="0009354D" w:rsidRDefault="008E7767" w:rsidP="005C5FAB">
            <w:pPr>
              <w:ind w:right="-360"/>
            </w:pPr>
          </w:p>
        </w:tc>
        <w:tc>
          <w:tcPr>
            <w:tcW w:w="2160" w:type="dxa"/>
          </w:tcPr>
          <w:p w14:paraId="3549EF9A" w14:textId="77777777" w:rsidR="008E7767" w:rsidRPr="0009354D" w:rsidRDefault="008E7767" w:rsidP="005C5FAB">
            <w:pPr>
              <w:tabs>
                <w:tab w:val="right" w:pos="9180"/>
              </w:tabs>
              <w:ind w:right="-360"/>
            </w:pPr>
          </w:p>
        </w:tc>
        <w:tc>
          <w:tcPr>
            <w:tcW w:w="1440" w:type="dxa"/>
          </w:tcPr>
          <w:p w14:paraId="7079B2EC" w14:textId="77777777" w:rsidR="008E7767" w:rsidRPr="0009354D" w:rsidRDefault="008E7767" w:rsidP="005C5FAB">
            <w:pPr>
              <w:tabs>
                <w:tab w:val="right" w:pos="9180"/>
              </w:tabs>
              <w:ind w:right="-46"/>
              <w:jc w:val="center"/>
            </w:pPr>
          </w:p>
        </w:tc>
        <w:tc>
          <w:tcPr>
            <w:tcW w:w="2880" w:type="dxa"/>
            <w:gridSpan w:val="2"/>
            <w:tcBorders>
              <w:bottom w:val="single" w:sz="4" w:space="0" w:color="auto"/>
            </w:tcBorders>
          </w:tcPr>
          <w:p w14:paraId="07D1E89F" w14:textId="77777777" w:rsidR="008E7767" w:rsidRPr="0009354D" w:rsidRDefault="008E7767" w:rsidP="005C5FAB">
            <w:pPr>
              <w:tabs>
                <w:tab w:val="right" w:pos="9180"/>
              </w:tabs>
              <w:ind w:right="-18"/>
              <w:jc w:val="center"/>
            </w:pPr>
            <w:r w:rsidRPr="0009354D">
              <w:t>Six Months Ended June 30,</w:t>
            </w:r>
          </w:p>
        </w:tc>
        <w:tc>
          <w:tcPr>
            <w:tcW w:w="1530" w:type="dxa"/>
          </w:tcPr>
          <w:p w14:paraId="1AD5C9FF" w14:textId="77777777" w:rsidR="008E7767" w:rsidRPr="0009354D" w:rsidRDefault="008E7767" w:rsidP="005C5FAB">
            <w:pPr>
              <w:tabs>
                <w:tab w:val="right" w:pos="9180"/>
              </w:tabs>
              <w:ind w:right="-18"/>
              <w:jc w:val="center"/>
            </w:pPr>
          </w:p>
        </w:tc>
      </w:tr>
      <w:bookmarkEnd w:id="26"/>
      <w:tr w:rsidR="008E7767" w:rsidRPr="0009354D" w14:paraId="4139DB6D" w14:textId="77777777" w:rsidTr="005C5FAB">
        <w:tc>
          <w:tcPr>
            <w:tcW w:w="378" w:type="dxa"/>
          </w:tcPr>
          <w:p w14:paraId="69F6586B" w14:textId="77777777" w:rsidR="008E7767" w:rsidRPr="0009354D" w:rsidRDefault="008E7767" w:rsidP="005C5FAB">
            <w:pPr>
              <w:ind w:right="-360"/>
            </w:pPr>
          </w:p>
        </w:tc>
        <w:tc>
          <w:tcPr>
            <w:tcW w:w="450" w:type="dxa"/>
          </w:tcPr>
          <w:p w14:paraId="2AAB0199" w14:textId="77777777" w:rsidR="008E7767" w:rsidRPr="0009354D" w:rsidRDefault="008E7767" w:rsidP="005C5FAB">
            <w:pPr>
              <w:ind w:right="-360"/>
            </w:pPr>
          </w:p>
        </w:tc>
        <w:tc>
          <w:tcPr>
            <w:tcW w:w="450" w:type="dxa"/>
          </w:tcPr>
          <w:p w14:paraId="7D6926AA" w14:textId="77777777" w:rsidR="008E7767" w:rsidRPr="0009354D" w:rsidRDefault="008E7767" w:rsidP="005C5FAB">
            <w:pPr>
              <w:ind w:right="-360"/>
            </w:pPr>
          </w:p>
        </w:tc>
        <w:tc>
          <w:tcPr>
            <w:tcW w:w="2160" w:type="dxa"/>
          </w:tcPr>
          <w:p w14:paraId="45FD5107" w14:textId="77777777" w:rsidR="008E7767" w:rsidRPr="0009354D" w:rsidRDefault="008E7767" w:rsidP="005C5FAB">
            <w:pPr>
              <w:tabs>
                <w:tab w:val="right" w:pos="9180"/>
              </w:tabs>
              <w:ind w:right="-360"/>
            </w:pPr>
          </w:p>
        </w:tc>
        <w:tc>
          <w:tcPr>
            <w:tcW w:w="1440" w:type="dxa"/>
          </w:tcPr>
          <w:p w14:paraId="221A4A65" w14:textId="77777777" w:rsidR="008E7767" w:rsidRPr="0009354D" w:rsidRDefault="008E7767" w:rsidP="005C5FAB">
            <w:pPr>
              <w:tabs>
                <w:tab w:val="right" w:pos="9180"/>
              </w:tabs>
              <w:ind w:right="-46"/>
              <w:jc w:val="center"/>
            </w:pPr>
          </w:p>
        </w:tc>
        <w:tc>
          <w:tcPr>
            <w:tcW w:w="1440" w:type="dxa"/>
            <w:tcBorders>
              <w:bottom w:val="single" w:sz="4" w:space="0" w:color="auto"/>
            </w:tcBorders>
          </w:tcPr>
          <w:p w14:paraId="65A4B7CA" w14:textId="0FF4216B" w:rsidR="008E7767" w:rsidRPr="0009354D" w:rsidRDefault="008E7767" w:rsidP="005C5FAB">
            <w:pPr>
              <w:tabs>
                <w:tab w:val="right" w:pos="9180"/>
              </w:tabs>
              <w:ind w:right="-46"/>
              <w:jc w:val="center"/>
            </w:pPr>
            <w:r w:rsidRPr="0009354D">
              <w:t>202</w:t>
            </w:r>
            <w:r w:rsidR="00340DE3">
              <w:t>4</w:t>
            </w:r>
          </w:p>
        </w:tc>
        <w:tc>
          <w:tcPr>
            <w:tcW w:w="1440" w:type="dxa"/>
            <w:tcBorders>
              <w:bottom w:val="single" w:sz="4" w:space="0" w:color="auto"/>
            </w:tcBorders>
          </w:tcPr>
          <w:p w14:paraId="7B2BBBF0" w14:textId="5FB47D88" w:rsidR="008E7767" w:rsidRPr="0009354D" w:rsidRDefault="008E7767" w:rsidP="005C5FAB">
            <w:pPr>
              <w:tabs>
                <w:tab w:val="right" w:pos="9180"/>
              </w:tabs>
              <w:ind w:right="-18"/>
              <w:jc w:val="center"/>
            </w:pPr>
            <w:r w:rsidRPr="0009354D">
              <w:t>202</w:t>
            </w:r>
            <w:r w:rsidR="00340DE3">
              <w:t>3</w:t>
            </w:r>
          </w:p>
        </w:tc>
        <w:tc>
          <w:tcPr>
            <w:tcW w:w="1530" w:type="dxa"/>
            <w:tcBorders>
              <w:bottom w:val="single" w:sz="4" w:space="0" w:color="auto"/>
            </w:tcBorders>
          </w:tcPr>
          <w:p w14:paraId="57D5D42E" w14:textId="77777777" w:rsidR="008E7767" w:rsidRPr="0009354D" w:rsidRDefault="008E7767" w:rsidP="005C5FAB">
            <w:pPr>
              <w:tabs>
                <w:tab w:val="right" w:pos="9180"/>
              </w:tabs>
              <w:ind w:right="-18"/>
              <w:jc w:val="center"/>
            </w:pPr>
            <w:r w:rsidRPr="0009354D">
              <w:t>Change</w:t>
            </w:r>
          </w:p>
        </w:tc>
      </w:tr>
      <w:tr w:rsidR="008E7767" w:rsidRPr="0009354D" w14:paraId="06B6AB2B" w14:textId="77777777" w:rsidTr="005C5FAB">
        <w:tc>
          <w:tcPr>
            <w:tcW w:w="3438" w:type="dxa"/>
            <w:gridSpan w:val="4"/>
          </w:tcPr>
          <w:p w14:paraId="63A3C1F5" w14:textId="62F9019E" w:rsidR="008E7767" w:rsidRPr="0009354D" w:rsidRDefault="00340DE3" w:rsidP="005C5FAB">
            <w:pPr>
              <w:tabs>
                <w:tab w:val="right" w:pos="9180"/>
              </w:tabs>
              <w:ind w:right="-360"/>
            </w:pPr>
            <w:r>
              <w:t>Revenue from government contract</w:t>
            </w:r>
          </w:p>
        </w:tc>
        <w:tc>
          <w:tcPr>
            <w:tcW w:w="1440" w:type="dxa"/>
          </w:tcPr>
          <w:p w14:paraId="1C54BA49" w14:textId="77777777" w:rsidR="008E7767" w:rsidRPr="0009354D" w:rsidRDefault="008E7767" w:rsidP="005C5FAB">
            <w:pPr>
              <w:tabs>
                <w:tab w:val="decimal" w:pos="1062"/>
                <w:tab w:val="right" w:pos="9180"/>
              </w:tabs>
              <w:ind w:right="-46"/>
            </w:pPr>
          </w:p>
        </w:tc>
        <w:tc>
          <w:tcPr>
            <w:tcW w:w="1440" w:type="dxa"/>
            <w:tcBorders>
              <w:top w:val="single" w:sz="4" w:space="0" w:color="auto"/>
            </w:tcBorders>
          </w:tcPr>
          <w:p w14:paraId="797B33AB" w14:textId="1F850F7A" w:rsidR="008E7767" w:rsidRPr="0009354D" w:rsidRDefault="008E7767" w:rsidP="005C5FAB">
            <w:pPr>
              <w:tabs>
                <w:tab w:val="decimal" w:pos="1062"/>
                <w:tab w:val="right" w:pos="9180"/>
              </w:tabs>
              <w:ind w:right="-46"/>
            </w:pPr>
            <w:r w:rsidRPr="0009354D">
              <w:t>$</w:t>
            </w:r>
            <w:r w:rsidRPr="0009354D">
              <w:tab/>
            </w:r>
            <w:r w:rsidR="00340DE3">
              <w:t>300,677</w:t>
            </w:r>
          </w:p>
        </w:tc>
        <w:tc>
          <w:tcPr>
            <w:tcW w:w="1440" w:type="dxa"/>
          </w:tcPr>
          <w:p w14:paraId="067A2D52" w14:textId="0CCBF10D" w:rsidR="008E7767" w:rsidRPr="0009354D" w:rsidRDefault="008E7767" w:rsidP="005C5FAB">
            <w:pPr>
              <w:tabs>
                <w:tab w:val="decimal" w:pos="1062"/>
                <w:tab w:val="right" w:pos="9180"/>
              </w:tabs>
              <w:ind w:right="-18"/>
            </w:pPr>
            <w:r w:rsidRPr="0009354D">
              <w:t>$</w:t>
            </w:r>
            <w:r w:rsidRPr="0009354D">
              <w:tab/>
            </w:r>
            <w:r w:rsidR="00340DE3">
              <w:t>-</w:t>
            </w:r>
          </w:p>
        </w:tc>
        <w:tc>
          <w:tcPr>
            <w:tcW w:w="1530" w:type="dxa"/>
          </w:tcPr>
          <w:p w14:paraId="1829628E" w14:textId="7E1E8FF8" w:rsidR="008E7767" w:rsidRPr="0009354D" w:rsidRDefault="008E7767" w:rsidP="005C5FAB">
            <w:pPr>
              <w:tabs>
                <w:tab w:val="decimal" w:pos="1152"/>
                <w:tab w:val="right" w:pos="9180"/>
              </w:tabs>
              <w:ind w:right="-18"/>
            </w:pPr>
            <w:r w:rsidRPr="0009354D">
              <w:t>$</w:t>
            </w:r>
            <w:r w:rsidRPr="0009354D">
              <w:tab/>
            </w:r>
            <w:r w:rsidR="00340DE3">
              <w:t>300,677</w:t>
            </w:r>
          </w:p>
        </w:tc>
      </w:tr>
      <w:tr w:rsidR="008E7767" w:rsidRPr="0009354D" w14:paraId="34B7128E" w14:textId="77777777" w:rsidTr="005C5FAB">
        <w:tc>
          <w:tcPr>
            <w:tcW w:w="3438" w:type="dxa"/>
            <w:gridSpan w:val="4"/>
          </w:tcPr>
          <w:p w14:paraId="28D15256" w14:textId="77777777" w:rsidR="008E7767" w:rsidRPr="0009354D" w:rsidRDefault="008E7767" w:rsidP="005C5FAB">
            <w:pPr>
              <w:tabs>
                <w:tab w:val="right" w:pos="9180"/>
              </w:tabs>
              <w:ind w:right="-360"/>
            </w:pPr>
            <w:r w:rsidRPr="0009354D">
              <w:t>Operating expenses:</w:t>
            </w:r>
          </w:p>
        </w:tc>
        <w:tc>
          <w:tcPr>
            <w:tcW w:w="1440" w:type="dxa"/>
          </w:tcPr>
          <w:p w14:paraId="01506C30" w14:textId="77777777" w:rsidR="008E7767" w:rsidRPr="0009354D" w:rsidRDefault="008E7767" w:rsidP="005C5FAB">
            <w:pPr>
              <w:tabs>
                <w:tab w:val="right" w:pos="9180"/>
              </w:tabs>
              <w:ind w:right="-46"/>
            </w:pPr>
          </w:p>
        </w:tc>
        <w:tc>
          <w:tcPr>
            <w:tcW w:w="1440" w:type="dxa"/>
          </w:tcPr>
          <w:p w14:paraId="055310BC" w14:textId="77777777" w:rsidR="008E7767" w:rsidRPr="0009354D" w:rsidRDefault="008E7767" w:rsidP="005C5FAB">
            <w:pPr>
              <w:tabs>
                <w:tab w:val="right" w:pos="9180"/>
              </w:tabs>
              <w:ind w:right="-46"/>
            </w:pPr>
          </w:p>
        </w:tc>
        <w:tc>
          <w:tcPr>
            <w:tcW w:w="1440" w:type="dxa"/>
          </w:tcPr>
          <w:p w14:paraId="5EB59E9D" w14:textId="77777777" w:rsidR="008E7767" w:rsidRPr="0009354D" w:rsidRDefault="008E7767" w:rsidP="005C5FAB">
            <w:pPr>
              <w:tabs>
                <w:tab w:val="right" w:pos="9180"/>
              </w:tabs>
              <w:ind w:right="-18"/>
            </w:pPr>
          </w:p>
        </w:tc>
        <w:tc>
          <w:tcPr>
            <w:tcW w:w="1530" w:type="dxa"/>
          </w:tcPr>
          <w:p w14:paraId="7892D9B6" w14:textId="77777777" w:rsidR="008E7767" w:rsidRPr="0009354D" w:rsidRDefault="008E7767" w:rsidP="005C5FAB">
            <w:pPr>
              <w:tabs>
                <w:tab w:val="right" w:pos="9180"/>
              </w:tabs>
              <w:ind w:right="-18"/>
            </w:pPr>
          </w:p>
        </w:tc>
      </w:tr>
      <w:tr w:rsidR="008E7767" w:rsidRPr="0009354D" w14:paraId="31F13061" w14:textId="77777777" w:rsidTr="005C5FAB">
        <w:tc>
          <w:tcPr>
            <w:tcW w:w="378" w:type="dxa"/>
          </w:tcPr>
          <w:p w14:paraId="6E4F99BD" w14:textId="77777777" w:rsidR="008E7767" w:rsidRPr="0009354D" w:rsidRDefault="008E7767" w:rsidP="005C5FAB">
            <w:pPr>
              <w:ind w:right="-360"/>
            </w:pPr>
          </w:p>
        </w:tc>
        <w:tc>
          <w:tcPr>
            <w:tcW w:w="3060" w:type="dxa"/>
            <w:gridSpan w:val="3"/>
          </w:tcPr>
          <w:p w14:paraId="7EC9E4C9" w14:textId="77777777" w:rsidR="008E7767" w:rsidRPr="0009354D" w:rsidRDefault="008E7767" w:rsidP="005C5FAB">
            <w:pPr>
              <w:tabs>
                <w:tab w:val="right" w:pos="9180"/>
              </w:tabs>
              <w:ind w:right="-360"/>
            </w:pPr>
            <w:r w:rsidRPr="0009354D">
              <w:t>Research and development</w:t>
            </w:r>
          </w:p>
        </w:tc>
        <w:tc>
          <w:tcPr>
            <w:tcW w:w="1440" w:type="dxa"/>
          </w:tcPr>
          <w:p w14:paraId="225B0069" w14:textId="77777777" w:rsidR="008E7767" w:rsidRPr="0009354D" w:rsidRDefault="008E7767" w:rsidP="005C5FAB">
            <w:pPr>
              <w:tabs>
                <w:tab w:val="decimal" w:pos="1062"/>
                <w:tab w:val="right" w:pos="9180"/>
              </w:tabs>
              <w:ind w:right="-46"/>
            </w:pPr>
          </w:p>
        </w:tc>
        <w:tc>
          <w:tcPr>
            <w:tcW w:w="1440" w:type="dxa"/>
          </w:tcPr>
          <w:p w14:paraId="182B8CB2" w14:textId="09C3868F" w:rsidR="008E7767" w:rsidRPr="0009354D" w:rsidRDefault="008E7767" w:rsidP="005C5FAB">
            <w:pPr>
              <w:tabs>
                <w:tab w:val="decimal" w:pos="1062"/>
                <w:tab w:val="right" w:pos="9180"/>
              </w:tabs>
              <w:ind w:right="-46"/>
            </w:pPr>
            <w:r w:rsidRPr="0009354D">
              <w:tab/>
            </w:r>
            <w:r w:rsidR="00340DE3">
              <w:t>8,702,596</w:t>
            </w:r>
          </w:p>
        </w:tc>
        <w:tc>
          <w:tcPr>
            <w:tcW w:w="1440" w:type="dxa"/>
          </w:tcPr>
          <w:p w14:paraId="59C14641" w14:textId="445859A8" w:rsidR="008E7767" w:rsidRPr="0009354D" w:rsidRDefault="008E7767" w:rsidP="005C5FAB">
            <w:pPr>
              <w:tabs>
                <w:tab w:val="decimal" w:pos="1062"/>
                <w:tab w:val="right" w:pos="9180"/>
              </w:tabs>
              <w:ind w:right="-18"/>
            </w:pPr>
            <w:r w:rsidRPr="0009354D">
              <w:tab/>
            </w:r>
            <w:r w:rsidR="00340DE3">
              <w:t>7,538,917</w:t>
            </w:r>
          </w:p>
        </w:tc>
        <w:tc>
          <w:tcPr>
            <w:tcW w:w="1530" w:type="dxa"/>
          </w:tcPr>
          <w:p w14:paraId="66B1114A" w14:textId="0FCC5E81" w:rsidR="008E7767" w:rsidRPr="0009354D" w:rsidRDefault="008E7767" w:rsidP="005C5FAB">
            <w:pPr>
              <w:tabs>
                <w:tab w:val="decimal" w:pos="1152"/>
                <w:tab w:val="right" w:pos="9180"/>
              </w:tabs>
              <w:ind w:right="-18"/>
            </w:pPr>
            <w:r w:rsidRPr="0009354D">
              <w:tab/>
            </w:r>
            <w:r w:rsidR="00340DE3">
              <w:t>1,163,679</w:t>
            </w:r>
          </w:p>
        </w:tc>
      </w:tr>
      <w:tr w:rsidR="008E7767" w:rsidRPr="0009354D" w14:paraId="5AA2E66F" w14:textId="77777777" w:rsidTr="005C5FAB">
        <w:tc>
          <w:tcPr>
            <w:tcW w:w="378" w:type="dxa"/>
          </w:tcPr>
          <w:p w14:paraId="0CD9D3AE" w14:textId="77777777" w:rsidR="008E7767" w:rsidRPr="0009354D" w:rsidRDefault="008E7767" w:rsidP="005C5FAB">
            <w:pPr>
              <w:ind w:right="-360"/>
            </w:pPr>
          </w:p>
        </w:tc>
        <w:tc>
          <w:tcPr>
            <w:tcW w:w="3060" w:type="dxa"/>
            <w:gridSpan w:val="3"/>
          </w:tcPr>
          <w:p w14:paraId="1B9A76E8" w14:textId="77777777" w:rsidR="008E7767" w:rsidRPr="0009354D" w:rsidRDefault="008E7767" w:rsidP="005C5FAB">
            <w:pPr>
              <w:tabs>
                <w:tab w:val="right" w:pos="9180"/>
              </w:tabs>
              <w:ind w:right="-360"/>
            </w:pPr>
            <w:r w:rsidRPr="0009354D">
              <w:t>General and administrative</w:t>
            </w:r>
          </w:p>
        </w:tc>
        <w:tc>
          <w:tcPr>
            <w:tcW w:w="1440" w:type="dxa"/>
          </w:tcPr>
          <w:p w14:paraId="0FD05AB5" w14:textId="77777777" w:rsidR="008E7767" w:rsidRPr="0009354D" w:rsidRDefault="008E7767" w:rsidP="005C5FAB">
            <w:pPr>
              <w:tabs>
                <w:tab w:val="decimal" w:pos="1062"/>
                <w:tab w:val="right" w:pos="9180"/>
              </w:tabs>
              <w:ind w:right="-46"/>
            </w:pPr>
          </w:p>
        </w:tc>
        <w:tc>
          <w:tcPr>
            <w:tcW w:w="1440" w:type="dxa"/>
          </w:tcPr>
          <w:p w14:paraId="47347C9D" w14:textId="5FCD29E8" w:rsidR="008E7767" w:rsidRPr="0009354D" w:rsidRDefault="008E7767" w:rsidP="005C5FAB">
            <w:pPr>
              <w:tabs>
                <w:tab w:val="decimal" w:pos="1062"/>
                <w:tab w:val="right" w:pos="9180"/>
              </w:tabs>
              <w:ind w:right="-46"/>
            </w:pPr>
            <w:r w:rsidRPr="0009354D">
              <w:tab/>
            </w:r>
            <w:r w:rsidR="00340DE3">
              <w:t>2,543,383</w:t>
            </w:r>
          </w:p>
        </w:tc>
        <w:tc>
          <w:tcPr>
            <w:tcW w:w="1440" w:type="dxa"/>
          </w:tcPr>
          <w:p w14:paraId="439D68FA" w14:textId="06A88B16" w:rsidR="008E7767" w:rsidRPr="0009354D" w:rsidRDefault="008E7767" w:rsidP="005C5FAB">
            <w:pPr>
              <w:tabs>
                <w:tab w:val="decimal" w:pos="1062"/>
                <w:tab w:val="right" w:pos="9180"/>
              </w:tabs>
              <w:ind w:right="-18"/>
            </w:pPr>
            <w:r w:rsidRPr="0009354D">
              <w:tab/>
            </w:r>
            <w:r>
              <w:t>2,</w:t>
            </w:r>
            <w:r w:rsidR="00340DE3">
              <w:t>910,518</w:t>
            </w:r>
          </w:p>
        </w:tc>
        <w:tc>
          <w:tcPr>
            <w:tcW w:w="1530" w:type="dxa"/>
          </w:tcPr>
          <w:p w14:paraId="08D125C7" w14:textId="255281F4" w:rsidR="008E7767" w:rsidRPr="0009354D" w:rsidRDefault="008E7767" w:rsidP="005C5FAB">
            <w:pPr>
              <w:tabs>
                <w:tab w:val="decimal" w:pos="1152"/>
                <w:tab w:val="right" w:pos="9180"/>
              </w:tabs>
              <w:ind w:right="-18"/>
            </w:pPr>
            <w:r w:rsidRPr="0009354D">
              <w:tab/>
            </w:r>
            <w:r w:rsidR="00340DE3">
              <w:t>(367,135)</w:t>
            </w:r>
          </w:p>
        </w:tc>
      </w:tr>
      <w:tr w:rsidR="008E7767" w:rsidRPr="0009354D" w14:paraId="4EEA8FD0" w14:textId="77777777" w:rsidTr="005C5FAB">
        <w:tc>
          <w:tcPr>
            <w:tcW w:w="3438" w:type="dxa"/>
            <w:gridSpan w:val="4"/>
          </w:tcPr>
          <w:p w14:paraId="366F116F" w14:textId="77777777" w:rsidR="008E7767" w:rsidRPr="0009354D" w:rsidRDefault="008E7767" w:rsidP="005C5FAB">
            <w:pPr>
              <w:tabs>
                <w:tab w:val="right" w:pos="9180"/>
              </w:tabs>
              <w:ind w:right="-360"/>
            </w:pPr>
            <w:r w:rsidRPr="0009354D">
              <w:t>Total operating expenses</w:t>
            </w:r>
          </w:p>
        </w:tc>
        <w:tc>
          <w:tcPr>
            <w:tcW w:w="1440" w:type="dxa"/>
          </w:tcPr>
          <w:p w14:paraId="5DFC9262" w14:textId="77777777" w:rsidR="008E7767" w:rsidRPr="0009354D" w:rsidRDefault="008E7767" w:rsidP="005C5FAB">
            <w:pPr>
              <w:tabs>
                <w:tab w:val="decimal" w:pos="1062"/>
                <w:tab w:val="right" w:pos="9180"/>
              </w:tabs>
              <w:ind w:right="-46"/>
            </w:pPr>
          </w:p>
        </w:tc>
        <w:tc>
          <w:tcPr>
            <w:tcW w:w="1440" w:type="dxa"/>
            <w:tcBorders>
              <w:top w:val="single" w:sz="4" w:space="0" w:color="auto"/>
              <w:bottom w:val="single" w:sz="4" w:space="0" w:color="auto"/>
            </w:tcBorders>
          </w:tcPr>
          <w:p w14:paraId="3D88A93F" w14:textId="36C50B53" w:rsidR="008E7767" w:rsidRPr="0009354D" w:rsidRDefault="008E7767" w:rsidP="005C5FAB">
            <w:pPr>
              <w:tabs>
                <w:tab w:val="decimal" w:pos="1062"/>
                <w:tab w:val="right" w:pos="9180"/>
              </w:tabs>
              <w:ind w:right="-46"/>
            </w:pPr>
            <w:r w:rsidRPr="0009354D">
              <w:tab/>
            </w:r>
            <w:r w:rsidR="00340DE3">
              <w:t>11,245,979</w:t>
            </w:r>
          </w:p>
        </w:tc>
        <w:tc>
          <w:tcPr>
            <w:tcW w:w="1440" w:type="dxa"/>
            <w:tcBorders>
              <w:top w:val="single" w:sz="4" w:space="0" w:color="auto"/>
              <w:bottom w:val="single" w:sz="4" w:space="0" w:color="auto"/>
            </w:tcBorders>
          </w:tcPr>
          <w:p w14:paraId="3ED1A217" w14:textId="3AE0DAAE" w:rsidR="008E7767" w:rsidRPr="0009354D" w:rsidRDefault="008E7767" w:rsidP="005C5FAB">
            <w:pPr>
              <w:tabs>
                <w:tab w:val="decimal" w:pos="1062"/>
                <w:tab w:val="right" w:pos="9180"/>
              </w:tabs>
              <w:ind w:right="-18"/>
            </w:pPr>
            <w:r w:rsidRPr="0009354D">
              <w:tab/>
            </w:r>
            <w:r w:rsidR="00340DE3">
              <w:t>10,449,435</w:t>
            </w:r>
          </w:p>
        </w:tc>
        <w:tc>
          <w:tcPr>
            <w:tcW w:w="1530" w:type="dxa"/>
            <w:tcBorders>
              <w:top w:val="single" w:sz="4" w:space="0" w:color="auto"/>
              <w:bottom w:val="single" w:sz="4" w:space="0" w:color="auto"/>
            </w:tcBorders>
          </w:tcPr>
          <w:p w14:paraId="0B441BC8" w14:textId="3D15D67B" w:rsidR="008E7767" w:rsidRPr="0009354D" w:rsidRDefault="008E7767" w:rsidP="005C5FAB">
            <w:pPr>
              <w:tabs>
                <w:tab w:val="decimal" w:pos="1152"/>
                <w:tab w:val="right" w:pos="9180"/>
              </w:tabs>
              <w:ind w:right="-18"/>
            </w:pPr>
            <w:r w:rsidRPr="0009354D">
              <w:tab/>
            </w:r>
            <w:r w:rsidR="00340DE3">
              <w:t>796,544</w:t>
            </w:r>
          </w:p>
        </w:tc>
      </w:tr>
      <w:tr w:rsidR="008E7767" w:rsidRPr="0009354D" w14:paraId="27CDD933" w14:textId="77777777" w:rsidTr="00340DE3">
        <w:tc>
          <w:tcPr>
            <w:tcW w:w="3438" w:type="dxa"/>
            <w:gridSpan w:val="4"/>
          </w:tcPr>
          <w:p w14:paraId="179BF555" w14:textId="77777777" w:rsidR="008E7767" w:rsidRPr="0009354D" w:rsidRDefault="008E7767" w:rsidP="005C5FAB">
            <w:pPr>
              <w:tabs>
                <w:tab w:val="right" w:pos="9180"/>
              </w:tabs>
              <w:ind w:right="-360"/>
            </w:pPr>
            <w:r w:rsidRPr="0009354D">
              <w:t>Loss from operations</w:t>
            </w:r>
          </w:p>
        </w:tc>
        <w:tc>
          <w:tcPr>
            <w:tcW w:w="1440" w:type="dxa"/>
          </w:tcPr>
          <w:p w14:paraId="551F7E64" w14:textId="77777777" w:rsidR="008E7767" w:rsidRPr="0009354D" w:rsidRDefault="008E7767" w:rsidP="005C5FAB">
            <w:pPr>
              <w:tabs>
                <w:tab w:val="decimal" w:pos="1062"/>
                <w:tab w:val="right" w:pos="9180"/>
              </w:tabs>
              <w:ind w:right="-46"/>
            </w:pPr>
          </w:p>
        </w:tc>
        <w:tc>
          <w:tcPr>
            <w:tcW w:w="1440" w:type="dxa"/>
          </w:tcPr>
          <w:p w14:paraId="3440AB3B" w14:textId="41C6CD20" w:rsidR="008E7767" w:rsidRPr="0009354D" w:rsidRDefault="008E7767" w:rsidP="005C5FAB">
            <w:pPr>
              <w:tabs>
                <w:tab w:val="decimal" w:pos="1062"/>
                <w:tab w:val="right" w:pos="9180"/>
              </w:tabs>
              <w:ind w:right="-46"/>
            </w:pPr>
            <w:r w:rsidRPr="0009354D">
              <w:tab/>
            </w:r>
            <w:r w:rsidR="0057490D">
              <w:t>(</w:t>
            </w:r>
            <w:r w:rsidR="00340DE3">
              <w:t>10,945,302</w:t>
            </w:r>
            <w:r w:rsidR="0057490D">
              <w:t>)</w:t>
            </w:r>
          </w:p>
        </w:tc>
        <w:tc>
          <w:tcPr>
            <w:tcW w:w="1440" w:type="dxa"/>
          </w:tcPr>
          <w:p w14:paraId="2FF5B54D" w14:textId="4CFF5A44" w:rsidR="008E7767" w:rsidRPr="0009354D" w:rsidRDefault="008E7767" w:rsidP="005C5FAB">
            <w:pPr>
              <w:tabs>
                <w:tab w:val="decimal" w:pos="1044"/>
                <w:tab w:val="right" w:pos="9180"/>
              </w:tabs>
              <w:ind w:right="-18"/>
            </w:pPr>
            <w:r w:rsidRPr="0009354D">
              <w:tab/>
              <w:t>(</w:t>
            </w:r>
            <w:r w:rsidR="00340DE3">
              <w:t>10,449,435</w:t>
            </w:r>
            <w:r>
              <w:t>)</w:t>
            </w:r>
          </w:p>
        </w:tc>
        <w:tc>
          <w:tcPr>
            <w:tcW w:w="1530" w:type="dxa"/>
          </w:tcPr>
          <w:p w14:paraId="00390DAA" w14:textId="5C609BA1" w:rsidR="008E7767" w:rsidRPr="0009354D" w:rsidRDefault="008E7767" w:rsidP="005C5FAB">
            <w:pPr>
              <w:tabs>
                <w:tab w:val="decimal" w:pos="1152"/>
                <w:tab w:val="right" w:pos="9180"/>
              </w:tabs>
              <w:ind w:right="-18"/>
            </w:pPr>
            <w:r w:rsidRPr="0009354D">
              <w:tab/>
            </w:r>
            <w:r w:rsidR="0016519B">
              <w:t>(</w:t>
            </w:r>
            <w:r w:rsidR="00340DE3">
              <w:t>495,867</w:t>
            </w:r>
            <w:r w:rsidR="0016519B">
              <w:t>)</w:t>
            </w:r>
          </w:p>
        </w:tc>
      </w:tr>
      <w:tr w:rsidR="008E7767" w:rsidRPr="0009354D" w14:paraId="17B23014" w14:textId="77777777" w:rsidTr="00340DE3">
        <w:tc>
          <w:tcPr>
            <w:tcW w:w="3438" w:type="dxa"/>
            <w:gridSpan w:val="4"/>
          </w:tcPr>
          <w:p w14:paraId="1F1233FA" w14:textId="0B16C48C" w:rsidR="008E7767" w:rsidRPr="0009354D" w:rsidRDefault="008E7767" w:rsidP="005C5FAB">
            <w:pPr>
              <w:tabs>
                <w:tab w:val="right" w:pos="9180"/>
              </w:tabs>
              <w:ind w:right="-360"/>
            </w:pPr>
            <w:r>
              <w:t>Interest income</w:t>
            </w:r>
          </w:p>
        </w:tc>
        <w:tc>
          <w:tcPr>
            <w:tcW w:w="1440" w:type="dxa"/>
          </w:tcPr>
          <w:p w14:paraId="1860B366" w14:textId="77777777" w:rsidR="008E7767" w:rsidRPr="0009354D" w:rsidRDefault="008E7767" w:rsidP="005C5FAB">
            <w:pPr>
              <w:tabs>
                <w:tab w:val="decimal" w:pos="1062"/>
                <w:tab w:val="right" w:pos="9180"/>
              </w:tabs>
              <w:ind w:right="-46"/>
            </w:pPr>
          </w:p>
        </w:tc>
        <w:tc>
          <w:tcPr>
            <w:tcW w:w="1440" w:type="dxa"/>
          </w:tcPr>
          <w:p w14:paraId="50CEFEA9" w14:textId="2E8CC4B0" w:rsidR="008E7767" w:rsidRPr="0009354D" w:rsidRDefault="008E7767" w:rsidP="005C5FAB">
            <w:pPr>
              <w:tabs>
                <w:tab w:val="decimal" w:pos="1062"/>
                <w:tab w:val="right" w:pos="9180"/>
              </w:tabs>
              <w:ind w:right="-46"/>
            </w:pPr>
            <w:r w:rsidRPr="0009354D">
              <w:tab/>
            </w:r>
            <w:r w:rsidR="00340DE3">
              <w:t>38,420</w:t>
            </w:r>
          </w:p>
        </w:tc>
        <w:tc>
          <w:tcPr>
            <w:tcW w:w="1440" w:type="dxa"/>
          </w:tcPr>
          <w:p w14:paraId="300C727C" w14:textId="5C510537" w:rsidR="008E7767" w:rsidRPr="0009354D" w:rsidRDefault="008E7767" w:rsidP="005C5FAB">
            <w:pPr>
              <w:tabs>
                <w:tab w:val="decimal" w:pos="1062"/>
                <w:tab w:val="right" w:pos="9180"/>
              </w:tabs>
              <w:ind w:right="-18"/>
            </w:pPr>
            <w:r w:rsidRPr="0009354D">
              <w:tab/>
            </w:r>
            <w:r w:rsidR="00340DE3">
              <w:t>483,899</w:t>
            </w:r>
          </w:p>
        </w:tc>
        <w:tc>
          <w:tcPr>
            <w:tcW w:w="1530" w:type="dxa"/>
          </w:tcPr>
          <w:p w14:paraId="6890D7C3" w14:textId="3B61C496" w:rsidR="008E7767" w:rsidRPr="0009354D" w:rsidRDefault="008E7767" w:rsidP="005C5FAB">
            <w:pPr>
              <w:tabs>
                <w:tab w:val="decimal" w:pos="1152"/>
                <w:tab w:val="right" w:pos="9180"/>
              </w:tabs>
              <w:ind w:right="-18"/>
            </w:pPr>
            <w:r w:rsidRPr="0009354D">
              <w:tab/>
            </w:r>
            <w:r w:rsidR="00340DE3">
              <w:t>(445,479)</w:t>
            </w:r>
          </w:p>
        </w:tc>
      </w:tr>
      <w:tr w:rsidR="00340DE3" w:rsidRPr="0009354D" w14:paraId="69302E49" w14:textId="77777777" w:rsidTr="00340DE3">
        <w:tc>
          <w:tcPr>
            <w:tcW w:w="3438" w:type="dxa"/>
            <w:gridSpan w:val="4"/>
          </w:tcPr>
          <w:p w14:paraId="68DBE374" w14:textId="20183B38" w:rsidR="00340DE3" w:rsidRDefault="00340DE3" w:rsidP="005C5FAB">
            <w:pPr>
              <w:tabs>
                <w:tab w:val="right" w:pos="9180"/>
              </w:tabs>
              <w:ind w:right="-360"/>
            </w:pPr>
            <w:r>
              <w:t>Interest expense</w:t>
            </w:r>
          </w:p>
        </w:tc>
        <w:tc>
          <w:tcPr>
            <w:tcW w:w="1440" w:type="dxa"/>
          </w:tcPr>
          <w:p w14:paraId="56B1BEE4" w14:textId="77777777" w:rsidR="00340DE3" w:rsidRPr="0009354D" w:rsidRDefault="00340DE3" w:rsidP="005C5FAB">
            <w:pPr>
              <w:tabs>
                <w:tab w:val="decimal" w:pos="1062"/>
                <w:tab w:val="right" w:pos="9180"/>
              </w:tabs>
              <w:ind w:right="-46"/>
            </w:pPr>
          </w:p>
        </w:tc>
        <w:tc>
          <w:tcPr>
            <w:tcW w:w="1440" w:type="dxa"/>
            <w:tcBorders>
              <w:bottom w:val="single" w:sz="4" w:space="0" w:color="auto"/>
            </w:tcBorders>
          </w:tcPr>
          <w:p w14:paraId="7BF5244A" w14:textId="71F234CA" w:rsidR="00340DE3" w:rsidRPr="0009354D" w:rsidRDefault="00340DE3" w:rsidP="005C5FAB">
            <w:pPr>
              <w:tabs>
                <w:tab w:val="decimal" w:pos="1062"/>
                <w:tab w:val="right" w:pos="9180"/>
              </w:tabs>
              <w:ind w:right="-46"/>
            </w:pPr>
            <w:r>
              <w:tab/>
              <w:t>(7,292)</w:t>
            </w:r>
          </w:p>
        </w:tc>
        <w:tc>
          <w:tcPr>
            <w:tcW w:w="1440" w:type="dxa"/>
          </w:tcPr>
          <w:p w14:paraId="067E2791" w14:textId="4FE3F818" w:rsidR="00340DE3" w:rsidRPr="0009354D" w:rsidRDefault="00340DE3" w:rsidP="005C5FAB">
            <w:pPr>
              <w:tabs>
                <w:tab w:val="decimal" w:pos="1062"/>
                <w:tab w:val="right" w:pos="9180"/>
              </w:tabs>
              <w:ind w:right="-18"/>
            </w:pPr>
            <w:r>
              <w:tab/>
              <w:t>-</w:t>
            </w:r>
          </w:p>
        </w:tc>
        <w:tc>
          <w:tcPr>
            <w:tcW w:w="1530" w:type="dxa"/>
          </w:tcPr>
          <w:p w14:paraId="30C0A2BE" w14:textId="46A08938" w:rsidR="00340DE3" w:rsidRPr="0009354D" w:rsidRDefault="00340DE3" w:rsidP="005C5FAB">
            <w:pPr>
              <w:tabs>
                <w:tab w:val="decimal" w:pos="1152"/>
                <w:tab w:val="right" w:pos="9180"/>
              </w:tabs>
              <w:ind w:right="-18"/>
            </w:pPr>
            <w:r>
              <w:tab/>
              <w:t>(7,292)</w:t>
            </w:r>
          </w:p>
        </w:tc>
      </w:tr>
      <w:tr w:rsidR="008E7767" w:rsidRPr="0009354D" w14:paraId="0754E32F" w14:textId="77777777" w:rsidTr="005C5FAB">
        <w:tc>
          <w:tcPr>
            <w:tcW w:w="3438" w:type="dxa"/>
            <w:gridSpan w:val="4"/>
          </w:tcPr>
          <w:p w14:paraId="29EB39BF" w14:textId="77777777" w:rsidR="008E7767" w:rsidRPr="0009354D" w:rsidRDefault="008E7767" w:rsidP="005C5FAB">
            <w:pPr>
              <w:tabs>
                <w:tab w:val="right" w:pos="9180"/>
              </w:tabs>
              <w:ind w:right="-360"/>
            </w:pPr>
            <w:bookmarkStart w:id="28" w:name="_Hlk77174018"/>
            <w:r w:rsidRPr="0009354D">
              <w:t>Net loss</w:t>
            </w:r>
          </w:p>
        </w:tc>
        <w:tc>
          <w:tcPr>
            <w:tcW w:w="1440" w:type="dxa"/>
          </w:tcPr>
          <w:p w14:paraId="40131CFE" w14:textId="77777777" w:rsidR="008E7767" w:rsidRPr="0009354D" w:rsidRDefault="008E7767" w:rsidP="005C5FAB">
            <w:pPr>
              <w:tabs>
                <w:tab w:val="decimal" w:pos="1062"/>
                <w:tab w:val="right" w:pos="9180"/>
              </w:tabs>
              <w:ind w:right="-46"/>
            </w:pPr>
          </w:p>
        </w:tc>
        <w:tc>
          <w:tcPr>
            <w:tcW w:w="1440" w:type="dxa"/>
            <w:tcBorders>
              <w:top w:val="single" w:sz="4" w:space="0" w:color="auto"/>
              <w:bottom w:val="double" w:sz="4" w:space="0" w:color="auto"/>
            </w:tcBorders>
          </w:tcPr>
          <w:p w14:paraId="384C167D" w14:textId="3114FCFF" w:rsidR="008E7767" w:rsidRPr="0009354D" w:rsidRDefault="008E7767" w:rsidP="005C5FAB">
            <w:pPr>
              <w:tabs>
                <w:tab w:val="decimal" w:pos="1062"/>
                <w:tab w:val="right" w:pos="9180"/>
              </w:tabs>
              <w:ind w:right="-46"/>
            </w:pPr>
            <w:r w:rsidRPr="0009354D">
              <w:t>$</w:t>
            </w:r>
            <w:r w:rsidRPr="0009354D">
              <w:tab/>
            </w:r>
            <w:r w:rsidR="0057490D">
              <w:t>(</w:t>
            </w:r>
            <w:r w:rsidR="00340DE3">
              <w:t>10,914,174</w:t>
            </w:r>
            <w:r w:rsidR="0057490D">
              <w:t>)</w:t>
            </w:r>
          </w:p>
        </w:tc>
        <w:tc>
          <w:tcPr>
            <w:tcW w:w="1440" w:type="dxa"/>
            <w:tcBorders>
              <w:top w:val="single" w:sz="4" w:space="0" w:color="auto"/>
              <w:bottom w:val="double" w:sz="4" w:space="0" w:color="auto"/>
            </w:tcBorders>
          </w:tcPr>
          <w:p w14:paraId="5A07878F" w14:textId="2CA18B1E" w:rsidR="008E7767" w:rsidRPr="0009354D" w:rsidRDefault="008E7767" w:rsidP="005C5FAB">
            <w:pPr>
              <w:tabs>
                <w:tab w:val="decimal" w:pos="1044"/>
                <w:tab w:val="right" w:pos="9180"/>
              </w:tabs>
              <w:ind w:right="-18"/>
            </w:pPr>
            <w:r w:rsidRPr="0009354D">
              <w:t>$</w:t>
            </w:r>
            <w:r w:rsidRPr="0009354D">
              <w:tab/>
              <w:t>(</w:t>
            </w:r>
            <w:r w:rsidR="00340DE3">
              <w:t>9,965,536</w:t>
            </w:r>
            <w:r w:rsidRPr="0009354D">
              <w:t>)</w:t>
            </w:r>
          </w:p>
        </w:tc>
        <w:tc>
          <w:tcPr>
            <w:tcW w:w="1530" w:type="dxa"/>
            <w:tcBorders>
              <w:top w:val="single" w:sz="4" w:space="0" w:color="auto"/>
              <w:bottom w:val="double" w:sz="4" w:space="0" w:color="auto"/>
            </w:tcBorders>
          </w:tcPr>
          <w:p w14:paraId="6DE86418" w14:textId="59E03CE3" w:rsidR="008E7767" w:rsidRPr="0009354D" w:rsidRDefault="008E7767" w:rsidP="005C5FAB">
            <w:pPr>
              <w:tabs>
                <w:tab w:val="decimal" w:pos="1152"/>
                <w:tab w:val="right" w:pos="9180"/>
              </w:tabs>
              <w:ind w:right="-18"/>
            </w:pPr>
            <w:r w:rsidRPr="0009354D">
              <w:t>$</w:t>
            </w:r>
            <w:r w:rsidRPr="0009354D">
              <w:tab/>
            </w:r>
            <w:r w:rsidR="0016519B">
              <w:t>(</w:t>
            </w:r>
            <w:r w:rsidR="00340DE3">
              <w:t>94</w:t>
            </w:r>
            <w:r w:rsidR="005C39B1">
              <w:t>8,638</w:t>
            </w:r>
            <w:r w:rsidR="00340DE3">
              <w:t>)</w:t>
            </w:r>
          </w:p>
        </w:tc>
      </w:tr>
      <w:bookmarkEnd w:id="27"/>
      <w:bookmarkEnd w:id="28"/>
    </w:tbl>
    <w:p w14:paraId="0F82663B" w14:textId="77777777" w:rsidR="008E7767" w:rsidRDefault="008E7767" w:rsidP="00177E79">
      <w:pPr>
        <w:rPr>
          <w:i/>
          <w:iCs/>
        </w:rPr>
      </w:pPr>
    </w:p>
    <w:p w14:paraId="69545C6F" w14:textId="6A243648" w:rsidR="00177E79" w:rsidRPr="0009354D" w:rsidRDefault="00177E79" w:rsidP="00177E79">
      <w:r w:rsidRPr="0009354D">
        <w:rPr>
          <w:i/>
          <w:iCs/>
        </w:rPr>
        <w:t>Revenue</w:t>
      </w:r>
      <w:r w:rsidR="00340DE3">
        <w:rPr>
          <w:i/>
          <w:iCs/>
        </w:rPr>
        <w:t xml:space="preserve"> from Government Contract</w:t>
      </w:r>
    </w:p>
    <w:p w14:paraId="4196A7BA" w14:textId="7B289CE9" w:rsidR="00177E79" w:rsidRDefault="00177E79" w:rsidP="00177E79"/>
    <w:p w14:paraId="13FF2030" w14:textId="0DB2ABAE" w:rsidR="00177E79" w:rsidRDefault="00340DE3" w:rsidP="00177E79">
      <w:pPr>
        <w:rPr>
          <w:iCs/>
        </w:rPr>
      </w:pPr>
      <w:r>
        <w:t>During the three</w:t>
      </w:r>
      <w:r w:rsidR="009A733D">
        <w:t>-</w:t>
      </w:r>
      <w:r>
        <w:t>month and six</w:t>
      </w:r>
      <w:r w:rsidR="009A733D">
        <w:t>-</w:t>
      </w:r>
      <w:r>
        <w:t>month periods ending June 30, 2024, we reported</w:t>
      </w:r>
      <w:r w:rsidR="00F81759">
        <w:t xml:space="preserve"> $300,677 of revenues associated with the </w:t>
      </w:r>
      <w:r w:rsidR="00673612">
        <w:t>BARDA Contract.</w:t>
      </w:r>
      <w:r w:rsidR="00F81759">
        <w:t xml:space="preserve"> There were no revenues reported during the comparable 2023 </w:t>
      </w:r>
      <w:proofErr w:type="gramStart"/>
      <w:r w:rsidR="00F81759">
        <w:t>periods</w:t>
      </w:r>
      <w:proofErr w:type="gramEnd"/>
      <w:r w:rsidR="00F81759">
        <w:t>.</w:t>
      </w:r>
    </w:p>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lastRenderedPageBreak/>
        <w:t>Research and Development Expenses</w:t>
      </w:r>
    </w:p>
    <w:p w14:paraId="3A551792" w14:textId="77777777" w:rsidR="00CE568B" w:rsidRDefault="00CE568B" w:rsidP="00177E79"/>
    <w:p w14:paraId="270AC716" w14:textId="3F5E3D25" w:rsidR="00246876" w:rsidRPr="00246876" w:rsidRDefault="00246876" w:rsidP="00246876">
      <w:r w:rsidRPr="00246876">
        <w:t>For the three-month and six-month periods ending June 30, 202</w:t>
      </w:r>
      <w:r w:rsidR="00F81759">
        <w:t>4</w:t>
      </w:r>
      <w:r w:rsidRPr="00246876">
        <w:t xml:space="preserve">, research and development expenses </w:t>
      </w:r>
      <w:r w:rsidR="00F81759">
        <w:t>decreased</w:t>
      </w:r>
      <w:r w:rsidRPr="00246876">
        <w:t xml:space="preserve"> by $</w:t>
      </w:r>
      <w:r w:rsidR="00F81759">
        <w:t>442,860</w:t>
      </w:r>
      <w:r w:rsidRPr="00246876">
        <w:t xml:space="preserve"> (</w:t>
      </w:r>
      <w:r w:rsidR="00F81759">
        <w:t>9.4</w:t>
      </w:r>
      <w:r w:rsidRPr="00246876">
        <w:t>%) and</w:t>
      </w:r>
      <w:r w:rsidR="00F81759">
        <w:t xml:space="preserve"> increased by</w:t>
      </w:r>
      <w:r w:rsidRPr="00246876">
        <w:t xml:space="preserve"> $</w:t>
      </w:r>
      <w:r w:rsidR="00F81759">
        <w:t>1,163,679</w:t>
      </w:r>
      <w:r w:rsidRPr="00246876">
        <w:t xml:space="preserve"> (</w:t>
      </w:r>
      <w:r w:rsidR="00F81759">
        <w:t>15.4</w:t>
      </w:r>
      <w:r w:rsidRPr="00246876">
        <w:t>%), respectively, versus the comparable 202</w:t>
      </w:r>
      <w:r w:rsidR="00F81759">
        <w:t>3</w:t>
      </w:r>
      <w:r w:rsidRPr="00246876">
        <w:t xml:space="preserve"> periods. The overall </w:t>
      </w:r>
      <w:r w:rsidRPr="009A733D">
        <w:t>increase</w:t>
      </w:r>
      <w:r w:rsidRPr="00246876">
        <w:t xml:space="preserve"> during the </w:t>
      </w:r>
      <w:r w:rsidR="009A733D">
        <w:t xml:space="preserve">six-month </w:t>
      </w:r>
      <w:r w:rsidRPr="00246876">
        <w:t>period</w:t>
      </w:r>
      <w:r w:rsidR="009A733D">
        <w:t xml:space="preserve"> of 2024 versus 2023</w:t>
      </w:r>
      <w:r w:rsidRPr="00246876">
        <w:t xml:space="preserve"> relates primarily to costs of manufacturing materials for use in our clinical trial</w:t>
      </w:r>
      <w:r w:rsidR="00F964F5">
        <w:t>s of GEO-CM04S1 and Gedeptin</w:t>
      </w:r>
      <w:r w:rsidR="009A733D">
        <w:t xml:space="preserve"> and </w:t>
      </w:r>
      <w:r w:rsidR="00703CA8">
        <w:t xml:space="preserve">costs of </w:t>
      </w:r>
      <w:r w:rsidR="00F964F5">
        <w:t>various contracted</w:t>
      </w:r>
      <w:r w:rsidR="00703CA8">
        <w:t xml:space="preserve"> research activities</w:t>
      </w:r>
      <w:r w:rsidRPr="00246876">
        <w:t>. Research and development expense</w:t>
      </w:r>
      <w:r w:rsidR="004218DC">
        <w:t>s</w:t>
      </w:r>
      <w:r w:rsidRPr="00246876">
        <w:t xml:space="preserve"> for the three-month and six-month periods of 202</w:t>
      </w:r>
      <w:r w:rsidR="00F81759">
        <w:t>4</w:t>
      </w:r>
      <w:r w:rsidRPr="00246876">
        <w:t xml:space="preserve"> </w:t>
      </w:r>
      <w:proofErr w:type="gramStart"/>
      <w:r w:rsidRPr="00246876">
        <w:t>include</w:t>
      </w:r>
      <w:r w:rsidR="00C744F8">
        <w:t>s</w:t>
      </w:r>
      <w:proofErr w:type="gramEnd"/>
      <w:r w:rsidRPr="00246876">
        <w:t xml:space="preserve"> stock-based compensation expense of $</w:t>
      </w:r>
      <w:r w:rsidR="00477F76">
        <w:t>51,170</w:t>
      </w:r>
      <w:r w:rsidRPr="00246876">
        <w:t xml:space="preserve"> and $</w:t>
      </w:r>
      <w:r w:rsidR="00477F76">
        <w:t>104,269</w:t>
      </w:r>
      <w:r w:rsidRPr="00246876">
        <w:t>, respectively; as compared to $</w:t>
      </w:r>
      <w:r w:rsidR="00F81759">
        <w:t>76,770</w:t>
      </w:r>
      <w:r w:rsidRPr="00246876">
        <w:t xml:space="preserve"> and $</w:t>
      </w:r>
      <w:r w:rsidR="00F81759">
        <w:t>154,643</w:t>
      </w:r>
      <w:r w:rsidRPr="00246876">
        <w:t>, respectively, for the comparable 202</w:t>
      </w:r>
      <w:r w:rsidR="00F81759">
        <w:t>3</w:t>
      </w:r>
      <w:r w:rsidRPr="00246876">
        <w:t xml:space="preserve"> periods. </w:t>
      </w:r>
    </w:p>
    <w:p w14:paraId="433017B8" w14:textId="77777777" w:rsidR="00246876" w:rsidRDefault="00246876" w:rsidP="00177E79"/>
    <w:p w14:paraId="13F00CA6" w14:textId="7D1EF249" w:rsidR="00177E79" w:rsidRPr="0009354D" w:rsidRDefault="00177E79" w:rsidP="00177E79">
      <w:pPr>
        <w:rPr>
          <w:i/>
          <w:iCs/>
        </w:rPr>
      </w:pPr>
      <w:r w:rsidRPr="0009354D">
        <w:rPr>
          <w:i/>
          <w:iCs/>
        </w:rPr>
        <w:t>General and Administrative Expenses</w:t>
      </w:r>
    </w:p>
    <w:p w14:paraId="3FD4DAC0" w14:textId="77777777" w:rsidR="00177E79" w:rsidRDefault="00177E79" w:rsidP="00177E79">
      <w:pPr>
        <w:rPr>
          <w:i/>
          <w:iCs/>
        </w:rPr>
      </w:pPr>
    </w:p>
    <w:p w14:paraId="2C991279" w14:textId="1A5F29E0" w:rsidR="00246876" w:rsidRDefault="00246876" w:rsidP="00246876">
      <w:bookmarkStart w:id="29" w:name="_Hlk108707578"/>
      <w:r w:rsidRPr="0009354D">
        <w:t>For the three-month and six-month periods ending June 30, 202</w:t>
      </w:r>
      <w:bookmarkEnd w:id="29"/>
      <w:r w:rsidR="00F81759">
        <w:t>4</w:t>
      </w:r>
      <w:r w:rsidRPr="0009354D">
        <w:t xml:space="preserve">, general and administrative expenses </w:t>
      </w:r>
      <w:r w:rsidR="00F81759">
        <w:t>decreased</w:t>
      </w:r>
      <w:r w:rsidRPr="0009354D">
        <w:t xml:space="preserve"> by $</w:t>
      </w:r>
      <w:r w:rsidR="00F81759">
        <w:t>373,063</w:t>
      </w:r>
      <w:r w:rsidRPr="0009354D">
        <w:t xml:space="preserve"> (</w:t>
      </w:r>
      <w:r w:rsidR="00F81759">
        <w:t>25.6</w:t>
      </w:r>
      <w:r w:rsidRPr="0009354D">
        <w:t>%) and $</w:t>
      </w:r>
      <w:r w:rsidR="00F81759">
        <w:t>367,135</w:t>
      </w:r>
      <w:r w:rsidRPr="0009354D">
        <w:t xml:space="preserve"> (</w:t>
      </w:r>
      <w:r w:rsidR="00F81759">
        <w:t>12.6</w:t>
      </w:r>
      <w:r w:rsidRPr="0009354D">
        <w:t>%), respectively</w:t>
      </w:r>
      <w:r>
        <w:t>, versus the comparable 202</w:t>
      </w:r>
      <w:r w:rsidR="00F81759">
        <w:t>3</w:t>
      </w:r>
      <w:r>
        <w:t xml:space="preserve"> periods.</w:t>
      </w:r>
      <w:r w:rsidRPr="0009354D">
        <w:t xml:space="preserve"> </w:t>
      </w:r>
      <w:r>
        <w:t xml:space="preserve">The overall </w:t>
      </w:r>
      <w:r w:rsidR="009A733D">
        <w:t>decrease</w:t>
      </w:r>
      <w:r>
        <w:t xml:space="preserve"> during the 202</w:t>
      </w:r>
      <w:r w:rsidR="00F81759">
        <w:t>4</w:t>
      </w:r>
      <w:r>
        <w:t xml:space="preserve"> </w:t>
      </w:r>
      <w:proofErr w:type="gramStart"/>
      <w:r>
        <w:t>periods</w:t>
      </w:r>
      <w:proofErr w:type="gramEnd"/>
      <w:r>
        <w:t xml:space="preserve"> relates primarily to</w:t>
      </w:r>
      <w:r w:rsidR="009A733D">
        <w:t xml:space="preserve"> lower stock-based compensation expense,</w:t>
      </w:r>
      <w:r>
        <w:t xml:space="preserve"> consulting costs, </w:t>
      </w:r>
      <w:r w:rsidR="009A733D">
        <w:t xml:space="preserve">legal and </w:t>
      </w:r>
      <w:r>
        <w:t>patent costs</w:t>
      </w:r>
      <w:r w:rsidR="009A733D">
        <w:t xml:space="preserve"> and travel costs. </w:t>
      </w:r>
      <w:r w:rsidRPr="0009354D">
        <w:t>General and administrative expense</w:t>
      </w:r>
      <w:r w:rsidR="004218DC">
        <w:t>s</w:t>
      </w:r>
      <w:r w:rsidRPr="0009354D">
        <w:t xml:space="preserve"> for the three-month and six-month periods of 202</w:t>
      </w:r>
      <w:r w:rsidR="00F81759">
        <w:t>4</w:t>
      </w:r>
      <w:r w:rsidRPr="0009354D">
        <w:t xml:space="preserve"> include</w:t>
      </w:r>
      <w:r w:rsidR="00C744F8">
        <w:t>s</w:t>
      </w:r>
      <w:r w:rsidRPr="0009354D">
        <w:t xml:space="preserve"> stock-based compensation expense of $</w:t>
      </w:r>
      <w:r w:rsidR="00477F76">
        <w:t>50,471</w:t>
      </w:r>
      <w:r w:rsidRPr="0009354D">
        <w:t xml:space="preserve"> and $</w:t>
      </w:r>
      <w:r w:rsidR="00477F76">
        <w:t>155,107</w:t>
      </w:r>
      <w:r w:rsidRPr="0009354D">
        <w:t>, respectively; as compared to $</w:t>
      </w:r>
      <w:r w:rsidR="00F81759">
        <w:t>192,743</w:t>
      </w:r>
      <w:r w:rsidRPr="0009354D">
        <w:t xml:space="preserve"> and $</w:t>
      </w:r>
      <w:r w:rsidR="00F81759">
        <w:t>360,909</w:t>
      </w:r>
      <w:r w:rsidRPr="0009354D">
        <w:t>, respectively, for the comparable periods of 202</w:t>
      </w:r>
      <w:r w:rsidR="00F81759">
        <w:t>3</w:t>
      </w:r>
      <w:r w:rsidRPr="0009354D">
        <w:t>.</w:t>
      </w:r>
    </w:p>
    <w:p w14:paraId="651228BA" w14:textId="77777777" w:rsidR="00945DB9" w:rsidRPr="0009354D" w:rsidRDefault="00945DB9" w:rsidP="00177E79">
      <w:pPr>
        <w:rPr>
          <w:color w:val="000000"/>
        </w:rPr>
      </w:pPr>
    </w:p>
    <w:p w14:paraId="00E3DE76" w14:textId="2B35FF59" w:rsidR="00177E79" w:rsidRPr="0009354D" w:rsidRDefault="00177E79" w:rsidP="00177E79">
      <w:pPr>
        <w:rPr>
          <w:i/>
          <w:iCs/>
        </w:rPr>
      </w:pPr>
      <w:r w:rsidRPr="0009354D">
        <w:rPr>
          <w:i/>
          <w:iCs/>
        </w:rPr>
        <w:t>Other Income</w:t>
      </w:r>
    </w:p>
    <w:p w14:paraId="40DA0665" w14:textId="04ED979B" w:rsidR="00177E79" w:rsidRDefault="00177E79" w:rsidP="00177E79"/>
    <w:p w14:paraId="12E55A47" w14:textId="7FCBB45B" w:rsidR="00177E79" w:rsidRDefault="00246876" w:rsidP="00246876">
      <w:pPr>
        <w:pStyle w:val="BodyText"/>
        <w:spacing w:after="0"/>
      </w:pPr>
      <w:r w:rsidRPr="00246876">
        <w:t xml:space="preserve">Interest income for the three-month and six-month periods ended June 30, </w:t>
      </w:r>
      <w:proofErr w:type="gramStart"/>
      <w:r w:rsidRPr="00246876">
        <w:t>202</w:t>
      </w:r>
      <w:r w:rsidR="00BB225F">
        <w:t>4</w:t>
      </w:r>
      <w:proofErr w:type="gramEnd"/>
      <w:r w:rsidRPr="00246876">
        <w:t xml:space="preserve"> was $</w:t>
      </w:r>
      <w:r w:rsidR="00BB225F">
        <w:t>5,471</w:t>
      </w:r>
      <w:r w:rsidRPr="00246876">
        <w:t xml:space="preserve"> and $</w:t>
      </w:r>
      <w:r w:rsidR="00BB225F">
        <w:t>38,420</w:t>
      </w:r>
      <w:r w:rsidRPr="00246876">
        <w:t>, respectively, as compared to $</w:t>
      </w:r>
      <w:r w:rsidR="00BB225F">
        <w:t>251,201</w:t>
      </w:r>
      <w:r w:rsidRPr="00246876">
        <w:t xml:space="preserve"> and $</w:t>
      </w:r>
      <w:r w:rsidR="00BB225F">
        <w:t>483,899</w:t>
      </w:r>
      <w:r w:rsidRPr="00246876">
        <w:t>, respectively, for comparable periods of 202</w:t>
      </w:r>
      <w:r w:rsidR="00BB225F">
        <w:t>3</w:t>
      </w:r>
      <w:r w:rsidRPr="00246876">
        <w:t xml:space="preserve">. The </w:t>
      </w:r>
      <w:r w:rsidR="003C6624">
        <w:t>overall decrease during the 2024</w:t>
      </w:r>
      <w:r w:rsidRPr="00246876">
        <w:t xml:space="preserve"> </w:t>
      </w:r>
      <w:proofErr w:type="gramStart"/>
      <w:r w:rsidRPr="00246876">
        <w:t>periods</w:t>
      </w:r>
      <w:proofErr w:type="gramEnd"/>
      <w:r w:rsidRPr="00246876">
        <w:t xml:space="preserve"> </w:t>
      </w:r>
      <w:r w:rsidR="003C6624">
        <w:t>is</w:t>
      </w:r>
      <w:r w:rsidR="003C6624" w:rsidRPr="00246876">
        <w:t xml:space="preserve"> </w:t>
      </w:r>
      <w:r w:rsidRPr="00246876">
        <w:t xml:space="preserve">primarily attributable to cash available for investment. </w:t>
      </w:r>
      <w:r w:rsidR="00BB225F">
        <w:t xml:space="preserve">Interest expense for the </w:t>
      </w:r>
      <w:r w:rsidR="00BB225F" w:rsidRPr="00246876">
        <w:t xml:space="preserve">three-month and six-month periods ended June 30, </w:t>
      </w:r>
      <w:proofErr w:type="gramStart"/>
      <w:r w:rsidR="00BB225F" w:rsidRPr="00246876">
        <w:t>202</w:t>
      </w:r>
      <w:r w:rsidR="00BB225F">
        <w:t>4</w:t>
      </w:r>
      <w:proofErr w:type="gramEnd"/>
      <w:r w:rsidR="00BB225F">
        <w:t xml:space="preserve"> was $7,292, associated with</w:t>
      </w:r>
      <w:r w:rsidR="00F964F5">
        <w:t xml:space="preserve"> certain notes payable issued during May 2024</w:t>
      </w:r>
      <w:r w:rsidR="00BB225F">
        <w:t>. There was no interest expense during the comparable periods of 2023.</w:t>
      </w:r>
    </w:p>
    <w:p w14:paraId="692D7E66" w14:textId="77777777" w:rsidR="00246876" w:rsidRPr="0009354D" w:rsidRDefault="00246876" w:rsidP="00246876">
      <w:pPr>
        <w:pStyle w:val="BodyText"/>
        <w:spacing w:after="0"/>
      </w:pPr>
    </w:p>
    <w:p w14:paraId="03C5151D" w14:textId="77777777" w:rsidR="00177E79" w:rsidRPr="0009354D" w:rsidRDefault="00177E79" w:rsidP="00177E79">
      <w:pPr>
        <w:rPr>
          <w:rFonts w:eastAsia="????"/>
          <w:b/>
        </w:rPr>
      </w:pPr>
      <w:r w:rsidRPr="00F442E3">
        <w:rPr>
          <w:rFonts w:eastAsia="????"/>
          <w:b/>
        </w:rPr>
        <w:t>Liquidity and Capital Resources</w:t>
      </w:r>
    </w:p>
    <w:p w14:paraId="413CD1FC" w14:textId="77777777" w:rsidR="00177E79" w:rsidRPr="0009354D" w:rsidRDefault="00177E79" w:rsidP="00177E79"/>
    <w:p w14:paraId="7CAEEC2F" w14:textId="68A177E2" w:rsidR="00BB225F" w:rsidRDefault="00BB225F" w:rsidP="00BB225F">
      <w:r>
        <w:t xml:space="preserve">The following tables summarize our liquidity and capital resources as of June 30, </w:t>
      </w:r>
      <w:proofErr w:type="gramStart"/>
      <w:r>
        <w:t>2024</w:t>
      </w:r>
      <w:proofErr w:type="gramEnd"/>
      <w:r>
        <w:t xml:space="preserve"> and December 31, 2023, and our cash flows for the six-month periods ended June 30, 2024 and 2023:</w:t>
      </w:r>
    </w:p>
    <w:p w14:paraId="5DA7C09B"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2300E1AC" w14:textId="77777777" w:rsidTr="00BB225F">
        <w:tc>
          <w:tcPr>
            <w:tcW w:w="3870" w:type="dxa"/>
            <w:tcBorders>
              <w:top w:val="nil"/>
              <w:left w:val="nil"/>
              <w:bottom w:val="single" w:sz="4" w:space="0" w:color="auto"/>
              <w:right w:val="nil"/>
            </w:tcBorders>
            <w:hideMark/>
          </w:tcPr>
          <w:p w14:paraId="0794EC21" w14:textId="77777777" w:rsidR="00BB225F" w:rsidRDefault="00BB225F">
            <w:pPr>
              <w:tabs>
                <w:tab w:val="right" w:pos="9180"/>
              </w:tabs>
              <w:ind w:right="-360"/>
            </w:pPr>
            <w:r>
              <w:t>Liquidity and Capital Resources</w:t>
            </w:r>
          </w:p>
        </w:tc>
        <w:tc>
          <w:tcPr>
            <w:tcW w:w="1008" w:type="dxa"/>
            <w:tcBorders>
              <w:top w:val="nil"/>
              <w:left w:val="nil"/>
              <w:bottom w:val="single" w:sz="4" w:space="0" w:color="auto"/>
              <w:right w:val="nil"/>
            </w:tcBorders>
          </w:tcPr>
          <w:p w14:paraId="77335E17"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08AD89BA" w14:textId="2247E741" w:rsidR="00BB225F" w:rsidRDefault="00BB225F">
            <w:pPr>
              <w:tabs>
                <w:tab w:val="right" w:pos="9180"/>
              </w:tabs>
              <w:ind w:right="-18"/>
              <w:jc w:val="center"/>
            </w:pPr>
            <w:r>
              <w:t>June 30, 2024</w:t>
            </w:r>
          </w:p>
        </w:tc>
        <w:tc>
          <w:tcPr>
            <w:tcW w:w="1836" w:type="dxa"/>
            <w:tcBorders>
              <w:top w:val="nil"/>
              <w:left w:val="nil"/>
              <w:bottom w:val="single" w:sz="4" w:space="0" w:color="auto"/>
              <w:right w:val="nil"/>
            </w:tcBorders>
            <w:hideMark/>
          </w:tcPr>
          <w:p w14:paraId="0489514E" w14:textId="77777777" w:rsidR="00BB225F" w:rsidRDefault="00BB225F">
            <w:pPr>
              <w:tabs>
                <w:tab w:val="right" w:pos="9180"/>
              </w:tabs>
              <w:ind w:right="-18"/>
              <w:jc w:val="center"/>
            </w:pPr>
            <w:r>
              <w:t>December 31, 2023</w:t>
            </w:r>
          </w:p>
        </w:tc>
      </w:tr>
      <w:tr w:rsidR="00BB225F" w14:paraId="1A43A74D" w14:textId="77777777" w:rsidTr="00BB225F">
        <w:tc>
          <w:tcPr>
            <w:tcW w:w="3870" w:type="dxa"/>
            <w:tcBorders>
              <w:top w:val="single" w:sz="4" w:space="0" w:color="auto"/>
              <w:left w:val="nil"/>
              <w:bottom w:val="nil"/>
              <w:right w:val="nil"/>
            </w:tcBorders>
            <w:hideMark/>
          </w:tcPr>
          <w:p w14:paraId="73DE5022" w14:textId="77777777" w:rsidR="00BB225F" w:rsidRDefault="00BB225F">
            <w:pPr>
              <w:tabs>
                <w:tab w:val="right" w:pos="9180"/>
              </w:tabs>
              <w:ind w:right="-360"/>
            </w:pPr>
            <w:r>
              <w:t>Cash and cash equivalents</w:t>
            </w:r>
          </w:p>
        </w:tc>
        <w:tc>
          <w:tcPr>
            <w:tcW w:w="1008" w:type="dxa"/>
            <w:tcBorders>
              <w:top w:val="single" w:sz="4" w:space="0" w:color="auto"/>
              <w:left w:val="nil"/>
              <w:bottom w:val="nil"/>
              <w:right w:val="nil"/>
            </w:tcBorders>
          </w:tcPr>
          <w:p w14:paraId="32B52196" w14:textId="77777777" w:rsidR="00BB225F" w:rsidRDefault="00BB225F">
            <w:pPr>
              <w:tabs>
                <w:tab w:val="decimal" w:pos="1062"/>
                <w:tab w:val="right" w:pos="9180"/>
              </w:tabs>
              <w:ind w:right="-18"/>
            </w:pPr>
          </w:p>
        </w:tc>
        <w:tc>
          <w:tcPr>
            <w:tcW w:w="1836" w:type="dxa"/>
            <w:tcBorders>
              <w:top w:val="single" w:sz="4" w:space="0" w:color="auto"/>
              <w:left w:val="nil"/>
              <w:bottom w:val="nil"/>
              <w:right w:val="nil"/>
            </w:tcBorders>
            <w:hideMark/>
          </w:tcPr>
          <w:p w14:paraId="69D64D6F" w14:textId="4C63D060" w:rsidR="00BB225F" w:rsidRDefault="00BB225F">
            <w:pPr>
              <w:tabs>
                <w:tab w:val="decimal" w:pos="1317"/>
                <w:tab w:val="right" w:pos="9180"/>
              </w:tabs>
              <w:ind w:right="-18"/>
            </w:pPr>
            <w:r>
              <w:t>$</w:t>
            </w:r>
            <w:r>
              <w:tab/>
              <w:t>1,561,712</w:t>
            </w:r>
          </w:p>
        </w:tc>
        <w:tc>
          <w:tcPr>
            <w:tcW w:w="1836" w:type="dxa"/>
            <w:tcBorders>
              <w:top w:val="single" w:sz="4" w:space="0" w:color="auto"/>
              <w:left w:val="nil"/>
              <w:bottom w:val="nil"/>
              <w:right w:val="nil"/>
            </w:tcBorders>
            <w:hideMark/>
          </w:tcPr>
          <w:p w14:paraId="5D658246" w14:textId="77777777" w:rsidR="00BB225F" w:rsidRDefault="00BB225F">
            <w:pPr>
              <w:tabs>
                <w:tab w:val="decimal" w:pos="1545"/>
                <w:tab w:val="right" w:pos="9180"/>
              </w:tabs>
              <w:ind w:right="-18"/>
            </w:pPr>
            <w:r>
              <w:t>$</w:t>
            </w:r>
            <w:r>
              <w:tab/>
              <w:t>6,452,589</w:t>
            </w:r>
          </w:p>
        </w:tc>
      </w:tr>
      <w:tr w:rsidR="00BB225F" w14:paraId="33EEF461" w14:textId="77777777" w:rsidTr="00BB225F">
        <w:tc>
          <w:tcPr>
            <w:tcW w:w="3870" w:type="dxa"/>
            <w:hideMark/>
          </w:tcPr>
          <w:p w14:paraId="3075EFB8" w14:textId="77777777" w:rsidR="00BB225F" w:rsidRDefault="00BB225F">
            <w:pPr>
              <w:tabs>
                <w:tab w:val="right" w:pos="9180"/>
              </w:tabs>
              <w:ind w:right="-360"/>
            </w:pPr>
            <w:r>
              <w:t>Working capital (deficit)</w:t>
            </w:r>
          </w:p>
        </w:tc>
        <w:tc>
          <w:tcPr>
            <w:tcW w:w="1008" w:type="dxa"/>
          </w:tcPr>
          <w:p w14:paraId="377A28E8" w14:textId="77777777" w:rsidR="00BB225F" w:rsidRDefault="00BB225F">
            <w:pPr>
              <w:tabs>
                <w:tab w:val="decimal" w:pos="1062"/>
                <w:tab w:val="right" w:pos="9180"/>
              </w:tabs>
              <w:ind w:right="-18"/>
            </w:pPr>
          </w:p>
        </w:tc>
        <w:tc>
          <w:tcPr>
            <w:tcW w:w="1836" w:type="dxa"/>
            <w:hideMark/>
          </w:tcPr>
          <w:p w14:paraId="6480158F" w14:textId="75AB8FCE" w:rsidR="00BB225F" w:rsidRDefault="00BB225F">
            <w:pPr>
              <w:tabs>
                <w:tab w:val="decimal" w:pos="1317"/>
                <w:tab w:val="right" w:pos="9180"/>
              </w:tabs>
              <w:ind w:right="-18"/>
            </w:pPr>
            <w:r>
              <w:tab/>
              <w:t>(2,560,773)</w:t>
            </w:r>
          </w:p>
        </w:tc>
        <w:tc>
          <w:tcPr>
            <w:tcW w:w="1836" w:type="dxa"/>
            <w:hideMark/>
          </w:tcPr>
          <w:p w14:paraId="20C80184" w14:textId="77777777" w:rsidR="00BB225F" w:rsidRDefault="00BB225F">
            <w:pPr>
              <w:tabs>
                <w:tab w:val="decimal" w:pos="1545"/>
                <w:tab w:val="right" w:pos="9180"/>
              </w:tabs>
              <w:ind w:right="-18"/>
            </w:pPr>
            <w:r>
              <w:tab/>
              <w:t>4,365,861</w:t>
            </w:r>
          </w:p>
        </w:tc>
      </w:tr>
    </w:tbl>
    <w:p w14:paraId="7121F564"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3ABB6ABA" w14:textId="77777777" w:rsidTr="00BB225F">
        <w:tc>
          <w:tcPr>
            <w:tcW w:w="3870" w:type="dxa"/>
          </w:tcPr>
          <w:p w14:paraId="3ECFFA75" w14:textId="77777777" w:rsidR="00BB225F" w:rsidRDefault="00BB225F">
            <w:pPr>
              <w:tabs>
                <w:tab w:val="right" w:pos="9180"/>
              </w:tabs>
              <w:ind w:right="-360"/>
            </w:pPr>
          </w:p>
        </w:tc>
        <w:tc>
          <w:tcPr>
            <w:tcW w:w="1008" w:type="dxa"/>
          </w:tcPr>
          <w:p w14:paraId="4BC84188" w14:textId="77777777" w:rsidR="00BB225F" w:rsidRDefault="00BB225F">
            <w:pPr>
              <w:tabs>
                <w:tab w:val="right" w:pos="9180"/>
              </w:tabs>
              <w:ind w:right="-18"/>
              <w:jc w:val="center"/>
            </w:pPr>
          </w:p>
        </w:tc>
        <w:tc>
          <w:tcPr>
            <w:tcW w:w="3672" w:type="dxa"/>
            <w:gridSpan w:val="2"/>
            <w:tcBorders>
              <w:top w:val="nil"/>
              <w:left w:val="nil"/>
              <w:bottom w:val="single" w:sz="4" w:space="0" w:color="auto"/>
              <w:right w:val="nil"/>
            </w:tcBorders>
            <w:hideMark/>
          </w:tcPr>
          <w:p w14:paraId="5C86CEE1" w14:textId="03A772B7" w:rsidR="00BB225F" w:rsidRDefault="00BB225F">
            <w:pPr>
              <w:tabs>
                <w:tab w:val="right" w:pos="9180"/>
              </w:tabs>
              <w:ind w:right="-18"/>
              <w:jc w:val="center"/>
            </w:pPr>
            <w:r>
              <w:t>Six Months Ended June 30,</w:t>
            </w:r>
          </w:p>
        </w:tc>
      </w:tr>
      <w:tr w:rsidR="00BB225F" w14:paraId="384A8317" w14:textId="77777777" w:rsidTr="00BB225F">
        <w:tc>
          <w:tcPr>
            <w:tcW w:w="3870" w:type="dxa"/>
            <w:tcBorders>
              <w:top w:val="nil"/>
              <w:left w:val="nil"/>
              <w:bottom w:val="single" w:sz="4" w:space="0" w:color="auto"/>
              <w:right w:val="nil"/>
            </w:tcBorders>
            <w:hideMark/>
          </w:tcPr>
          <w:p w14:paraId="42FA2502" w14:textId="77777777" w:rsidR="00BB225F" w:rsidRDefault="00BB225F">
            <w:pPr>
              <w:tabs>
                <w:tab w:val="right" w:pos="9180"/>
              </w:tabs>
              <w:ind w:right="-360"/>
            </w:pPr>
            <w:r>
              <w:t>Cash Flow Data</w:t>
            </w:r>
          </w:p>
        </w:tc>
        <w:tc>
          <w:tcPr>
            <w:tcW w:w="1008" w:type="dxa"/>
            <w:tcBorders>
              <w:top w:val="nil"/>
              <w:left w:val="nil"/>
              <w:bottom w:val="single" w:sz="4" w:space="0" w:color="auto"/>
              <w:right w:val="nil"/>
            </w:tcBorders>
          </w:tcPr>
          <w:p w14:paraId="116A837D"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3E430A02" w14:textId="77777777" w:rsidR="00BB225F" w:rsidRDefault="00BB225F">
            <w:pPr>
              <w:tabs>
                <w:tab w:val="right" w:pos="9180"/>
              </w:tabs>
              <w:ind w:right="-18"/>
              <w:jc w:val="center"/>
            </w:pPr>
            <w:r>
              <w:t>2024</w:t>
            </w:r>
          </w:p>
        </w:tc>
        <w:tc>
          <w:tcPr>
            <w:tcW w:w="1836" w:type="dxa"/>
            <w:tcBorders>
              <w:top w:val="nil"/>
              <w:left w:val="nil"/>
              <w:bottom w:val="single" w:sz="4" w:space="0" w:color="auto"/>
              <w:right w:val="nil"/>
            </w:tcBorders>
            <w:hideMark/>
          </w:tcPr>
          <w:p w14:paraId="2CE3C006" w14:textId="77777777" w:rsidR="00BB225F" w:rsidRDefault="00BB225F">
            <w:pPr>
              <w:tabs>
                <w:tab w:val="right" w:pos="9180"/>
              </w:tabs>
              <w:ind w:right="-18"/>
              <w:jc w:val="center"/>
            </w:pPr>
            <w:r>
              <w:t>2023</w:t>
            </w:r>
          </w:p>
        </w:tc>
      </w:tr>
      <w:tr w:rsidR="00BB225F" w14:paraId="111EDCCD" w14:textId="77777777" w:rsidTr="00BB225F">
        <w:tc>
          <w:tcPr>
            <w:tcW w:w="3870" w:type="dxa"/>
            <w:hideMark/>
          </w:tcPr>
          <w:p w14:paraId="1D93EC30" w14:textId="77777777" w:rsidR="00BB225F" w:rsidRDefault="00BB225F">
            <w:pPr>
              <w:tabs>
                <w:tab w:val="right" w:pos="9180"/>
              </w:tabs>
              <w:ind w:right="-360"/>
            </w:pPr>
            <w:r>
              <w:t>Net cash provided by (used in):</w:t>
            </w:r>
          </w:p>
        </w:tc>
        <w:tc>
          <w:tcPr>
            <w:tcW w:w="1008" w:type="dxa"/>
          </w:tcPr>
          <w:p w14:paraId="4ED8B751" w14:textId="77777777" w:rsidR="00BB225F" w:rsidRDefault="00BB225F">
            <w:pPr>
              <w:tabs>
                <w:tab w:val="right" w:pos="9180"/>
              </w:tabs>
              <w:ind w:right="-18"/>
              <w:jc w:val="center"/>
            </w:pPr>
          </w:p>
        </w:tc>
        <w:tc>
          <w:tcPr>
            <w:tcW w:w="1836" w:type="dxa"/>
          </w:tcPr>
          <w:p w14:paraId="6AFD7C02" w14:textId="77777777" w:rsidR="00BB225F" w:rsidRDefault="00BB225F">
            <w:pPr>
              <w:tabs>
                <w:tab w:val="right" w:pos="9180"/>
              </w:tabs>
              <w:ind w:right="-18"/>
              <w:jc w:val="center"/>
            </w:pPr>
          </w:p>
        </w:tc>
        <w:tc>
          <w:tcPr>
            <w:tcW w:w="1836" w:type="dxa"/>
          </w:tcPr>
          <w:p w14:paraId="198B53E9" w14:textId="77777777" w:rsidR="00BB225F" w:rsidRDefault="00BB225F">
            <w:pPr>
              <w:tabs>
                <w:tab w:val="right" w:pos="9180"/>
              </w:tabs>
              <w:ind w:right="-18"/>
              <w:jc w:val="center"/>
            </w:pPr>
          </w:p>
        </w:tc>
      </w:tr>
      <w:tr w:rsidR="00BB225F" w14:paraId="07E7CD25" w14:textId="77777777" w:rsidTr="00BB225F">
        <w:tc>
          <w:tcPr>
            <w:tcW w:w="3870" w:type="dxa"/>
            <w:hideMark/>
          </w:tcPr>
          <w:p w14:paraId="68095F11" w14:textId="77777777" w:rsidR="00BB225F" w:rsidRDefault="00BB225F">
            <w:pPr>
              <w:tabs>
                <w:tab w:val="right" w:pos="9180"/>
              </w:tabs>
              <w:ind w:right="-360"/>
            </w:pPr>
            <w:r>
              <w:t xml:space="preserve">     Operating activities</w:t>
            </w:r>
          </w:p>
        </w:tc>
        <w:tc>
          <w:tcPr>
            <w:tcW w:w="1008" w:type="dxa"/>
          </w:tcPr>
          <w:p w14:paraId="4A90EAAA" w14:textId="77777777" w:rsidR="00BB225F" w:rsidRDefault="00BB225F">
            <w:pPr>
              <w:tabs>
                <w:tab w:val="decimal" w:pos="1062"/>
                <w:tab w:val="right" w:pos="9180"/>
              </w:tabs>
              <w:ind w:right="-18"/>
            </w:pPr>
          </w:p>
        </w:tc>
        <w:tc>
          <w:tcPr>
            <w:tcW w:w="1836" w:type="dxa"/>
            <w:hideMark/>
          </w:tcPr>
          <w:p w14:paraId="34874D48" w14:textId="349F71C4" w:rsidR="00BB225F" w:rsidRDefault="00BB225F">
            <w:pPr>
              <w:tabs>
                <w:tab w:val="decimal" w:pos="1317"/>
                <w:tab w:val="right" w:pos="9180"/>
              </w:tabs>
              <w:ind w:right="-18"/>
            </w:pPr>
            <w:r>
              <w:t>$</w:t>
            </w:r>
            <w:r>
              <w:tab/>
              <w:t>(7,624,778)</w:t>
            </w:r>
          </w:p>
        </w:tc>
        <w:tc>
          <w:tcPr>
            <w:tcW w:w="1836" w:type="dxa"/>
            <w:hideMark/>
          </w:tcPr>
          <w:p w14:paraId="45AC8E9C" w14:textId="4A35FE5F" w:rsidR="00BB225F" w:rsidRDefault="00BB225F">
            <w:pPr>
              <w:tabs>
                <w:tab w:val="decimal" w:pos="1545"/>
                <w:tab w:val="right" w:pos="9180"/>
              </w:tabs>
              <w:ind w:right="-18"/>
            </w:pPr>
            <w:r>
              <w:t>$</w:t>
            </w:r>
            <w:r>
              <w:tab/>
              <w:t>(9,800,016)</w:t>
            </w:r>
          </w:p>
        </w:tc>
      </w:tr>
      <w:tr w:rsidR="00BB225F" w14:paraId="2E2B4F5D" w14:textId="77777777" w:rsidTr="00BB225F">
        <w:tc>
          <w:tcPr>
            <w:tcW w:w="3870" w:type="dxa"/>
            <w:hideMark/>
          </w:tcPr>
          <w:p w14:paraId="62B5A914" w14:textId="77777777" w:rsidR="00BB225F" w:rsidRDefault="00BB225F">
            <w:pPr>
              <w:tabs>
                <w:tab w:val="right" w:pos="9180"/>
              </w:tabs>
              <w:ind w:right="-360"/>
            </w:pPr>
            <w:r>
              <w:t xml:space="preserve">     Investing activities</w:t>
            </w:r>
          </w:p>
        </w:tc>
        <w:tc>
          <w:tcPr>
            <w:tcW w:w="1008" w:type="dxa"/>
          </w:tcPr>
          <w:p w14:paraId="6E245DA6" w14:textId="77777777" w:rsidR="00BB225F" w:rsidRDefault="00BB225F">
            <w:pPr>
              <w:tabs>
                <w:tab w:val="decimal" w:pos="1062"/>
                <w:tab w:val="right" w:pos="9180"/>
              </w:tabs>
              <w:ind w:right="-18"/>
            </w:pPr>
          </w:p>
        </w:tc>
        <w:tc>
          <w:tcPr>
            <w:tcW w:w="1836" w:type="dxa"/>
            <w:hideMark/>
          </w:tcPr>
          <w:p w14:paraId="04298D0A" w14:textId="77777777" w:rsidR="00BB225F" w:rsidRDefault="00BB225F">
            <w:pPr>
              <w:tabs>
                <w:tab w:val="decimal" w:pos="1317"/>
                <w:tab w:val="right" w:pos="9180"/>
              </w:tabs>
              <w:ind w:right="-18"/>
            </w:pPr>
            <w:r>
              <w:tab/>
              <w:t>-</w:t>
            </w:r>
          </w:p>
        </w:tc>
        <w:tc>
          <w:tcPr>
            <w:tcW w:w="1836" w:type="dxa"/>
            <w:hideMark/>
          </w:tcPr>
          <w:p w14:paraId="4914631E" w14:textId="1415356B" w:rsidR="00BB225F" w:rsidRDefault="00BB225F">
            <w:pPr>
              <w:tabs>
                <w:tab w:val="decimal" w:pos="1545"/>
                <w:tab w:val="right" w:pos="9180"/>
              </w:tabs>
              <w:ind w:right="-18"/>
            </w:pPr>
            <w:r>
              <w:tab/>
              <w:t>(23,805)</w:t>
            </w:r>
          </w:p>
        </w:tc>
      </w:tr>
      <w:tr w:rsidR="00BB225F" w14:paraId="2F7A4472" w14:textId="77777777" w:rsidTr="00BB225F">
        <w:tc>
          <w:tcPr>
            <w:tcW w:w="3870" w:type="dxa"/>
            <w:hideMark/>
          </w:tcPr>
          <w:p w14:paraId="4E9077FA" w14:textId="77777777" w:rsidR="00BB225F" w:rsidRDefault="00BB225F">
            <w:pPr>
              <w:tabs>
                <w:tab w:val="right" w:pos="9180"/>
              </w:tabs>
              <w:ind w:right="-360"/>
            </w:pPr>
            <w:r>
              <w:t xml:space="preserve">     Financing activities</w:t>
            </w:r>
          </w:p>
        </w:tc>
        <w:tc>
          <w:tcPr>
            <w:tcW w:w="1008" w:type="dxa"/>
          </w:tcPr>
          <w:p w14:paraId="17579FD1" w14:textId="77777777" w:rsidR="00BB225F" w:rsidRDefault="00BB225F">
            <w:pPr>
              <w:tabs>
                <w:tab w:val="decimal" w:pos="1044"/>
                <w:tab w:val="right" w:pos="9180"/>
              </w:tabs>
              <w:ind w:right="-18"/>
            </w:pPr>
          </w:p>
        </w:tc>
        <w:tc>
          <w:tcPr>
            <w:tcW w:w="1836" w:type="dxa"/>
            <w:tcBorders>
              <w:top w:val="nil"/>
              <w:left w:val="nil"/>
              <w:bottom w:val="single" w:sz="4" w:space="0" w:color="auto"/>
              <w:right w:val="nil"/>
            </w:tcBorders>
            <w:hideMark/>
          </w:tcPr>
          <w:p w14:paraId="179AE148" w14:textId="5410A48A" w:rsidR="00BB225F" w:rsidRDefault="00BB225F">
            <w:pPr>
              <w:tabs>
                <w:tab w:val="decimal" w:pos="1317"/>
                <w:tab w:val="right" w:pos="9180"/>
              </w:tabs>
              <w:ind w:right="-18"/>
            </w:pPr>
            <w:r>
              <w:tab/>
              <w:t>2,733,901</w:t>
            </w:r>
          </w:p>
        </w:tc>
        <w:tc>
          <w:tcPr>
            <w:tcW w:w="1836" w:type="dxa"/>
            <w:tcBorders>
              <w:top w:val="nil"/>
              <w:left w:val="nil"/>
              <w:bottom w:val="single" w:sz="4" w:space="0" w:color="auto"/>
              <w:right w:val="nil"/>
            </w:tcBorders>
            <w:hideMark/>
          </w:tcPr>
          <w:p w14:paraId="2BC13E28" w14:textId="77777777" w:rsidR="00BB225F" w:rsidRDefault="00BB225F">
            <w:pPr>
              <w:tabs>
                <w:tab w:val="decimal" w:pos="1545"/>
                <w:tab w:val="right" w:pos="9180"/>
              </w:tabs>
              <w:ind w:right="-18"/>
            </w:pPr>
            <w:r>
              <w:tab/>
              <w:t>-</w:t>
            </w:r>
          </w:p>
        </w:tc>
      </w:tr>
      <w:tr w:rsidR="00BB225F" w14:paraId="1A07E57A" w14:textId="77777777" w:rsidTr="00BB225F">
        <w:tc>
          <w:tcPr>
            <w:tcW w:w="3870" w:type="dxa"/>
            <w:hideMark/>
          </w:tcPr>
          <w:p w14:paraId="00A0A0EF" w14:textId="77777777" w:rsidR="00BB225F" w:rsidRDefault="00BB225F">
            <w:pPr>
              <w:tabs>
                <w:tab w:val="right" w:pos="9180"/>
              </w:tabs>
              <w:ind w:right="-360"/>
            </w:pPr>
            <w:r>
              <w:t>Net decrease in cash and cash equivalents</w:t>
            </w:r>
          </w:p>
        </w:tc>
        <w:tc>
          <w:tcPr>
            <w:tcW w:w="1008" w:type="dxa"/>
          </w:tcPr>
          <w:p w14:paraId="2D4AAA4C" w14:textId="77777777" w:rsidR="00BB225F" w:rsidRDefault="00BB225F">
            <w:pPr>
              <w:tabs>
                <w:tab w:val="decimal" w:pos="1044"/>
                <w:tab w:val="right" w:pos="9180"/>
              </w:tabs>
              <w:ind w:right="-18"/>
            </w:pPr>
          </w:p>
        </w:tc>
        <w:tc>
          <w:tcPr>
            <w:tcW w:w="1836" w:type="dxa"/>
            <w:tcBorders>
              <w:top w:val="single" w:sz="4" w:space="0" w:color="auto"/>
              <w:left w:val="nil"/>
              <w:bottom w:val="double" w:sz="4" w:space="0" w:color="auto"/>
              <w:right w:val="nil"/>
            </w:tcBorders>
            <w:hideMark/>
          </w:tcPr>
          <w:p w14:paraId="2473E54D" w14:textId="2920DB94" w:rsidR="00BB225F" w:rsidRDefault="00BB225F">
            <w:pPr>
              <w:tabs>
                <w:tab w:val="decimal" w:pos="1317"/>
                <w:tab w:val="right" w:pos="9180"/>
              </w:tabs>
              <w:ind w:right="-18"/>
            </w:pPr>
            <w:r>
              <w:t>$</w:t>
            </w:r>
            <w:r>
              <w:tab/>
              <w:t>(4,890,877)</w:t>
            </w:r>
          </w:p>
        </w:tc>
        <w:tc>
          <w:tcPr>
            <w:tcW w:w="1836" w:type="dxa"/>
            <w:tcBorders>
              <w:top w:val="single" w:sz="4" w:space="0" w:color="auto"/>
              <w:left w:val="nil"/>
              <w:bottom w:val="double" w:sz="4" w:space="0" w:color="auto"/>
              <w:right w:val="nil"/>
            </w:tcBorders>
            <w:hideMark/>
          </w:tcPr>
          <w:p w14:paraId="0D308917" w14:textId="3FE2D49B" w:rsidR="00BB225F" w:rsidRDefault="00BB225F">
            <w:pPr>
              <w:tabs>
                <w:tab w:val="decimal" w:pos="1545"/>
                <w:tab w:val="right" w:pos="9180"/>
              </w:tabs>
              <w:ind w:right="-18"/>
            </w:pPr>
            <w:r>
              <w:t>$</w:t>
            </w:r>
            <w:r>
              <w:tab/>
              <w:t>(9,823,821)</w:t>
            </w:r>
          </w:p>
        </w:tc>
      </w:tr>
    </w:tbl>
    <w:p w14:paraId="58B20A80" w14:textId="77777777" w:rsidR="00177E79" w:rsidRPr="0009354D" w:rsidRDefault="00177E79" w:rsidP="00177E79"/>
    <w:p w14:paraId="5F6AE604" w14:textId="0B0AD6CA" w:rsidR="002F42A3" w:rsidRDefault="00177E79" w:rsidP="00177E79">
      <w:r w:rsidRPr="0009354D">
        <w:rPr>
          <w:i/>
          <w:iCs/>
        </w:rPr>
        <w:t>Operating Activities</w:t>
      </w:r>
      <w:r w:rsidRPr="0009354D">
        <w:t xml:space="preserve"> – </w:t>
      </w:r>
      <w:bookmarkStart w:id="30" w:name="_Hlk172030982"/>
      <w:r w:rsidR="002F42A3" w:rsidRPr="002F42A3">
        <w:t>Net cash used in operating activities of $</w:t>
      </w:r>
      <w:r w:rsidR="00BB225F">
        <w:t>7,624,778</w:t>
      </w:r>
      <w:r w:rsidR="002F42A3" w:rsidRPr="002F42A3">
        <w:t xml:space="preserve"> for the six months ended June 30, 202</w:t>
      </w:r>
      <w:r w:rsidR="00BB225F">
        <w:t>4</w:t>
      </w:r>
      <w:r w:rsidR="002F42A3" w:rsidRPr="002F42A3">
        <w:t>, was primarily due to our net loss of $</w:t>
      </w:r>
      <w:r w:rsidR="00BB225F">
        <w:t>10,914,174</w:t>
      </w:r>
      <w:r w:rsidR="002F42A3" w:rsidRPr="002F42A3">
        <w:t xml:space="preserve">, </w:t>
      </w:r>
      <w:r w:rsidR="009B0697">
        <w:t>offset</w:t>
      </w:r>
      <w:r w:rsidR="002F42A3" w:rsidRPr="002F42A3">
        <w:t xml:space="preserve"> by non-cash items such as depreciation </w:t>
      </w:r>
      <w:r w:rsidR="00F51F55">
        <w:t xml:space="preserve">and amortization </w:t>
      </w:r>
      <w:r w:rsidR="002F42A3" w:rsidRPr="002F42A3">
        <w:t>expense and stock-based compensation expense, and by changes in our working capital accounts</w:t>
      </w:r>
      <w:bookmarkEnd w:id="30"/>
      <w:r w:rsidR="002F42A3" w:rsidRPr="002F42A3">
        <w:t xml:space="preserve">. </w:t>
      </w:r>
      <w:r w:rsidR="00BB225F" w:rsidRPr="002F42A3">
        <w:t>Net cash used in operating activities of $</w:t>
      </w:r>
      <w:r w:rsidR="00BB225F">
        <w:t>9,800,016</w:t>
      </w:r>
      <w:r w:rsidR="00BB225F" w:rsidRPr="002F42A3">
        <w:t xml:space="preserve"> for the six months ended June 30, 202</w:t>
      </w:r>
      <w:r w:rsidR="00BB225F">
        <w:t>3</w:t>
      </w:r>
      <w:r w:rsidR="00BB225F" w:rsidRPr="002F42A3">
        <w:t>, was primarily due to our net loss of $</w:t>
      </w:r>
      <w:r w:rsidR="00BB225F">
        <w:t>9,965,536</w:t>
      </w:r>
      <w:r w:rsidR="00BB225F" w:rsidRPr="002F42A3">
        <w:t xml:space="preserve">, </w:t>
      </w:r>
      <w:r w:rsidR="00BB225F">
        <w:t>offset</w:t>
      </w:r>
      <w:r w:rsidR="00BB225F" w:rsidRPr="002F42A3">
        <w:t xml:space="preserve"> by non-cash items such as depreciation expense and stock-based compensation expense, and by changes in our working capital accounts</w:t>
      </w:r>
      <w:r w:rsidR="009B0697">
        <w:t>.</w:t>
      </w:r>
    </w:p>
    <w:p w14:paraId="2E257523" w14:textId="77777777" w:rsidR="002F42A3" w:rsidRPr="0009354D" w:rsidRDefault="002F42A3" w:rsidP="00177E79"/>
    <w:p w14:paraId="3B77C8D2" w14:textId="6D417EF9" w:rsidR="009B0697" w:rsidRDefault="00177E79" w:rsidP="00177E79">
      <w:r w:rsidRPr="0009354D">
        <w:rPr>
          <w:i/>
          <w:iCs/>
        </w:rPr>
        <w:t>Investing Activities</w:t>
      </w:r>
      <w:r w:rsidRPr="0009354D">
        <w:t xml:space="preserve"> –</w:t>
      </w:r>
      <w:r w:rsidR="009B0697">
        <w:t xml:space="preserve"> </w:t>
      </w:r>
      <w:r w:rsidR="009B0697" w:rsidRPr="009B0697">
        <w:t>Net cash used in investing activities was $</w:t>
      </w:r>
      <w:r w:rsidR="00BB225F">
        <w:t>-0-</w:t>
      </w:r>
      <w:r w:rsidR="009B0697" w:rsidRPr="009B0697">
        <w:t xml:space="preserve"> and $</w:t>
      </w:r>
      <w:r w:rsidR="00BB225F">
        <w:t>23,805</w:t>
      </w:r>
      <w:r w:rsidR="009B0697" w:rsidRPr="009B0697">
        <w:t xml:space="preserve"> for the six-month periods ended June 30, </w:t>
      </w:r>
      <w:proofErr w:type="gramStart"/>
      <w:r w:rsidR="009B0697" w:rsidRPr="009B0697">
        <w:t>202</w:t>
      </w:r>
      <w:r w:rsidR="00BB225F">
        <w:t>4</w:t>
      </w:r>
      <w:proofErr w:type="gramEnd"/>
      <w:r w:rsidR="009B0697" w:rsidRPr="009B0697">
        <w:t xml:space="preserve"> and 202</w:t>
      </w:r>
      <w:r w:rsidR="00BB225F">
        <w:t>3</w:t>
      </w:r>
      <w:r w:rsidR="009B0697" w:rsidRPr="009B0697">
        <w:t>, respectively, and relates primarily to purchases of laboratory equipment</w:t>
      </w:r>
      <w:r w:rsidR="00A16B79">
        <w:t>.</w:t>
      </w:r>
    </w:p>
    <w:p w14:paraId="63E0CE9E" w14:textId="77777777" w:rsidR="009B0697" w:rsidRPr="0009354D" w:rsidRDefault="009B0697" w:rsidP="00177E79"/>
    <w:p w14:paraId="57A8DA01" w14:textId="2117A4F8" w:rsidR="00177E79" w:rsidRPr="00A57C79" w:rsidRDefault="00177E79" w:rsidP="00177E79">
      <w:r w:rsidRPr="0009354D">
        <w:rPr>
          <w:i/>
          <w:iCs/>
        </w:rPr>
        <w:t>Financing Activities</w:t>
      </w:r>
      <w:r w:rsidRPr="0009354D">
        <w:t xml:space="preserve"> – </w:t>
      </w:r>
      <w:bookmarkStart w:id="31" w:name="_Hlk98343180"/>
      <w:r w:rsidR="00A8079E" w:rsidRPr="0009354D">
        <w:t xml:space="preserve">Net cash </w:t>
      </w:r>
      <w:r w:rsidR="00A8079E">
        <w:t>provided by financing</w:t>
      </w:r>
      <w:r w:rsidR="00A8079E" w:rsidRPr="0009354D">
        <w:t xml:space="preserve"> activities was</w:t>
      </w:r>
      <w:r w:rsidR="00A8079E">
        <w:t xml:space="preserve"> $</w:t>
      </w:r>
      <w:r w:rsidR="00BB225F">
        <w:t>2,733,901</w:t>
      </w:r>
      <w:r w:rsidR="00A8079E">
        <w:t xml:space="preserve"> and</w:t>
      </w:r>
      <w:r w:rsidR="00A8079E" w:rsidRPr="0009354D">
        <w:t xml:space="preserve"> $</w:t>
      </w:r>
      <w:r w:rsidR="00BB225F">
        <w:t>-0-</w:t>
      </w:r>
      <w:r w:rsidR="00A8079E">
        <w:t xml:space="preserve"> </w:t>
      </w:r>
      <w:r w:rsidR="00A8079E" w:rsidRPr="0009354D">
        <w:t xml:space="preserve">for the </w:t>
      </w:r>
      <w:r w:rsidR="001162A8">
        <w:t>six</w:t>
      </w:r>
      <w:r w:rsidR="00A8079E" w:rsidRPr="0009354D">
        <w:t>-month period</w:t>
      </w:r>
      <w:r w:rsidR="00A8079E">
        <w:t>s</w:t>
      </w:r>
      <w:r w:rsidR="00A8079E" w:rsidRPr="0009354D">
        <w:t xml:space="preserve"> ended </w:t>
      </w:r>
      <w:r w:rsidR="001162A8">
        <w:t>June</w:t>
      </w:r>
      <w:r w:rsidR="00FB28E2">
        <w:t xml:space="preserve"> </w:t>
      </w:r>
      <w:r w:rsidR="00A8079E" w:rsidRPr="0009354D">
        <w:t>3</w:t>
      </w:r>
      <w:r w:rsidR="001162A8">
        <w:t>0</w:t>
      </w:r>
      <w:r w:rsidR="00A8079E" w:rsidRPr="0009354D">
        <w:t xml:space="preserve">, </w:t>
      </w:r>
      <w:proofErr w:type="gramStart"/>
      <w:r w:rsidR="00A8079E" w:rsidRPr="0009354D">
        <w:t>202</w:t>
      </w:r>
      <w:r w:rsidR="00BB225F">
        <w:t>4</w:t>
      </w:r>
      <w:proofErr w:type="gramEnd"/>
      <w:r w:rsidR="00A8079E">
        <w:t xml:space="preserve"> and 202</w:t>
      </w:r>
      <w:r w:rsidR="00BB225F">
        <w:t>3</w:t>
      </w:r>
      <w:r w:rsidR="00A8079E">
        <w:t xml:space="preserve">, respectively. </w:t>
      </w:r>
      <w:r w:rsidR="00A8079E" w:rsidRPr="0009354D">
        <w:t xml:space="preserve"> </w:t>
      </w:r>
      <w:bookmarkStart w:id="32" w:name="_Hlk132362816"/>
      <w:r w:rsidRPr="0009354D">
        <w:t xml:space="preserve">Net cash provided by financing activities for the </w:t>
      </w:r>
      <w:r w:rsidR="00A8079E">
        <w:t>202</w:t>
      </w:r>
      <w:r w:rsidR="00FB28E2">
        <w:t>4</w:t>
      </w:r>
      <w:r w:rsidRPr="0009354D">
        <w:t xml:space="preserve"> period </w:t>
      </w:r>
      <w:bookmarkEnd w:id="32"/>
      <w:r w:rsidR="00A8079E">
        <w:t xml:space="preserve">relates to </w:t>
      </w:r>
      <w:r w:rsidRPr="0009354D">
        <w:t xml:space="preserve">net proceeds from </w:t>
      </w:r>
      <w:r w:rsidR="00BB225F">
        <w:t xml:space="preserve">issuance of notes payable, </w:t>
      </w:r>
      <w:r w:rsidR="00A8079E">
        <w:t>offering</w:t>
      </w:r>
      <w:r w:rsidR="001162A8">
        <w:t>s</w:t>
      </w:r>
      <w:r w:rsidR="00A8079E">
        <w:t xml:space="preserve"> </w:t>
      </w:r>
      <w:r w:rsidRPr="0009354D">
        <w:t>of our common stock</w:t>
      </w:r>
      <w:r w:rsidR="00E022F7">
        <w:t xml:space="preserve"> and warrants</w:t>
      </w:r>
      <w:bookmarkEnd w:id="31"/>
      <w:r w:rsidR="00BB225F">
        <w:t xml:space="preserve">, and exercise of previously issued warrants. </w:t>
      </w:r>
    </w:p>
    <w:p w14:paraId="04FEFA4A" w14:textId="77777777" w:rsidR="009B0697" w:rsidRPr="0009354D" w:rsidRDefault="009B0697" w:rsidP="00177E79"/>
    <w:p w14:paraId="096FC6FD" w14:textId="77777777" w:rsidR="00B9502C" w:rsidRDefault="00B9502C">
      <w:pPr>
        <w:rPr>
          <w:b/>
          <w:bCs/>
        </w:rPr>
      </w:pPr>
      <w:r>
        <w:rPr>
          <w:b/>
          <w:bCs/>
        </w:rPr>
        <w:br w:type="page"/>
      </w:r>
    </w:p>
    <w:p w14:paraId="6D5B440E" w14:textId="20C6E5EF" w:rsidR="00F2707B" w:rsidRPr="00491EB6" w:rsidRDefault="00F2707B" w:rsidP="00F2707B">
      <w:pPr>
        <w:rPr>
          <w:b/>
          <w:bCs/>
        </w:rPr>
      </w:pPr>
      <w:r w:rsidRPr="00530123">
        <w:rPr>
          <w:b/>
          <w:bCs/>
        </w:rPr>
        <w:lastRenderedPageBreak/>
        <w:t>Funding Requirements and Sources of Capital</w:t>
      </w:r>
    </w:p>
    <w:p w14:paraId="614EC5DE" w14:textId="77777777" w:rsidR="00F2707B" w:rsidRPr="0009354D" w:rsidRDefault="00F2707B" w:rsidP="00F2707B"/>
    <w:p w14:paraId="2609CE5C" w14:textId="77777777" w:rsidR="00F2707B" w:rsidRDefault="00F2707B" w:rsidP="00F2707B">
      <w:pPr>
        <w:pStyle w:val="BodyText"/>
        <w:spacing w:after="0"/>
      </w:pPr>
      <w:r>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w:t>
      </w:r>
      <w:proofErr w:type="gramStart"/>
      <w:r>
        <w:t>risks</w:t>
      </w:r>
      <w:proofErr w:type="gramEnd"/>
      <w:r>
        <w:t xml:space="preserve"> incident to the development of </w:t>
      </w:r>
      <w:r>
        <w:rPr>
          <w:color w:val="000000"/>
        </w:rPr>
        <w:t>new</w:t>
      </w:r>
      <w:r>
        <w:t xml:space="preserve">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5553EB98" w14:textId="77777777" w:rsidR="00FA0662" w:rsidRDefault="00FA0662" w:rsidP="00F2707B"/>
    <w:p w14:paraId="36B5A15D" w14:textId="44D2FA99" w:rsidR="007C1911" w:rsidRDefault="001D476C" w:rsidP="00F2707B">
      <w:pPr>
        <w:rPr>
          <w:bCs/>
        </w:rPr>
      </w:pPr>
      <w:r w:rsidRPr="001D476C">
        <w:t xml:space="preserve">On </w:t>
      </w:r>
      <w:r w:rsidR="00464623">
        <w:t>July</w:t>
      </w:r>
      <w:r w:rsidR="00464623" w:rsidRPr="001D476C">
        <w:t xml:space="preserve"> </w:t>
      </w:r>
      <w:r w:rsidRPr="001D476C">
        <w:t>12, 2024, we closed a</w:t>
      </w:r>
      <w:r>
        <w:t>n</w:t>
      </w:r>
      <w:r w:rsidRPr="001D476C">
        <w:t xml:space="preserve"> offering of </w:t>
      </w:r>
      <w:r>
        <w:rPr>
          <w:bCs/>
        </w:rPr>
        <w:t>our</w:t>
      </w:r>
      <w:r w:rsidRPr="001D476C">
        <w:rPr>
          <w:bCs/>
        </w:rPr>
        <w:t xml:space="preserve"> common stock</w:t>
      </w:r>
      <w:r w:rsidR="00035313">
        <w:rPr>
          <w:bCs/>
        </w:rPr>
        <w:t xml:space="preserve"> and</w:t>
      </w:r>
      <w:r w:rsidRPr="001D476C">
        <w:rPr>
          <w:bCs/>
        </w:rPr>
        <w:t xml:space="preserve"> warrants</w:t>
      </w:r>
      <w:r>
        <w:rPr>
          <w:bCs/>
        </w:rPr>
        <w:t xml:space="preserve"> (see footnote 11 to the financial statements included in th</w:t>
      </w:r>
      <w:r w:rsidR="003C6624">
        <w:rPr>
          <w:bCs/>
        </w:rPr>
        <w:t>is</w:t>
      </w:r>
      <w:r>
        <w:rPr>
          <w:bCs/>
        </w:rPr>
        <w:t xml:space="preserve"> Quarterly Report). </w:t>
      </w:r>
      <w:r w:rsidRPr="001D476C">
        <w:t>Net proceeds</w:t>
      </w:r>
      <w:r>
        <w:t xml:space="preserve"> to us</w:t>
      </w:r>
      <w:r w:rsidRPr="001D476C">
        <w:t xml:space="preserve"> after deducting placement agent commissions and other offering expenses were approximately $2.8 million.</w:t>
      </w:r>
      <w:r w:rsidRPr="001D476C">
        <w:rPr>
          <w:bCs/>
        </w:rPr>
        <w:t xml:space="preserve">  </w:t>
      </w:r>
    </w:p>
    <w:p w14:paraId="1B716FA5" w14:textId="77777777" w:rsidR="001D476C" w:rsidRPr="004640B2" w:rsidRDefault="001D476C" w:rsidP="00F2707B"/>
    <w:p w14:paraId="24D27AC7" w14:textId="7910CD99" w:rsidR="00F2707B" w:rsidRPr="004640B2" w:rsidRDefault="00F2707B" w:rsidP="00F2707B">
      <w:r w:rsidRPr="004640B2">
        <w:t xml:space="preserve">As of the date of this Quarterly Report, our existing cash and cash equivalents are insufficient to fund our operations beyond the </w:t>
      </w:r>
      <w:r w:rsidR="00FA0662">
        <w:t>third</w:t>
      </w:r>
      <w:r w:rsidRPr="004640B2">
        <w:t xml:space="preserve"> quarter of 2024 without additional funding, which we are actively pursuing. We plan to pursue additional cash resources through public or private equity or debt financings, government grants/contracts, arrangements with strategic partners, or from other sources.</w:t>
      </w:r>
    </w:p>
    <w:p w14:paraId="39BCE542" w14:textId="77777777" w:rsidR="00F2707B" w:rsidRPr="004640B2" w:rsidRDefault="00F2707B" w:rsidP="00F2707B"/>
    <w:p w14:paraId="1EB3DAF6" w14:textId="77777777" w:rsidR="00F2707B" w:rsidRDefault="00F2707B" w:rsidP="00F2707B">
      <w:r w:rsidRPr="004640B2">
        <w:t xml:space="preserve">There can be no assurance that </w:t>
      </w:r>
      <w:r>
        <w:t>necessary</w:t>
      </w:r>
      <w:r w:rsidRPr="004640B2">
        <w:t xml:space="preserve"> funding will be available on favorable terms or at all. These factors collectively raise substantial doubt</w:t>
      </w:r>
      <w:r w:rsidRPr="00770EA9">
        <w:t xml:space="preserve">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w:t>
      </w:r>
    </w:p>
    <w:p w14:paraId="74E3DBDE" w14:textId="77777777" w:rsidR="00F2707B" w:rsidRDefault="00F2707B" w:rsidP="00F2707B"/>
    <w:p w14:paraId="6476BEF2" w14:textId="77777777" w:rsidR="00F2707B" w:rsidRDefault="00F2707B" w:rsidP="00F2707B">
      <w:r w:rsidRPr="00E55FA4">
        <w:t xml:space="preserve">We will need to continue to raise additional capital to support our future operating activities, including progression of our development programs, preparation for commercialization, and other operating costs. </w:t>
      </w:r>
      <w:r w:rsidRPr="00E6483E">
        <w:t>We may fund a significant portion of our ongoing operations through partnering and collaboration agreements</w:t>
      </w:r>
      <w:r>
        <w:t xml:space="preserve"> </w:t>
      </w:r>
      <w:r w:rsidRPr="00E6483E">
        <w:t xml:space="preserve">which, while reducing our risks and extending our cash runway, will also reduce our share of eventual revenues, if any, from our vaccine candidates. We may be able to fund certain activities with assistance from government programs. </w:t>
      </w:r>
    </w:p>
    <w:p w14:paraId="3A8827F3" w14:textId="77777777" w:rsidR="00F2707B" w:rsidRDefault="00F2707B" w:rsidP="00F2707B"/>
    <w:p w14:paraId="14716D8C" w14:textId="77777777" w:rsidR="00F2707B" w:rsidRDefault="00F2707B" w:rsidP="00F2707B">
      <w:r w:rsidRPr="00E6483E">
        <w:t>The sale of additional equity would result in additional dilution to our stockholders. We may also fund our operations through debt financing, which would result in debt service obligations, and the instruments governing such debt could provide for operating and financing covenants that would restrict our operations. If we are unable to raise additional capital in sufficient amounts or on acceptable terms, we may be required to delay, limit, reduce, or terminate our product development or future commercialization efforts or grant rights to develop and market vaccine candidates that we would otherwise prefer to develop and market ourselves. Any of these actions could harm our business, results of operations and prospects.</w:t>
      </w:r>
    </w:p>
    <w:p w14:paraId="5E844649" w14:textId="77777777" w:rsidR="00F2707B" w:rsidRDefault="00F2707B" w:rsidP="00F2707B"/>
    <w:p w14:paraId="138941BA" w14:textId="77777777" w:rsidR="00F2707B" w:rsidRPr="00ED1E26" w:rsidRDefault="00F2707B" w:rsidP="00F2707B">
      <w:r w:rsidRPr="00D61E1C">
        <w:t>Our forecast of the period of time through which our financial resources will be adequate to support our operations is a forward-looking statement that involves risks and uncertainties and is based on assumptions that may prove to be wrong; actual results could vary materially.</w:t>
      </w:r>
      <w:r>
        <w:t xml:space="preserve"> Our projection takes into consideration contractual commitments we have made, and expect to make, in the normal course of operating our business, which include (i) obligations to our employees, (ii) our lease obligations, (iii) payments due under license agreements for various technologies and patent rights associated with our product development activities, (iv) arrangements with contract research organizations (“CROs”), contract manufacturing organizations (“CMOs”), and other third-party vendors for clinical trials services and production of materials for use in our clinical trials, and (v) other various firm purchase commitments and contractual obligations related to production and testing of our product candidates and the general operation of our business</w:t>
      </w:r>
      <w:r w:rsidRPr="00ED1E26">
        <w:t>.</w:t>
      </w:r>
    </w:p>
    <w:p w14:paraId="13AB42EE" w14:textId="77777777" w:rsidR="00F2707B" w:rsidRPr="00ED1E26" w:rsidRDefault="00F2707B" w:rsidP="00F2707B"/>
    <w:p w14:paraId="2C336D71" w14:textId="77777777" w:rsidR="00F2707B" w:rsidRPr="00ED1E26" w:rsidRDefault="00F2707B" w:rsidP="00F2707B">
      <w:r w:rsidRPr="00ED1E26">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4BFA5EBE" w14:textId="77777777" w:rsidR="00F2707B" w:rsidRPr="00ED1E26" w:rsidRDefault="00F2707B" w:rsidP="00F2707B">
      <w:pPr>
        <w:numPr>
          <w:ilvl w:val="0"/>
          <w:numId w:val="13"/>
        </w:numPr>
      </w:pPr>
      <w:r w:rsidRPr="00ED1E26">
        <w:t xml:space="preserve">the timing and costs of our ongoing and planned clinical </w:t>
      </w:r>
      <w:proofErr w:type="gramStart"/>
      <w:r w:rsidRPr="00ED1E26">
        <w:t>trials;</w:t>
      </w:r>
      <w:proofErr w:type="gramEnd"/>
    </w:p>
    <w:p w14:paraId="5F117EEE" w14:textId="77777777" w:rsidR="00F2707B" w:rsidRPr="00ED1E26" w:rsidRDefault="00F2707B" w:rsidP="00F2707B">
      <w:pPr>
        <w:numPr>
          <w:ilvl w:val="0"/>
          <w:numId w:val="13"/>
        </w:numPr>
      </w:pPr>
      <w:r w:rsidRPr="00ED1E26">
        <w:t xml:space="preserve">the timing and costs of manufacturing material for use in clinical </w:t>
      </w:r>
      <w:proofErr w:type="gramStart"/>
      <w:r w:rsidRPr="00ED1E26">
        <w:t>trials;</w:t>
      </w:r>
      <w:proofErr w:type="gramEnd"/>
    </w:p>
    <w:p w14:paraId="3D3F5D7B" w14:textId="77777777" w:rsidR="00F2707B" w:rsidRPr="00ED1E26" w:rsidRDefault="00F2707B" w:rsidP="00F2707B">
      <w:pPr>
        <w:numPr>
          <w:ilvl w:val="0"/>
          <w:numId w:val="13"/>
        </w:numPr>
      </w:pPr>
      <w:r w:rsidRPr="00ED1E26">
        <w:t xml:space="preserve">the number and scope of our research programs and the speed at which they are </w:t>
      </w:r>
      <w:proofErr w:type="gramStart"/>
      <w:r w:rsidRPr="00ED1E26">
        <w:t>advanced;</w:t>
      </w:r>
      <w:proofErr w:type="gramEnd"/>
      <w:r w:rsidRPr="00ED1E26">
        <w:t xml:space="preserve"> </w:t>
      </w:r>
    </w:p>
    <w:p w14:paraId="42F21C8A" w14:textId="77777777" w:rsidR="00F2707B" w:rsidRPr="00ED1E26" w:rsidRDefault="00F2707B" w:rsidP="00F2707B">
      <w:pPr>
        <w:numPr>
          <w:ilvl w:val="0"/>
          <w:numId w:val="13"/>
        </w:numPr>
      </w:pPr>
      <w:r w:rsidRPr="00ED1E26">
        <w:t xml:space="preserve">the progress and success of our preclinical and clinical development </w:t>
      </w:r>
      <w:proofErr w:type="gramStart"/>
      <w:r w:rsidRPr="00ED1E26">
        <w:t>activities;</w:t>
      </w:r>
      <w:proofErr w:type="gramEnd"/>
      <w:r w:rsidRPr="00ED1E26">
        <w:t xml:space="preserve"> </w:t>
      </w:r>
    </w:p>
    <w:p w14:paraId="5D3DA057" w14:textId="77777777" w:rsidR="00F2707B" w:rsidRPr="00ED1E26" w:rsidRDefault="00F2707B" w:rsidP="00F2707B">
      <w:pPr>
        <w:numPr>
          <w:ilvl w:val="0"/>
          <w:numId w:val="13"/>
        </w:numPr>
      </w:pPr>
      <w:r w:rsidRPr="00ED1E26">
        <w:t xml:space="preserve">the costs involved in prosecuting and enforcing patent claims and other intellectual property </w:t>
      </w:r>
      <w:proofErr w:type="gramStart"/>
      <w:r w:rsidRPr="00ED1E26">
        <w:t>rights;</w:t>
      </w:r>
      <w:proofErr w:type="gramEnd"/>
      <w:r w:rsidRPr="00ED1E26">
        <w:t xml:space="preserve"> </w:t>
      </w:r>
    </w:p>
    <w:p w14:paraId="203D0B04" w14:textId="77777777" w:rsidR="00F2707B" w:rsidRPr="00ED1E26" w:rsidRDefault="00F2707B" w:rsidP="00F2707B">
      <w:pPr>
        <w:numPr>
          <w:ilvl w:val="0"/>
          <w:numId w:val="13"/>
        </w:numPr>
      </w:pPr>
      <w:r w:rsidRPr="00ED1E26">
        <w:t xml:space="preserve">the costs to attract and retain skilled </w:t>
      </w:r>
      <w:proofErr w:type="gramStart"/>
      <w:r w:rsidRPr="00ED1E26">
        <w:t>personnel;</w:t>
      </w:r>
      <w:proofErr w:type="gramEnd"/>
    </w:p>
    <w:p w14:paraId="60DC5106" w14:textId="77777777" w:rsidR="00F2707B" w:rsidRPr="00ED1E26" w:rsidRDefault="00F2707B" w:rsidP="00F2707B">
      <w:pPr>
        <w:numPr>
          <w:ilvl w:val="0"/>
          <w:numId w:val="13"/>
        </w:numPr>
      </w:pPr>
      <w:r w:rsidRPr="00ED1E26">
        <w:lastRenderedPageBreak/>
        <w:t xml:space="preserve">the costs to maintain and expand our infrastructure to support our operations, our product development, and planned future commercialization </w:t>
      </w:r>
      <w:proofErr w:type="gramStart"/>
      <w:r w:rsidRPr="00ED1E26">
        <w:t>efforts;</w:t>
      </w:r>
      <w:proofErr w:type="gramEnd"/>
    </w:p>
    <w:p w14:paraId="7F1D3256" w14:textId="77777777" w:rsidR="00F2707B" w:rsidRPr="00ED1E26" w:rsidRDefault="00F2707B" w:rsidP="00F2707B">
      <w:pPr>
        <w:numPr>
          <w:ilvl w:val="0"/>
          <w:numId w:val="13"/>
        </w:numPr>
      </w:pPr>
      <w:r w:rsidRPr="00ED1E26">
        <w:t xml:space="preserve">the terms and timing of establishing and maintaining collaborations, licenses and other similar </w:t>
      </w:r>
      <w:proofErr w:type="gramStart"/>
      <w:r w:rsidRPr="00ED1E26">
        <w:t>arrangements;</w:t>
      </w:r>
      <w:proofErr w:type="gramEnd"/>
      <w:r w:rsidRPr="00ED1E26">
        <w:t xml:space="preserve"> </w:t>
      </w:r>
    </w:p>
    <w:p w14:paraId="1E21014F" w14:textId="77777777" w:rsidR="00F2707B" w:rsidRPr="00ED1E26" w:rsidRDefault="00F2707B" w:rsidP="00F2707B">
      <w:pPr>
        <w:numPr>
          <w:ilvl w:val="0"/>
          <w:numId w:val="13"/>
        </w:numPr>
      </w:pPr>
      <w:r w:rsidRPr="00ED1E26">
        <w:t xml:space="preserve">the costs associated with any products or technologies that we may in-license or acquire; and </w:t>
      </w:r>
    </w:p>
    <w:p w14:paraId="733BF51C" w14:textId="77777777" w:rsidR="00F2707B" w:rsidRPr="00ED1E26" w:rsidRDefault="00F2707B" w:rsidP="00F2707B">
      <w:pPr>
        <w:numPr>
          <w:ilvl w:val="0"/>
          <w:numId w:val="13"/>
        </w:numPr>
      </w:pPr>
      <w:r w:rsidRPr="00ED1E26">
        <w:t>the costs and timing of regulatory approvals.</w:t>
      </w:r>
    </w:p>
    <w:p w14:paraId="78F806C7" w14:textId="77777777" w:rsidR="001C37F3" w:rsidRDefault="001C37F3" w:rsidP="00A57C79">
      <w:pPr>
        <w:rPr>
          <w:i/>
        </w:rPr>
      </w:pPr>
    </w:p>
    <w:p w14:paraId="7020D5CF" w14:textId="692FA572" w:rsidR="00385703" w:rsidRDefault="00385703" w:rsidP="00ED1E26">
      <w:pPr>
        <w:rPr>
          <w:color w:val="000000"/>
          <w:sz w:val="2"/>
          <w:szCs w:val="2"/>
        </w:rPr>
      </w:pPr>
    </w:p>
    <w:p w14:paraId="4067366E" w14:textId="212FF095" w:rsidR="00182CF3" w:rsidRPr="001C6303" w:rsidRDefault="0054260E" w:rsidP="000A55AE">
      <w:pPr>
        <w:pStyle w:val="Heading2"/>
        <w:numPr>
          <w:ilvl w:val="0"/>
          <w:numId w:val="0"/>
        </w:numPr>
        <w:tabs>
          <w:tab w:val="left" w:pos="1080"/>
        </w:tabs>
        <w:spacing w:after="0"/>
      </w:pPr>
      <w:bookmarkStart w:id="33" w:name="_Toc197922411"/>
      <w:r w:rsidRPr="001C6303">
        <w:rPr>
          <w:u w:val="none"/>
        </w:rPr>
        <w:t>Item 3</w:t>
      </w:r>
      <w:r w:rsidRPr="001C6303">
        <w:rPr>
          <w:u w:val="none"/>
        </w:rPr>
        <w:tab/>
      </w:r>
      <w:r w:rsidR="0035003D" w:rsidRPr="001C6303">
        <w:t>Quantitative and Qualitative Disclosures About Market Risk</w:t>
      </w:r>
      <w:bookmarkEnd w:id="33"/>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4" w:name="_Toc197922412"/>
      <w:r w:rsidRPr="001C6303">
        <w:rPr>
          <w:u w:val="none"/>
        </w:rPr>
        <w:t>Item 4</w:t>
      </w:r>
      <w:r w:rsidRPr="001C6303">
        <w:rPr>
          <w:u w:val="none"/>
        </w:rPr>
        <w:tab/>
      </w:r>
      <w:r w:rsidR="00BD6BBE" w:rsidRPr="001C6303">
        <w:t>Controls and Procedures</w:t>
      </w:r>
      <w:bookmarkEnd w:id="34"/>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5E072F8C"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w:t>
      </w:r>
      <w:r w:rsidR="003C6624">
        <w:t>the “</w:t>
      </w:r>
      <w:r w:rsidRPr="001C6303">
        <w:t>Exchange Act</w:t>
      </w:r>
      <w:r w:rsidR="003C6624">
        <w:t>”</w:t>
      </w:r>
      <w:r w:rsidRPr="001C6303">
        <w: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79C60962"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w:t>
      </w:r>
      <w:r w:rsidR="003C6624">
        <w:t>SEC’s</w:t>
      </w:r>
      <w:r w:rsidRPr="001C6303">
        <w:t xml:space="preserve">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35" w:name="_Toc197922413"/>
      <w:r w:rsidRPr="001C6303">
        <w:t>Changes in internal control over financial reporting</w:t>
      </w:r>
    </w:p>
    <w:p w14:paraId="6CF4403E" w14:textId="77777777" w:rsidR="00C33214" w:rsidRDefault="00C33214" w:rsidP="00C33214">
      <w:pPr>
        <w:pStyle w:val="BodyText"/>
        <w:spacing w:after="0"/>
      </w:pPr>
    </w:p>
    <w:p w14:paraId="71518E18" w14:textId="61B959D7"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rsidR="0043702E">
        <w:t>June</w:t>
      </w:r>
      <w:r>
        <w:t xml:space="preserve"> 3</w:t>
      </w:r>
      <w:r w:rsidR="0043702E">
        <w:t>0</w:t>
      </w:r>
      <w:r>
        <w:t xml:space="preserve">, </w:t>
      </w:r>
      <w:proofErr w:type="gramStart"/>
      <w:r>
        <w:t>202</w:t>
      </w:r>
      <w:r w:rsidR="00611EE5">
        <w:t>4</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76C6812" w14:textId="547E4F41" w:rsidR="00C33214" w:rsidRPr="00374DEE" w:rsidRDefault="00C33214" w:rsidP="00C33214">
      <w:pPr>
        <w:rPr>
          <w:i/>
        </w:rPr>
      </w:pPr>
      <w:r w:rsidRPr="00374DEE">
        <w:rPr>
          <w:i/>
        </w:rPr>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60FCE0CF" w14:textId="77777777" w:rsidR="00B74BA5" w:rsidRPr="00D9086D" w:rsidRDefault="00B74BA5" w:rsidP="000A55AE"/>
    <w:p w14:paraId="55D94DE0" w14:textId="77777777" w:rsidR="000877FE" w:rsidRDefault="000877FE">
      <w:pPr>
        <w:rPr>
          <w:b/>
        </w:rPr>
      </w:pPr>
      <w:r>
        <w:br w:type="page"/>
      </w:r>
    </w:p>
    <w:p w14:paraId="5CF04708" w14:textId="5C918648" w:rsidR="00BD6BBE" w:rsidRDefault="004E3374" w:rsidP="000A55AE">
      <w:pPr>
        <w:pStyle w:val="Heading1"/>
        <w:numPr>
          <w:ilvl w:val="0"/>
          <w:numId w:val="0"/>
        </w:numPr>
      </w:pPr>
      <w:r>
        <w:lastRenderedPageBreak/>
        <w:t>PART</w:t>
      </w:r>
      <w:r w:rsidR="002D50D9">
        <w:t xml:space="preserve"> II -- </w:t>
      </w:r>
      <w:r w:rsidR="00BD6BBE" w:rsidRPr="001C6303">
        <w:t>OTHER INFORMATION</w:t>
      </w:r>
      <w:bookmarkEnd w:id="35"/>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6" w:name="_Toc197922414"/>
      <w:r w:rsidRPr="001C6303">
        <w:t>Legal Proceedings</w:t>
      </w:r>
      <w:bookmarkEnd w:id="36"/>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7" w:name="_Toc197922415"/>
      <w:r w:rsidRPr="001C6303">
        <w:t>Risk Factors</w:t>
      </w:r>
      <w:bookmarkEnd w:id="37"/>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8" w:name="_Toc197922416"/>
      <w:r w:rsidRPr="001C6303">
        <w:t>Unregistered Sale</w:t>
      </w:r>
      <w:r w:rsidR="00A63414" w:rsidRPr="001C6303">
        <w:t>s</w:t>
      </w:r>
      <w:r w:rsidRPr="001C6303">
        <w:t xml:space="preserve"> of Equity Securities and Use of Proceeds</w:t>
      </w:r>
      <w:bookmarkEnd w:id="38"/>
    </w:p>
    <w:p w14:paraId="3CCD0E14" w14:textId="77777777" w:rsidR="00C6018F" w:rsidRDefault="00C6018F" w:rsidP="000A55AE">
      <w:pPr>
        <w:pStyle w:val="BodyText"/>
        <w:spacing w:after="0"/>
      </w:pPr>
      <w:bookmarkStart w:id="39" w:name="_Toc197922417"/>
    </w:p>
    <w:p w14:paraId="5A111FD7" w14:textId="58619A10" w:rsidR="00052C14" w:rsidRDefault="00052C14" w:rsidP="00052C14">
      <w:r w:rsidRPr="00C16143">
        <w:t>There were no</w:t>
      </w:r>
      <w:r w:rsidR="00C6018F">
        <w:t xml:space="preserve"> </w:t>
      </w:r>
      <w:r w:rsidRPr="00C16143">
        <w:t xml:space="preserve">sales of unregistered </w:t>
      </w:r>
      <w:r w:rsidR="001254C5">
        <w:t xml:space="preserve">equity </w:t>
      </w:r>
      <w:r w:rsidRPr="00C16143">
        <w:t>securities during the period covered by this report that have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9"/>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1C17AB8C" w:rsidR="00025C72" w:rsidRPr="001C6303" w:rsidRDefault="00C07C60" w:rsidP="000A55AE">
      <w:pPr>
        <w:pStyle w:val="Heading2"/>
        <w:spacing w:after="0"/>
      </w:pPr>
      <w:bookmarkStart w:id="40" w:name="_Toc197922419"/>
      <w:r>
        <w:t>Other Information</w:t>
      </w:r>
    </w:p>
    <w:p w14:paraId="72A27140" w14:textId="77777777" w:rsidR="000A55AE" w:rsidRDefault="000A55AE" w:rsidP="000A55AE"/>
    <w:p w14:paraId="115A6BFF" w14:textId="787406CE" w:rsidR="00CB03AD" w:rsidRDefault="00CB03AD">
      <w:pPr>
        <w:rPr>
          <w:color w:val="000000"/>
        </w:rPr>
      </w:pPr>
      <w:r>
        <w:rPr>
          <w:color w:val="000000"/>
        </w:rPr>
        <w:t xml:space="preserve">During the </w:t>
      </w:r>
      <w:r w:rsidR="00A73268">
        <w:rPr>
          <w:color w:val="000000"/>
        </w:rPr>
        <w:t>period covered by this report</w:t>
      </w:r>
      <w:r>
        <w:rPr>
          <w:color w:val="000000"/>
        </w:rPr>
        <w:t>, none of our directors or executive officers</w:t>
      </w:r>
      <w:r w:rsidR="00A73268">
        <w:rPr>
          <w:color w:val="000000"/>
        </w:rPr>
        <w:t xml:space="preserve"> </w:t>
      </w:r>
      <w:r>
        <w:t>adopted</w:t>
      </w:r>
      <w:r w:rsidR="00A73268">
        <w:rPr>
          <w:color w:val="000000"/>
        </w:rPr>
        <w:t xml:space="preserve"> </w:t>
      </w:r>
      <w:r>
        <w:rPr>
          <w:color w:val="000000"/>
        </w:rPr>
        <w:t>or</w:t>
      </w:r>
      <w:r w:rsidR="00A73268">
        <w:rPr>
          <w:color w:val="000000"/>
        </w:rPr>
        <w:t xml:space="preserve"> </w:t>
      </w:r>
      <w:r>
        <w:t>terminated</w:t>
      </w:r>
      <w:r>
        <w:rPr>
          <w:color w:val="000000"/>
        </w:rPr>
        <w:t> any “Rule 10b5-1 trading arrangement” or “non-Rule 10b5-1 trading arrangement” (as each term is defined in Item 408(a) of Regulation S-K).</w:t>
      </w:r>
    </w:p>
    <w:p w14:paraId="794764D3" w14:textId="77777777" w:rsidR="00CB03AD" w:rsidRDefault="00CB03AD"/>
    <w:p w14:paraId="2379F571" w14:textId="026D3A7B" w:rsidR="00CB03A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40"/>
    </w:p>
    <w:p w14:paraId="427B8C1F" w14:textId="3BB41535" w:rsidR="00001C8D" w:rsidRDefault="00001C8D">
      <w:r>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41" w:name="_Toc197922420"/>
      <w:r w:rsidRPr="001C6303">
        <w:rPr>
          <w:u w:val="none"/>
        </w:rPr>
        <w:t>Item 6</w:t>
      </w:r>
      <w:r w:rsidRPr="001C6303">
        <w:rPr>
          <w:u w:val="none"/>
        </w:rPr>
        <w:tab/>
      </w:r>
      <w:r w:rsidR="00BD6BBE" w:rsidRPr="001C6303">
        <w:t>Exhibits</w:t>
      </w:r>
      <w:bookmarkEnd w:id="41"/>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0CDCC4A3" w14:textId="2F85D402" w:rsidR="00DE3857" w:rsidRDefault="00DE3857" w:rsidP="00D07464">
      <w:pPr>
        <w:ind w:left="900" w:hanging="900"/>
      </w:pPr>
      <w:r>
        <w:t>3.1</w:t>
      </w:r>
      <w:r>
        <w:tab/>
      </w:r>
      <w:hyperlink r:id="rId22" w:history="1">
        <w:r w:rsidRPr="004672D4">
          <w:rPr>
            <w:rStyle w:val="Hyperlink"/>
          </w:rPr>
          <w:t>Restated Certificate of Incorporation filed April 12, 2024 (</w:t>
        </w:r>
        <w:r w:rsidR="004672D4" w:rsidRPr="004672D4">
          <w:rPr>
            <w:rStyle w:val="Hyperlink"/>
          </w:rPr>
          <w:t>3)</w:t>
        </w:r>
      </w:hyperlink>
    </w:p>
    <w:p w14:paraId="5141CCE6" w14:textId="7CA64BF5" w:rsidR="00DE3857" w:rsidRDefault="00DE3857" w:rsidP="00D07464">
      <w:pPr>
        <w:ind w:left="900" w:hanging="900"/>
      </w:pPr>
      <w:r>
        <w:t>3.2.</w:t>
      </w:r>
      <w:r>
        <w:tab/>
      </w:r>
      <w:hyperlink r:id="rId23" w:history="1">
        <w:r w:rsidR="004672D4" w:rsidRPr="004672D4">
          <w:rPr>
            <w:rStyle w:val="Hyperlink"/>
          </w:rPr>
          <w:t>Bylaws (5)</w:t>
        </w:r>
      </w:hyperlink>
    </w:p>
    <w:p w14:paraId="7EF84DF0" w14:textId="697BB347" w:rsidR="004672D4" w:rsidRPr="00EF6357" w:rsidRDefault="004672D4" w:rsidP="00D07464">
      <w:pPr>
        <w:ind w:left="900" w:hanging="900"/>
        <w:rPr>
          <w:rStyle w:val="Hyperlink"/>
        </w:rPr>
      </w:pPr>
      <w:r>
        <w:t>4.1</w:t>
      </w:r>
      <w:r>
        <w:tab/>
      </w:r>
      <w:r w:rsidR="00EF6357">
        <w:fldChar w:fldCharType="begin"/>
      </w:r>
      <w:r w:rsidR="00EF6357">
        <w:instrText>HYPERLINK "https://www.sec.gov/Archives/edgar/data/832489/000143774924017865/ex_677628.htm"</w:instrText>
      </w:r>
      <w:r w:rsidR="00EF6357">
        <w:fldChar w:fldCharType="separate"/>
      </w:r>
      <w:r w:rsidRPr="00EF6357">
        <w:rPr>
          <w:rStyle w:val="Hyperlink"/>
        </w:rPr>
        <w:t>Form of Pre-Funded Warrant, dated May 21, 2024 (4)</w:t>
      </w:r>
    </w:p>
    <w:p w14:paraId="4D87D7DB" w14:textId="2B1DC9AE" w:rsidR="004672D4" w:rsidRDefault="00EF6357" w:rsidP="00D07464">
      <w:pPr>
        <w:ind w:left="900" w:hanging="900"/>
      </w:pPr>
      <w:r>
        <w:fldChar w:fldCharType="end"/>
      </w:r>
      <w:r w:rsidR="004672D4">
        <w:t>4.2</w:t>
      </w:r>
      <w:r w:rsidR="004672D4">
        <w:tab/>
      </w:r>
      <w:hyperlink r:id="rId24" w:history="1">
        <w:r w:rsidR="004672D4" w:rsidRPr="004672D4">
          <w:rPr>
            <w:rStyle w:val="Hyperlink"/>
          </w:rPr>
          <w:t>Form of Common Warrant, dated May 21, 2024 (4)</w:t>
        </w:r>
      </w:hyperlink>
    </w:p>
    <w:p w14:paraId="27521BEF" w14:textId="2E467435" w:rsidR="004672D4" w:rsidRDefault="004672D4" w:rsidP="00D07464">
      <w:pPr>
        <w:ind w:left="900" w:hanging="900"/>
      </w:pPr>
      <w:r>
        <w:t>4.3</w:t>
      </w:r>
      <w:r>
        <w:tab/>
      </w:r>
      <w:hyperlink r:id="rId25" w:history="1">
        <w:r w:rsidRPr="004672D4">
          <w:rPr>
            <w:rStyle w:val="Hyperlink"/>
          </w:rPr>
          <w:t>Form of Pre-Funded Warrant, dated July 12, 2024 (6)</w:t>
        </w:r>
      </w:hyperlink>
    </w:p>
    <w:p w14:paraId="7CD41625" w14:textId="53AB32CE" w:rsidR="004672D4" w:rsidRDefault="004672D4" w:rsidP="00D07464">
      <w:pPr>
        <w:ind w:left="900" w:hanging="900"/>
      </w:pPr>
      <w:r>
        <w:t>4.4</w:t>
      </w:r>
      <w:r>
        <w:tab/>
      </w:r>
      <w:hyperlink r:id="rId26" w:history="1">
        <w:r w:rsidRPr="004672D4">
          <w:rPr>
            <w:rStyle w:val="Hyperlink"/>
          </w:rPr>
          <w:t>Form of Common Warrant, dated July 12, 2024 (6)</w:t>
        </w:r>
      </w:hyperlink>
    </w:p>
    <w:p w14:paraId="376477EC" w14:textId="60AA43CF" w:rsidR="00E758EC" w:rsidRDefault="00E758EC" w:rsidP="00D07464">
      <w:pPr>
        <w:ind w:left="900" w:hanging="900"/>
      </w:pPr>
      <w:r>
        <w:t>10.1*</w:t>
      </w:r>
      <w:r>
        <w:tab/>
      </w:r>
      <w:r w:rsidR="00867A8D" w:rsidRPr="00867A8D">
        <w:t>RRPV Base Agreement No. 2024-564, dated April 2, 2024, by and between GeoVax, Inc. and Advanced Technology International</w:t>
      </w:r>
    </w:p>
    <w:p w14:paraId="6E1149DB" w14:textId="58AFD727" w:rsidR="00E758EC" w:rsidRDefault="00E758EC" w:rsidP="00D07464">
      <w:pPr>
        <w:ind w:left="900" w:hanging="900"/>
      </w:pPr>
      <w:r>
        <w:t>10.2*</w:t>
      </w:r>
      <w:r>
        <w:tab/>
      </w:r>
      <w:r w:rsidR="00867A8D" w:rsidRPr="00867A8D">
        <w:t>RRPV Project Award No. 001, dated June 12, 2024, by and between Advanced Technology International (RRPV Consortium Management Firm) and GeoVax, Inc.</w:t>
      </w:r>
      <w:r w:rsidR="002C10A3">
        <w:t xml:space="preserve"> (2)</w:t>
      </w:r>
    </w:p>
    <w:p w14:paraId="350D2EF7" w14:textId="294C74ED" w:rsidR="004672D4" w:rsidRDefault="004672D4" w:rsidP="00D07464">
      <w:pPr>
        <w:ind w:left="900" w:hanging="900"/>
      </w:pPr>
      <w:r>
        <w:t>10.3</w:t>
      </w:r>
      <w:r>
        <w:tab/>
      </w:r>
      <w:hyperlink r:id="rId27" w:history="1">
        <w:r w:rsidRPr="004672D4">
          <w:rPr>
            <w:rStyle w:val="Hyperlink"/>
          </w:rPr>
          <w:t>Securities Purchase Agreement, dated May 16, 2024 (4)</w:t>
        </w:r>
      </w:hyperlink>
    </w:p>
    <w:p w14:paraId="7C5CE7F5" w14:textId="1B5F2B48" w:rsidR="004672D4" w:rsidRDefault="004672D4" w:rsidP="00D07464">
      <w:pPr>
        <w:ind w:left="900" w:hanging="900"/>
      </w:pPr>
      <w:r>
        <w:t>10.4</w:t>
      </w:r>
      <w:r>
        <w:tab/>
      </w:r>
      <w:hyperlink r:id="rId28" w:history="1">
        <w:r w:rsidRPr="004672D4">
          <w:rPr>
            <w:rStyle w:val="Hyperlink"/>
          </w:rPr>
          <w:t>Securities Purchase Agreement, dated July 11, 2024 (6)</w:t>
        </w:r>
      </w:hyperlink>
    </w:p>
    <w:p w14:paraId="769D58A4" w14:textId="2752F852"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 xml:space="preserve">XBRL Taxonomy Extension Calculation </w:t>
      </w:r>
      <w:proofErr w:type="spellStart"/>
      <w:r>
        <w:t>Linkbase</w:t>
      </w:r>
      <w:proofErr w:type="spellEnd"/>
      <w:r>
        <w:t xml:space="preserve"> Document</w:t>
      </w:r>
      <w:r w:rsidR="001427A0">
        <w:t xml:space="preserve"> (1)</w:t>
      </w:r>
    </w:p>
    <w:p w14:paraId="237AE405" w14:textId="5CDEF9F8" w:rsidR="00277C53" w:rsidRDefault="00277C53" w:rsidP="00D07464">
      <w:pPr>
        <w:ind w:left="900" w:hanging="900"/>
      </w:pPr>
      <w:r>
        <w:t>101.DEF</w:t>
      </w:r>
      <w:r>
        <w:tab/>
      </w:r>
      <w:r w:rsidR="001427A0">
        <w:t xml:space="preserve">Inline </w:t>
      </w:r>
      <w:r>
        <w:t xml:space="preserve">XBRL Taxonomy Extension Definition </w:t>
      </w:r>
      <w:proofErr w:type="spellStart"/>
      <w:r>
        <w:t>Linkbase</w:t>
      </w:r>
      <w:proofErr w:type="spellEnd"/>
      <w:r>
        <w:t xml:space="preserve"> Document</w:t>
      </w:r>
      <w:r w:rsidR="001427A0">
        <w:t xml:space="preserve"> (1)</w:t>
      </w:r>
    </w:p>
    <w:p w14:paraId="3C8A4BF0" w14:textId="3C7FCEC9" w:rsidR="00277C53" w:rsidRDefault="00277C53" w:rsidP="00D07464">
      <w:pPr>
        <w:ind w:left="900" w:hanging="900"/>
      </w:pPr>
      <w:r>
        <w:t>101.LAB</w:t>
      </w:r>
      <w:r>
        <w:tab/>
      </w:r>
      <w:r w:rsidR="001427A0">
        <w:t xml:space="preserve">Inline </w:t>
      </w:r>
      <w:r>
        <w:t xml:space="preserve">XBRL Taxonomy Extension Label </w:t>
      </w:r>
      <w:proofErr w:type="spellStart"/>
      <w:r>
        <w:t>Linkbase</w:t>
      </w:r>
      <w:proofErr w:type="spellEnd"/>
      <w:r>
        <w:t xml:space="preserv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 xml:space="preserve">XBRL Taxonomy Extension Presentation </w:t>
      </w:r>
      <w:proofErr w:type="spellStart"/>
      <w:r>
        <w:t>Linkbase</w:t>
      </w:r>
      <w:proofErr w:type="spellEnd"/>
      <w:r>
        <w:t xml:space="preserv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5E62D7C7" w14:textId="77777777" w:rsidR="001F0A43" w:rsidRDefault="001F0A43" w:rsidP="00717940"/>
    <w:p w14:paraId="11F802DA" w14:textId="77777777" w:rsidR="006E01E4" w:rsidRDefault="006E01E4" w:rsidP="00717940"/>
    <w:p w14:paraId="45F577B3" w14:textId="6973462B"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1B8FC822" w14:textId="02C3D887" w:rsidR="00CC6E70" w:rsidRDefault="001F0A43" w:rsidP="00DE3857">
      <w:pPr>
        <w:pStyle w:val="ListParagraph"/>
        <w:numPr>
          <w:ilvl w:val="0"/>
          <w:numId w:val="15"/>
        </w:numPr>
        <w:ind w:left="720"/>
      </w:pPr>
      <w:r>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r w:rsidR="00CC6E70">
        <w:t>.</w:t>
      </w:r>
    </w:p>
    <w:p w14:paraId="29A1458B" w14:textId="53CE4CDC" w:rsidR="002C10A3" w:rsidRDefault="002C10A3" w:rsidP="00DE3857">
      <w:pPr>
        <w:pStyle w:val="ListParagraph"/>
        <w:numPr>
          <w:ilvl w:val="0"/>
          <w:numId w:val="15"/>
        </w:numPr>
        <w:ind w:left="720"/>
      </w:pPr>
      <w:r w:rsidRPr="00517E0C">
        <w:t xml:space="preserve">Pursuant to </w:t>
      </w:r>
      <w:r>
        <w:t>Item</w:t>
      </w:r>
      <w:r w:rsidRPr="00517E0C">
        <w:t xml:space="preserve"> 601(b)(10) of Regulation S-K, certain confidential portions of this exhibit have been omitted as (i) the Company has determined the omitted information is not material and (ii) the Company customarily and actually treats the omitted information as private or confidential.</w:t>
      </w:r>
    </w:p>
    <w:p w14:paraId="032BB823" w14:textId="454A0137" w:rsidR="00DE3857" w:rsidRDefault="00DE3857" w:rsidP="00DE3857">
      <w:pPr>
        <w:pStyle w:val="ListParagraph"/>
        <w:numPr>
          <w:ilvl w:val="0"/>
          <w:numId w:val="15"/>
        </w:numPr>
        <w:ind w:left="720"/>
      </w:pPr>
      <w:bookmarkStart w:id="42" w:name="_Hlk172700316"/>
      <w:r>
        <w:t>Incorporated by reference from the registrants Quarterly Report on Form 10-Q filed May 14, 2024.</w:t>
      </w:r>
    </w:p>
    <w:p w14:paraId="0B87D689" w14:textId="0CE6893E" w:rsidR="00DE3857" w:rsidRDefault="00DE3857" w:rsidP="00DE3857">
      <w:pPr>
        <w:pStyle w:val="ListParagraph"/>
        <w:numPr>
          <w:ilvl w:val="0"/>
          <w:numId w:val="15"/>
        </w:numPr>
        <w:ind w:left="720"/>
      </w:pPr>
      <w:r>
        <w:t xml:space="preserve">Incorporated by reference from the registrant’s Current Report on Form 8-K filed </w:t>
      </w:r>
      <w:bookmarkEnd w:id="42"/>
      <w:r>
        <w:t>May 21, 2024.</w:t>
      </w:r>
    </w:p>
    <w:p w14:paraId="7DE48DE8" w14:textId="3BCCEDAF" w:rsidR="00DE3857" w:rsidRDefault="00DE3857" w:rsidP="00DE3857">
      <w:pPr>
        <w:pStyle w:val="ListParagraph"/>
        <w:numPr>
          <w:ilvl w:val="0"/>
          <w:numId w:val="15"/>
        </w:numPr>
        <w:ind w:left="720"/>
      </w:pPr>
      <w:r>
        <w:t>Incorporated by reference from the registrant’s Current Report on Form 8-K filed May 23, 2024.</w:t>
      </w:r>
    </w:p>
    <w:p w14:paraId="27C66A45" w14:textId="00F03EAC" w:rsidR="00DE3857" w:rsidRDefault="00DE3857" w:rsidP="00DE3857">
      <w:pPr>
        <w:pStyle w:val="ListParagraph"/>
        <w:numPr>
          <w:ilvl w:val="0"/>
          <w:numId w:val="15"/>
        </w:numPr>
        <w:ind w:left="720"/>
      </w:pPr>
      <w:r>
        <w:t>Incorporated by reference from the registrant’s Current Report on Form 8-K filed July 12, 2024.</w:t>
      </w:r>
    </w:p>
    <w:p w14:paraId="18AB680F" w14:textId="77777777" w:rsidR="002C10A3" w:rsidRDefault="002C10A3" w:rsidP="002C10A3"/>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79044820" w:rsidR="00BD6BBE" w:rsidRPr="001C6303" w:rsidRDefault="005277CB">
      <w:pPr>
        <w:tabs>
          <w:tab w:val="left" w:pos="720"/>
          <w:tab w:val="left" w:pos="5400"/>
          <w:tab w:val="center" w:pos="7380"/>
        </w:tabs>
      </w:pPr>
      <w:r w:rsidRPr="001C6303">
        <w:t>Date:</w:t>
      </w:r>
      <w:r w:rsidRPr="001C6303">
        <w:tab/>
      </w:r>
      <w:r w:rsidR="00CC6E70">
        <w:t xml:space="preserve">August </w:t>
      </w:r>
      <w:r w:rsidR="00E758EC">
        <w:t>6</w:t>
      </w:r>
      <w:r w:rsidR="006B43ED" w:rsidRPr="00CD5558">
        <w:t xml:space="preserve">, </w:t>
      </w:r>
      <w:proofErr w:type="gramStart"/>
      <w:r w:rsidR="006B43ED" w:rsidRPr="00CD5558">
        <w:t>20</w:t>
      </w:r>
      <w:r w:rsidR="00717940">
        <w:t>2</w:t>
      </w:r>
      <w:r w:rsidR="001F0A43">
        <w:t>4</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9"/>
      <w:headerReference w:type="default" r:id="rId30"/>
      <w:footerReference w:type="even" r:id="rId31"/>
      <w:footerReference w:type="default" r:id="rId32"/>
      <w:headerReference w:type="first" r:id="rId33"/>
      <w:footerReference w:type="first" r:id="rId34"/>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2717C" w14:textId="77777777" w:rsidR="008F0CD4" w:rsidRDefault="008F0CD4">
      <w:r>
        <w:separator/>
      </w:r>
    </w:p>
  </w:endnote>
  <w:endnote w:type="continuationSeparator" w:id="0">
    <w:p w14:paraId="2EB82905" w14:textId="77777777" w:rsidR="008F0CD4" w:rsidRDefault="008F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69B9A287" w:rsidR="005F4662" w:rsidRDefault="00EF6357" w:rsidP="003A5897">
    <w:pPr>
      <w:pStyle w:val="Footer"/>
    </w:pPr>
    <w:fldSimple w:instr=" DOCPROPERTY &quot;SWDocID&quot;  \* MERGEFORMAT ">
      <w:r w:rsidR="001869E7" w:rsidRPr="001869E7">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4FA721B1" w:rsidR="005F4662" w:rsidRDefault="00EF6357" w:rsidP="003A5897">
    <w:pPr>
      <w:pStyle w:val="Footer"/>
    </w:pPr>
    <w:fldSimple w:instr=" DOCPROPERTY &quot;SWDocID&quot;  \* MERGEFORMAT ">
      <w:r w:rsidR="001869E7" w:rsidRPr="001869E7">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42F4" w14:textId="77777777" w:rsidR="008F0CD4" w:rsidRDefault="008F0CD4">
      <w:r>
        <w:separator/>
      </w:r>
    </w:p>
  </w:footnote>
  <w:footnote w:type="continuationSeparator" w:id="0">
    <w:p w14:paraId="5155FB02" w14:textId="77777777" w:rsidR="008F0CD4" w:rsidRDefault="008F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D3264"/>
    <w:multiLevelType w:val="hybridMultilevel"/>
    <w:tmpl w:val="0B58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7068A"/>
    <w:multiLevelType w:val="hybridMultilevel"/>
    <w:tmpl w:val="9A9CFDA6"/>
    <w:lvl w:ilvl="0" w:tplc="78107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7"/>
  </w:num>
  <w:num w:numId="4" w16cid:durableId="31922999">
    <w:abstractNumId w:val="5"/>
  </w:num>
  <w:num w:numId="5" w16cid:durableId="583146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6"/>
  </w:num>
  <w:num w:numId="10" w16cid:durableId="1547378558">
    <w:abstractNumId w:val="12"/>
  </w:num>
  <w:num w:numId="11" w16cid:durableId="623535316">
    <w:abstractNumId w:val="9"/>
  </w:num>
  <w:num w:numId="12" w16cid:durableId="163017238">
    <w:abstractNumId w:val="11"/>
  </w:num>
  <w:num w:numId="13" w16cid:durableId="508300343">
    <w:abstractNumId w:val="8"/>
  </w:num>
  <w:num w:numId="14" w16cid:durableId="554894855">
    <w:abstractNumId w:val="4"/>
  </w:num>
  <w:num w:numId="15" w16cid:durableId="271296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3723"/>
    <w:rsid w:val="00034E07"/>
    <w:rsid w:val="00035313"/>
    <w:rsid w:val="000362E1"/>
    <w:rsid w:val="00036C2E"/>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50F2"/>
    <w:rsid w:val="00055C21"/>
    <w:rsid w:val="000563AC"/>
    <w:rsid w:val="0005774A"/>
    <w:rsid w:val="00057822"/>
    <w:rsid w:val="00060DB0"/>
    <w:rsid w:val="00061BE1"/>
    <w:rsid w:val="000644BC"/>
    <w:rsid w:val="00065002"/>
    <w:rsid w:val="000654AF"/>
    <w:rsid w:val="00065B02"/>
    <w:rsid w:val="00066C41"/>
    <w:rsid w:val="00066DD7"/>
    <w:rsid w:val="0007076D"/>
    <w:rsid w:val="00072810"/>
    <w:rsid w:val="000733A2"/>
    <w:rsid w:val="00074805"/>
    <w:rsid w:val="00074B67"/>
    <w:rsid w:val="00075378"/>
    <w:rsid w:val="00075B75"/>
    <w:rsid w:val="0007631A"/>
    <w:rsid w:val="00076ACC"/>
    <w:rsid w:val="00082209"/>
    <w:rsid w:val="0008274C"/>
    <w:rsid w:val="00085927"/>
    <w:rsid w:val="00086188"/>
    <w:rsid w:val="0008634B"/>
    <w:rsid w:val="00086A2F"/>
    <w:rsid w:val="000871E0"/>
    <w:rsid w:val="000877FE"/>
    <w:rsid w:val="00087841"/>
    <w:rsid w:val="00087E6E"/>
    <w:rsid w:val="00087F53"/>
    <w:rsid w:val="00090FF4"/>
    <w:rsid w:val="00094012"/>
    <w:rsid w:val="0009462E"/>
    <w:rsid w:val="000947D0"/>
    <w:rsid w:val="00095DD7"/>
    <w:rsid w:val="00096B1B"/>
    <w:rsid w:val="00096E33"/>
    <w:rsid w:val="00097B30"/>
    <w:rsid w:val="000A1F53"/>
    <w:rsid w:val="000A1FE7"/>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6FA0"/>
    <w:rsid w:val="000C70FD"/>
    <w:rsid w:val="000D0077"/>
    <w:rsid w:val="000D1244"/>
    <w:rsid w:val="000D15F1"/>
    <w:rsid w:val="000D175D"/>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B4D"/>
    <w:rsid w:val="000F57EC"/>
    <w:rsid w:val="000F5A92"/>
    <w:rsid w:val="000F6610"/>
    <w:rsid w:val="000F7274"/>
    <w:rsid w:val="000F74E2"/>
    <w:rsid w:val="001000F4"/>
    <w:rsid w:val="0010035E"/>
    <w:rsid w:val="00103160"/>
    <w:rsid w:val="00103750"/>
    <w:rsid w:val="001046B1"/>
    <w:rsid w:val="00105589"/>
    <w:rsid w:val="00105666"/>
    <w:rsid w:val="00105905"/>
    <w:rsid w:val="00106DDC"/>
    <w:rsid w:val="00106E6F"/>
    <w:rsid w:val="0010791D"/>
    <w:rsid w:val="0011067F"/>
    <w:rsid w:val="00110954"/>
    <w:rsid w:val="00110E4D"/>
    <w:rsid w:val="00110F05"/>
    <w:rsid w:val="001112D9"/>
    <w:rsid w:val="001113CE"/>
    <w:rsid w:val="001115AD"/>
    <w:rsid w:val="0011183F"/>
    <w:rsid w:val="0011396A"/>
    <w:rsid w:val="00114043"/>
    <w:rsid w:val="001142B0"/>
    <w:rsid w:val="001157CC"/>
    <w:rsid w:val="00115A56"/>
    <w:rsid w:val="001162A8"/>
    <w:rsid w:val="001166A1"/>
    <w:rsid w:val="00116DAF"/>
    <w:rsid w:val="00117869"/>
    <w:rsid w:val="001179AC"/>
    <w:rsid w:val="0012093F"/>
    <w:rsid w:val="00121A58"/>
    <w:rsid w:val="00124E8B"/>
    <w:rsid w:val="00125121"/>
    <w:rsid w:val="001254C5"/>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2824"/>
    <w:rsid w:val="00154A23"/>
    <w:rsid w:val="00154F2C"/>
    <w:rsid w:val="00155130"/>
    <w:rsid w:val="001568E0"/>
    <w:rsid w:val="0016039E"/>
    <w:rsid w:val="001608A4"/>
    <w:rsid w:val="00161492"/>
    <w:rsid w:val="001615D5"/>
    <w:rsid w:val="00161A28"/>
    <w:rsid w:val="0016206A"/>
    <w:rsid w:val="00162B50"/>
    <w:rsid w:val="001630D7"/>
    <w:rsid w:val="0016377E"/>
    <w:rsid w:val="00163782"/>
    <w:rsid w:val="0016519B"/>
    <w:rsid w:val="001653A6"/>
    <w:rsid w:val="0016579D"/>
    <w:rsid w:val="00165DE5"/>
    <w:rsid w:val="001664F3"/>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9E7"/>
    <w:rsid w:val="00186BCA"/>
    <w:rsid w:val="0018726D"/>
    <w:rsid w:val="001876CF"/>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97F88"/>
    <w:rsid w:val="001A0482"/>
    <w:rsid w:val="001A141C"/>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68E3"/>
    <w:rsid w:val="001C7065"/>
    <w:rsid w:val="001C7C53"/>
    <w:rsid w:val="001D44D7"/>
    <w:rsid w:val="001D476C"/>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0A43"/>
    <w:rsid w:val="001F0B93"/>
    <w:rsid w:val="001F2008"/>
    <w:rsid w:val="001F251F"/>
    <w:rsid w:val="001F2E8C"/>
    <w:rsid w:val="001F62EC"/>
    <w:rsid w:val="001F6F90"/>
    <w:rsid w:val="001F7F86"/>
    <w:rsid w:val="002024CE"/>
    <w:rsid w:val="002025C3"/>
    <w:rsid w:val="00202BAB"/>
    <w:rsid w:val="0020331B"/>
    <w:rsid w:val="0020425C"/>
    <w:rsid w:val="002048CA"/>
    <w:rsid w:val="00205913"/>
    <w:rsid w:val="002059C0"/>
    <w:rsid w:val="00205B29"/>
    <w:rsid w:val="002072C5"/>
    <w:rsid w:val="00211117"/>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2DA3"/>
    <w:rsid w:val="002239C8"/>
    <w:rsid w:val="00223A0E"/>
    <w:rsid w:val="0022458D"/>
    <w:rsid w:val="00224660"/>
    <w:rsid w:val="0022515F"/>
    <w:rsid w:val="002254C4"/>
    <w:rsid w:val="0022561F"/>
    <w:rsid w:val="002259F1"/>
    <w:rsid w:val="002260F6"/>
    <w:rsid w:val="00226729"/>
    <w:rsid w:val="002300D1"/>
    <w:rsid w:val="00231346"/>
    <w:rsid w:val="00231AD7"/>
    <w:rsid w:val="00234C34"/>
    <w:rsid w:val="00234F72"/>
    <w:rsid w:val="00235CCA"/>
    <w:rsid w:val="00236AFC"/>
    <w:rsid w:val="00237166"/>
    <w:rsid w:val="00237A64"/>
    <w:rsid w:val="00237AEE"/>
    <w:rsid w:val="0024014D"/>
    <w:rsid w:val="002401F7"/>
    <w:rsid w:val="00240B57"/>
    <w:rsid w:val="00241293"/>
    <w:rsid w:val="00243245"/>
    <w:rsid w:val="0024365D"/>
    <w:rsid w:val="0024386A"/>
    <w:rsid w:val="00243F27"/>
    <w:rsid w:val="00244A54"/>
    <w:rsid w:val="00244F17"/>
    <w:rsid w:val="00245CAF"/>
    <w:rsid w:val="00245E4D"/>
    <w:rsid w:val="00246876"/>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1A9E"/>
    <w:rsid w:val="00262FED"/>
    <w:rsid w:val="00263DE8"/>
    <w:rsid w:val="00263E8F"/>
    <w:rsid w:val="00263F3A"/>
    <w:rsid w:val="00264164"/>
    <w:rsid w:val="00264347"/>
    <w:rsid w:val="002648E3"/>
    <w:rsid w:val="00264F2B"/>
    <w:rsid w:val="00265232"/>
    <w:rsid w:val="00265917"/>
    <w:rsid w:val="00265FE0"/>
    <w:rsid w:val="002666CA"/>
    <w:rsid w:val="002703B5"/>
    <w:rsid w:val="00270616"/>
    <w:rsid w:val="00270FAD"/>
    <w:rsid w:val="0027114F"/>
    <w:rsid w:val="00271E59"/>
    <w:rsid w:val="00272B03"/>
    <w:rsid w:val="00272B87"/>
    <w:rsid w:val="00272BE3"/>
    <w:rsid w:val="00272D9F"/>
    <w:rsid w:val="00273176"/>
    <w:rsid w:val="00273F9E"/>
    <w:rsid w:val="002747DD"/>
    <w:rsid w:val="00276836"/>
    <w:rsid w:val="00276CF2"/>
    <w:rsid w:val="00277679"/>
    <w:rsid w:val="00277C53"/>
    <w:rsid w:val="00277F5A"/>
    <w:rsid w:val="00280782"/>
    <w:rsid w:val="00281A30"/>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08"/>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0F29"/>
    <w:rsid w:val="002C10A3"/>
    <w:rsid w:val="002C15DA"/>
    <w:rsid w:val="002C1FD0"/>
    <w:rsid w:val="002C26C7"/>
    <w:rsid w:val="002C446F"/>
    <w:rsid w:val="002C4612"/>
    <w:rsid w:val="002C47DA"/>
    <w:rsid w:val="002C503A"/>
    <w:rsid w:val="002C59EC"/>
    <w:rsid w:val="002C5CCD"/>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1EA"/>
    <w:rsid w:val="002E3235"/>
    <w:rsid w:val="002E3CAF"/>
    <w:rsid w:val="002E449A"/>
    <w:rsid w:val="002E4A22"/>
    <w:rsid w:val="002E4FAF"/>
    <w:rsid w:val="002E5D06"/>
    <w:rsid w:val="002E6738"/>
    <w:rsid w:val="002E74EF"/>
    <w:rsid w:val="002E7E14"/>
    <w:rsid w:val="002F05B7"/>
    <w:rsid w:val="002F0916"/>
    <w:rsid w:val="002F1439"/>
    <w:rsid w:val="002F1B97"/>
    <w:rsid w:val="002F3AA2"/>
    <w:rsid w:val="002F3BEB"/>
    <w:rsid w:val="002F42A3"/>
    <w:rsid w:val="002F53D1"/>
    <w:rsid w:val="002F5496"/>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21A"/>
    <w:rsid w:val="00314494"/>
    <w:rsid w:val="00315051"/>
    <w:rsid w:val="003161F3"/>
    <w:rsid w:val="00316911"/>
    <w:rsid w:val="00316ABB"/>
    <w:rsid w:val="003179B8"/>
    <w:rsid w:val="00317F50"/>
    <w:rsid w:val="00320832"/>
    <w:rsid w:val="00320C55"/>
    <w:rsid w:val="00320EAE"/>
    <w:rsid w:val="0032202F"/>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0DE3"/>
    <w:rsid w:val="0034105B"/>
    <w:rsid w:val="0034148D"/>
    <w:rsid w:val="00342196"/>
    <w:rsid w:val="00343765"/>
    <w:rsid w:val="003441A0"/>
    <w:rsid w:val="00344350"/>
    <w:rsid w:val="00344595"/>
    <w:rsid w:val="00344EA6"/>
    <w:rsid w:val="003467A5"/>
    <w:rsid w:val="00346823"/>
    <w:rsid w:val="0034697D"/>
    <w:rsid w:val="0034732B"/>
    <w:rsid w:val="0034752F"/>
    <w:rsid w:val="003477BD"/>
    <w:rsid w:val="0035003D"/>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1012"/>
    <w:rsid w:val="003615B2"/>
    <w:rsid w:val="00361F10"/>
    <w:rsid w:val="0036368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6CCA"/>
    <w:rsid w:val="00387105"/>
    <w:rsid w:val="00387333"/>
    <w:rsid w:val="00387D5C"/>
    <w:rsid w:val="00391F19"/>
    <w:rsid w:val="0039222C"/>
    <w:rsid w:val="0039241A"/>
    <w:rsid w:val="003927C1"/>
    <w:rsid w:val="00392899"/>
    <w:rsid w:val="0039294F"/>
    <w:rsid w:val="00394160"/>
    <w:rsid w:val="00394451"/>
    <w:rsid w:val="003944F2"/>
    <w:rsid w:val="0039467E"/>
    <w:rsid w:val="00395F83"/>
    <w:rsid w:val="00396286"/>
    <w:rsid w:val="003963E0"/>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624"/>
    <w:rsid w:val="003C6B64"/>
    <w:rsid w:val="003C6B8A"/>
    <w:rsid w:val="003C73D3"/>
    <w:rsid w:val="003C7AF0"/>
    <w:rsid w:val="003D0372"/>
    <w:rsid w:val="003D0FFF"/>
    <w:rsid w:val="003D173F"/>
    <w:rsid w:val="003D2CA5"/>
    <w:rsid w:val="003D3EA8"/>
    <w:rsid w:val="003D45FB"/>
    <w:rsid w:val="003D5252"/>
    <w:rsid w:val="003D663A"/>
    <w:rsid w:val="003D6A75"/>
    <w:rsid w:val="003D719E"/>
    <w:rsid w:val="003E2267"/>
    <w:rsid w:val="003E2B17"/>
    <w:rsid w:val="003E425C"/>
    <w:rsid w:val="003E4563"/>
    <w:rsid w:val="003E4B17"/>
    <w:rsid w:val="003E4BC5"/>
    <w:rsid w:val="003E4CAD"/>
    <w:rsid w:val="003E5086"/>
    <w:rsid w:val="003E6788"/>
    <w:rsid w:val="003E67B3"/>
    <w:rsid w:val="003E7124"/>
    <w:rsid w:val="003E7450"/>
    <w:rsid w:val="003F3C5A"/>
    <w:rsid w:val="003F3F98"/>
    <w:rsid w:val="003F4F6C"/>
    <w:rsid w:val="003F5257"/>
    <w:rsid w:val="003F664C"/>
    <w:rsid w:val="003F6C32"/>
    <w:rsid w:val="003F7E05"/>
    <w:rsid w:val="00400247"/>
    <w:rsid w:val="004008BE"/>
    <w:rsid w:val="004008E8"/>
    <w:rsid w:val="00400AFE"/>
    <w:rsid w:val="00400D6F"/>
    <w:rsid w:val="0040231A"/>
    <w:rsid w:val="00402A8F"/>
    <w:rsid w:val="00403122"/>
    <w:rsid w:val="004034E9"/>
    <w:rsid w:val="00404CBC"/>
    <w:rsid w:val="00405129"/>
    <w:rsid w:val="0040627F"/>
    <w:rsid w:val="00407464"/>
    <w:rsid w:val="004075BE"/>
    <w:rsid w:val="00411635"/>
    <w:rsid w:val="0041180F"/>
    <w:rsid w:val="00411BD1"/>
    <w:rsid w:val="004140BF"/>
    <w:rsid w:val="00414ADC"/>
    <w:rsid w:val="004203C0"/>
    <w:rsid w:val="00420D59"/>
    <w:rsid w:val="004218DC"/>
    <w:rsid w:val="004223D8"/>
    <w:rsid w:val="00423C1B"/>
    <w:rsid w:val="00425B36"/>
    <w:rsid w:val="00425BBF"/>
    <w:rsid w:val="00427848"/>
    <w:rsid w:val="00427CB9"/>
    <w:rsid w:val="004332CF"/>
    <w:rsid w:val="0043364F"/>
    <w:rsid w:val="00433E3C"/>
    <w:rsid w:val="0043475C"/>
    <w:rsid w:val="004351C7"/>
    <w:rsid w:val="00435288"/>
    <w:rsid w:val="004357D8"/>
    <w:rsid w:val="00435BCD"/>
    <w:rsid w:val="00435FCE"/>
    <w:rsid w:val="00436318"/>
    <w:rsid w:val="00436B74"/>
    <w:rsid w:val="0043702E"/>
    <w:rsid w:val="00437A00"/>
    <w:rsid w:val="00440A64"/>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923"/>
    <w:rsid w:val="00457C00"/>
    <w:rsid w:val="00460775"/>
    <w:rsid w:val="004612F7"/>
    <w:rsid w:val="00462439"/>
    <w:rsid w:val="0046257C"/>
    <w:rsid w:val="0046273F"/>
    <w:rsid w:val="0046286C"/>
    <w:rsid w:val="00462D62"/>
    <w:rsid w:val="00463064"/>
    <w:rsid w:val="00463FB7"/>
    <w:rsid w:val="004640D8"/>
    <w:rsid w:val="00464623"/>
    <w:rsid w:val="00464893"/>
    <w:rsid w:val="004652C0"/>
    <w:rsid w:val="00466C11"/>
    <w:rsid w:val="00467265"/>
    <w:rsid w:val="004672D4"/>
    <w:rsid w:val="00470774"/>
    <w:rsid w:val="0047335B"/>
    <w:rsid w:val="00474127"/>
    <w:rsid w:val="00475DE6"/>
    <w:rsid w:val="00477F76"/>
    <w:rsid w:val="0048157D"/>
    <w:rsid w:val="00482106"/>
    <w:rsid w:val="004821FA"/>
    <w:rsid w:val="0048252D"/>
    <w:rsid w:val="00483834"/>
    <w:rsid w:val="00483B91"/>
    <w:rsid w:val="00483E00"/>
    <w:rsid w:val="00484A73"/>
    <w:rsid w:val="00484BB3"/>
    <w:rsid w:val="00484BB9"/>
    <w:rsid w:val="00485558"/>
    <w:rsid w:val="0048591D"/>
    <w:rsid w:val="00486466"/>
    <w:rsid w:val="004866E4"/>
    <w:rsid w:val="00486728"/>
    <w:rsid w:val="00487CAB"/>
    <w:rsid w:val="004901C9"/>
    <w:rsid w:val="004905B9"/>
    <w:rsid w:val="00491083"/>
    <w:rsid w:val="00493BB7"/>
    <w:rsid w:val="00493E48"/>
    <w:rsid w:val="00494FDD"/>
    <w:rsid w:val="00495FB2"/>
    <w:rsid w:val="0049614B"/>
    <w:rsid w:val="00496902"/>
    <w:rsid w:val="004A028C"/>
    <w:rsid w:val="004A02F2"/>
    <w:rsid w:val="004A0507"/>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179D"/>
    <w:rsid w:val="004C3FBC"/>
    <w:rsid w:val="004C5060"/>
    <w:rsid w:val="004C570D"/>
    <w:rsid w:val="004C5EF1"/>
    <w:rsid w:val="004C6488"/>
    <w:rsid w:val="004C6572"/>
    <w:rsid w:val="004C77EE"/>
    <w:rsid w:val="004D1CDF"/>
    <w:rsid w:val="004D2502"/>
    <w:rsid w:val="004D27B4"/>
    <w:rsid w:val="004D285A"/>
    <w:rsid w:val="004D2A78"/>
    <w:rsid w:val="004D2E2F"/>
    <w:rsid w:val="004D40D8"/>
    <w:rsid w:val="004D43DB"/>
    <w:rsid w:val="004D5228"/>
    <w:rsid w:val="004D5835"/>
    <w:rsid w:val="004D58F1"/>
    <w:rsid w:val="004D5F4F"/>
    <w:rsid w:val="004D61A5"/>
    <w:rsid w:val="004D6825"/>
    <w:rsid w:val="004D6F0F"/>
    <w:rsid w:val="004D6F55"/>
    <w:rsid w:val="004D78A3"/>
    <w:rsid w:val="004E07F6"/>
    <w:rsid w:val="004E11CB"/>
    <w:rsid w:val="004E206D"/>
    <w:rsid w:val="004E21C8"/>
    <w:rsid w:val="004E2C15"/>
    <w:rsid w:val="004E3374"/>
    <w:rsid w:val="004E3B36"/>
    <w:rsid w:val="004E564C"/>
    <w:rsid w:val="004E5BEA"/>
    <w:rsid w:val="004E5E4C"/>
    <w:rsid w:val="004F2810"/>
    <w:rsid w:val="004F2FF4"/>
    <w:rsid w:val="004F479E"/>
    <w:rsid w:val="004F529E"/>
    <w:rsid w:val="004F57D4"/>
    <w:rsid w:val="004F596C"/>
    <w:rsid w:val="004F6699"/>
    <w:rsid w:val="004F6B5D"/>
    <w:rsid w:val="004F7572"/>
    <w:rsid w:val="005003DA"/>
    <w:rsid w:val="0050175E"/>
    <w:rsid w:val="00501EEA"/>
    <w:rsid w:val="00502134"/>
    <w:rsid w:val="005024A5"/>
    <w:rsid w:val="005024F5"/>
    <w:rsid w:val="00502870"/>
    <w:rsid w:val="005036D4"/>
    <w:rsid w:val="00504189"/>
    <w:rsid w:val="00504E21"/>
    <w:rsid w:val="00506C8E"/>
    <w:rsid w:val="00507645"/>
    <w:rsid w:val="00507DB9"/>
    <w:rsid w:val="00507FFA"/>
    <w:rsid w:val="005105AA"/>
    <w:rsid w:val="005105D4"/>
    <w:rsid w:val="00511410"/>
    <w:rsid w:val="0051605E"/>
    <w:rsid w:val="00516556"/>
    <w:rsid w:val="0051766F"/>
    <w:rsid w:val="005177BD"/>
    <w:rsid w:val="005213AC"/>
    <w:rsid w:val="00521F32"/>
    <w:rsid w:val="005220C7"/>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0D10"/>
    <w:rsid w:val="00560D6A"/>
    <w:rsid w:val="00561271"/>
    <w:rsid w:val="0056383C"/>
    <w:rsid w:val="005641C0"/>
    <w:rsid w:val="00565257"/>
    <w:rsid w:val="005652BD"/>
    <w:rsid w:val="00565650"/>
    <w:rsid w:val="0056581D"/>
    <w:rsid w:val="00565A68"/>
    <w:rsid w:val="005661A8"/>
    <w:rsid w:val="0057050B"/>
    <w:rsid w:val="00572656"/>
    <w:rsid w:val="005731CC"/>
    <w:rsid w:val="005737C3"/>
    <w:rsid w:val="0057490D"/>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3B1"/>
    <w:rsid w:val="00586B72"/>
    <w:rsid w:val="00587925"/>
    <w:rsid w:val="005879BD"/>
    <w:rsid w:val="005903E6"/>
    <w:rsid w:val="00590AFC"/>
    <w:rsid w:val="00590DBA"/>
    <w:rsid w:val="005916C0"/>
    <w:rsid w:val="005922F5"/>
    <w:rsid w:val="00593889"/>
    <w:rsid w:val="00593EB6"/>
    <w:rsid w:val="00594438"/>
    <w:rsid w:val="00595E6C"/>
    <w:rsid w:val="005A0080"/>
    <w:rsid w:val="005A04E5"/>
    <w:rsid w:val="005A0E70"/>
    <w:rsid w:val="005A1611"/>
    <w:rsid w:val="005A1716"/>
    <w:rsid w:val="005A2265"/>
    <w:rsid w:val="005A4699"/>
    <w:rsid w:val="005A4977"/>
    <w:rsid w:val="005B043B"/>
    <w:rsid w:val="005B092C"/>
    <w:rsid w:val="005B12C6"/>
    <w:rsid w:val="005B1AC2"/>
    <w:rsid w:val="005B3E3F"/>
    <w:rsid w:val="005B4AEA"/>
    <w:rsid w:val="005B4FAC"/>
    <w:rsid w:val="005B58B3"/>
    <w:rsid w:val="005B5C43"/>
    <w:rsid w:val="005B61C4"/>
    <w:rsid w:val="005B66C6"/>
    <w:rsid w:val="005B6CD8"/>
    <w:rsid w:val="005B6EF5"/>
    <w:rsid w:val="005B70E8"/>
    <w:rsid w:val="005B7AA7"/>
    <w:rsid w:val="005B7D6F"/>
    <w:rsid w:val="005B7E33"/>
    <w:rsid w:val="005C048B"/>
    <w:rsid w:val="005C04A2"/>
    <w:rsid w:val="005C1072"/>
    <w:rsid w:val="005C1E20"/>
    <w:rsid w:val="005C202D"/>
    <w:rsid w:val="005C3311"/>
    <w:rsid w:val="005C39B1"/>
    <w:rsid w:val="005C5025"/>
    <w:rsid w:val="005C5156"/>
    <w:rsid w:val="005C6958"/>
    <w:rsid w:val="005D0043"/>
    <w:rsid w:val="005D00F1"/>
    <w:rsid w:val="005D043E"/>
    <w:rsid w:val="005D1183"/>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1378"/>
    <w:rsid w:val="005F2FF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4F"/>
    <w:rsid w:val="006061C7"/>
    <w:rsid w:val="0060682C"/>
    <w:rsid w:val="00607593"/>
    <w:rsid w:val="006079E6"/>
    <w:rsid w:val="00610322"/>
    <w:rsid w:val="00611672"/>
    <w:rsid w:val="006118A2"/>
    <w:rsid w:val="00611AB1"/>
    <w:rsid w:val="00611DD6"/>
    <w:rsid w:val="00611EE5"/>
    <w:rsid w:val="006125DE"/>
    <w:rsid w:val="00612B10"/>
    <w:rsid w:val="00612DF9"/>
    <w:rsid w:val="0061314E"/>
    <w:rsid w:val="006156EA"/>
    <w:rsid w:val="00616ABC"/>
    <w:rsid w:val="00616C12"/>
    <w:rsid w:val="00617734"/>
    <w:rsid w:val="006201DA"/>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378DE"/>
    <w:rsid w:val="00637BD4"/>
    <w:rsid w:val="00640348"/>
    <w:rsid w:val="00643C50"/>
    <w:rsid w:val="00643C84"/>
    <w:rsid w:val="00644067"/>
    <w:rsid w:val="00644156"/>
    <w:rsid w:val="006446F0"/>
    <w:rsid w:val="006449CF"/>
    <w:rsid w:val="00644AFF"/>
    <w:rsid w:val="006451A1"/>
    <w:rsid w:val="00645F0E"/>
    <w:rsid w:val="00646219"/>
    <w:rsid w:val="00646565"/>
    <w:rsid w:val="00646E48"/>
    <w:rsid w:val="00647403"/>
    <w:rsid w:val="00647548"/>
    <w:rsid w:val="00647C06"/>
    <w:rsid w:val="00647C66"/>
    <w:rsid w:val="00650E77"/>
    <w:rsid w:val="0065342E"/>
    <w:rsid w:val="006537DA"/>
    <w:rsid w:val="00653E5F"/>
    <w:rsid w:val="006546CE"/>
    <w:rsid w:val="006567BB"/>
    <w:rsid w:val="0065681E"/>
    <w:rsid w:val="00657F33"/>
    <w:rsid w:val="00661976"/>
    <w:rsid w:val="00662C05"/>
    <w:rsid w:val="00663CBB"/>
    <w:rsid w:val="00664EEA"/>
    <w:rsid w:val="00665232"/>
    <w:rsid w:val="00665612"/>
    <w:rsid w:val="0066567A"/>
    <w:rsid w:val="00665E82"/>
    <w:rsid w:val="006660DA"/>
    <w:rsid w:val="00666C4F"/>
    <w:rsid w:val="00670736"/>
    <w:rsid w:val="006728D8"/>
    <w:rsid w:val="00672EE4"/>
    <w:rsid w:val="006734BC"/>
    <w:rsid w:val="00673612"/>
    <w:rsid w:val="00673ADB"/>
    <w:rsid w:val="006749F1"/>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90BE6"/>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6B3F"/>
    <w:rsid w:val="006A70C4"/>
    <w:rsid w:val="006B08CC"/>
    <w:rsid w:val="006B0CFA"/>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483D"/>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1E4"/>
    <w:rsid w:val="006E04EF"/>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3CA8"/>
    <w:rsid w:val="00705F16"/>
    <w:rsid w:val="00707130"/>
    <w:rsid w:val="00707A22"/>
    <w:rsid w:val="00710777"/>
    <w:rsid w:val="00712CE1"/>
    <w:rsid w:val="0071419A"/>
    <w:rsid w:val="00715260"/>
    <w:rsid w:val="007153E3"/>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27CF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5E1"/>
    <w:rsid w:val="00743CB7"/>
    <w:rsid w:val="0074461A"/>
    <w:rsid w:val="00745277"/>
    <w:rsid w:val="0074681A"/>
    <w:rsid w:val="00747B76"/>
    <w:rsid w:val="00747E9C"/>
    <w:rsid w:val="00747F31"/>
    <w:rsid w:val="007517D7"/>
    <w:rsid w:val="007536E4"/>
    <w:rsid w:val="0075396C"/>
    <w:rsid w:val="00753C4E"/>
    <w:rsid w:val="007544BA"/>
    <w:rsid w:val="00754655"/>
    <w:rsid w:val="007558A2"/>
    <w:rsid w:val="00755A34"/>
    <w:rsid w:val="00756B6F"/>
    <w:rsid w:val="00757775"/>
    <w:rsid w:val="00761288"/>
    <w:rsid w:val="00761C9F"/>
    <w:rsid w:val="00761DCE"/>
    <w:rsid w:val="00762AA1"/>
    <w:rsid w:val="007636B6"/>
    <w:rsid w:val="00763BFE"/>
    <w:rsid w:val="007640CB"/>
    <w:rsid w:val="007649AE"/>
    <w:rsid w:val="007653A2"/>
    <w:rsid w:val="0076600A"/>
    <w:rsid w:val="007662C7"/>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2FEB"/>
    <w:rsid w:val="007748E2"/>
    <w:rsid w:val="00775911"/>
    <w:rsid w:val="00775D2C"/>
    <w:rsid w:val="00775DD0"/>
    <w:rsid w:val="00775E8C"/>
    <w:rsid w:val="0077636A"/>
    <w:rsid w:val="007764D3"/>
    <w:rsid w:val="007814FB"/>
    <w:rsid w:val="007824B8"/>
    <w:rsid w:val="00782840"/>
    <w:rsid w:val="00782D41"/>
    <w:rsid w:val="0078469E"/>
    <w:rsid w:val="007852C5"/>
    <w:rsid w:val="00785361"/>
    <w:rsid w:val="007875CC"/>
    <w:rsid w:val="00790130"/>
    <w:rsid w:val="0079064B"/>
    <w:rsid w:val="00791546"/>
    <w:rsid w:val="00791C84"/>
    <w:rsid w:val="00792866"/>
    <w:rsid w:val="007933DC"/>
    <w:rsid w:val="00793844"/>
    <w:rsid w:val="00793CD5"/>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3798"/>
    <w:rsid w:val="007B4115"/>
    <w:rsid w:val="007B42FD"/>
    <w:rsid w:val="007B4479"/>
    <w:rsid w:val="007B4D3B"/>
    <w:rsid w:val="007B503B"/>
    <w:rsid w:val="007B7A5C"/>
    <w:rsid w:val="007C1630"/>
    <w:rsid w:val="007C1911"/>
    <w:rsid w:val="007C3197"/>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502"/>
    <w:rsid w:val="007E686F"/>
    <w:rsid w:val="007E6C75"/>
    <w:rsid w:val="007E7A7F"/>
    <w:rsid w:val="007E7E46"/>
    <w:rsid w:val="007F0597"/>
    <w:rsid w:val="007F1159"/>
    <w:rsid w:val="007F2C9F"/>
    <w:rsid w:val="007F35C2"/>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57D"/>
    <w:rsid w:val="00812E86"/>
    <w:rsid w:val="0081350C"/>
    <w:rsid w:val="00815F96"/>
    <w:rsid w:val="0081657E"/>
    <w:rsid w:val="00816946"/>
    <w:rsid w:val="00816DB9"/>
    <w:rsid w:val="008203CD"/>
    <w:rsid w:val="0082111B"/>
    <w:rsid w:val="00821C02"/>
    <w:rsid w:val="008235C7"/>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47A94"/>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7A2"/>
    <w:rsid w:val="008637C6"/>
    <w:rsid w:val="0086394E"/>
    <w:rsid w:val="0086541A"/>
    <w:rsid w:val="00865E4A"/>
    <w:rsid w:val="00865FB3"/>
    <w:rsid w:val="00866611"/>
    <w:rsid w:val="00866755"/>
    <w:rsid w:val="008678E6"/>
    <w:rsid w:val="00867A8D"/>
    <w:rsid w:val="00867ACE"/>
    <w:rsid w:val="00867B5A"/>
    <w:rsid w:val="008705CB"/>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0B89"/>
    <w:rsid w:val="008918DD"/>
    <w:rsid w:val="00893C62"/>
    <w:rsid w:val="00894076"/>
    <w:rsid w:val="0089545E"/>
    <w:rsid w:val="0089572B"/>
    <w:rsid w:val="00895DC9"/>
    <w:rsid w:val="00897792"/>
    <w:rsid w:val="008A10DA"/>
    <w:rsid w:val="008A2914"/>
    <w:rsid w:val="008A2924"/>
    <w:rsid w:val="008A47E2"/>
    <w:rsid w:val="008A6515"/>
    <w:rsid w:val="008A721C"/>
    <w:rsid w:val="008B0E39"/>
    <w:rsid w:val="008B1C1E"/>
    <w:rsid w:val="008B1FC2"/>
    <w:rsid w:val="008B2A13"/>
    <w:rsid w:val="008B321B"/>
    <w:rsid w:val="008B3D62"/>
    <w:rsid w:val="008B47AA"/>
    <w:rsid w:val="008B577D"/>
    <w:rsid w:val="008B66A9"/>
    <w:rsid w:val="008B7143"/>
    <w:rsid w:val="008B7315"/>
    <w:rsid w:val="008C0026"/>
    <w:rsid w:val="008C0ABC"/>
    <w:rsid w:val="008C1886"/>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5E1C"/>
    <w:rsid w:val="008D6655"/>
    <w:rsid w:val="008D6989"/>
    <w:rsid w:val="008D6A94"/>
    <w:rsid w:val="008D6DD7"/>
    <w:rsid w:val="008D72F6"/>
    <w:rsid w:val="008E03A9"/>
    <w:rsid w:val="008E074D"/>
    <w:rsid w:val="008E1242"/>
    <w:rsid w:val="008E1DB8"/>
    <w:rsid w:val="008E1E89"/>
    <w:rsid w:val="008E1FE0"/>
    <w:rsid w:val="008E2AD3"/>
    <w:rsid w:val="008E4766"/>
    <w:rsid w:val="008E4BA9"/>
    <w:rsid w:val="008E55C8"/>
    <w:rsid w:val="008E5C1D"/>
    <w:rsid w:val="008E660A"/>
    <w:rsid w:val="008E6CE7"/>
    <w:rsid w:val="008E7234"/>
    <w:rsid w:val="008E7552"/>
    <w:rsid w:val="008E7767"/>
    <w:rsid w:val="008E7DBC"/>
    <w:rsid w:val="008F088E"/>
    <w:rsid w:val="008F0CD4"/>
    <w:rsid w:val="008F1269"/>
    <w:rsid w:val="008F2D01"/>
    <w:rsid w:val="008F3451"/>
    <w:rsid w:val="008F3719"/>
    <w:rsid w:val="008F465E"/>
    <w:rsid w:val="008F524C"/>
    <w:rsid w:val="008F636C"/>
    <w:rsid w:val="008F656F"/>
    <w:rsid w:val="008F7315"/>
    <w:rsid w:val="008F7CD9"/>
    <w:rsid w:val="008F7D8F"/>
    <w:rsid w:val="00900236"/>
    <w:rsid w:val="009006FB"/>
    <w:rsid w:val="00900739"/>
    <w:rsid w:val="0090075B"/>
    <w:rsid w:val="00902324"/>
    <w:rsid w:val="00902B26"/>
    <w:rsid w:val="00903566"/>
    <w:rsid w:val="00903CA5"/>
    <w:rsid w:val="0090404A"/>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9F7"/>
    <w:rsid w:val="00921A55"/>
    <w:rsid w:val="00925C68"/>
    <w:rsid w:val="00925E4B"/>
    <w:rsid w:val="00925FE3"/>
    <w:rsid w:val="009262BD"/>
    <w:rsid w:val="00931027"/>
    <w:rsid w:val="009312E9"/>
    <w:rsid w:val="009318C1"/>
    <w:rsid w:val="00931D38"/>
    <w:rsid w:val="00932F75"/>
    <w:rsid w:val="0093359E"/>
    <w:rsid w:val="009336A9"/>
    <w:rsid w:val="00933A2B"/>
    <w:rsid w:val="00933EC4"/>
    <w:rsid w:val="00934AC2"/>
    <w:rsid w:val="00934F25"/>
    <w:rsid w:val="0093581E"/>
    <w:rsid w:val="00936289"/>
    <w:rsid w:val="009369A2"/>
    <w:rsid w:val="00936A7F"/>
    <w:rsid w:val="009372F2"/>
    <w:rsid w:val="00937376"/>
    <w:rsid w:val="00937A3A"/>
    <w:rsid w:val="00937B1B"/>
    <w:rsid w:val="00937D81"/>
    <w:rsid w:val="00940623"/>
    <w:rsid w:val="00945742"/>
    <w:rsid w:val="009457C2"/>
    <w:rsid w:val="00945D31"/>
    <w:rsid w:val="00945DB9"/>
    <w:rsid w:val="0094630A"/>
    <w:rsid w:val="009465AC"/>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CF9"/>
    <w:rsid w:val="00970E88"/>
    <w:rsid w:val="0097181C"/>
    <w:rsid w:val="00972725"/>
    <w:rsid w:val="00972E8F"/>
    <w:rsid w:val="009736ED"/>
    <w:rsid w:val="00974832"/>
    <w:rsid w:val="009751BA"/>
    <w:rsid w:val="009761D8"/>
    <w:rsid w:val="009761F7"/>
    <w:rsid w:val="009765DD"/>
    <w:rsid w:val="009768F3"/>
    <w:rsid w:val="00976C24"/>
    <w:rsid w:val="00976D49"/>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08E5"/>
    <w:rsid w:val="009A09A6"/>
    <w:rsid w:val="009A443F"/>
    <w:rsid w:val="009A53FB"/>
    <w:rsid w:val="009A5B53"/>
    <w:rsid w:val="009A6954"/>
    <w:rsid w:val="009A733D"/>
    <w:rsid w:val="009B0697"/>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5872"/>
    <w:rsid w:val="009C6192"/>
    <w:rsid w:val="009C65DF"/>
    <w:rsid w:val="009C6CB0"/>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10B"/>
    <w:rsid w:val="009F79A0"/>
    <w:rsid w:val="00A003BF"/>
    <w:rsid w:val="00A0243B"/>
    <w:rsid w:val="00A024CE"/>
    <w:rsid w:val="00A03548"/>
    <w:rsid w:val="00A04E2D"/>
    <w:rsid w:val="00A05516"/>
    <w:rsid w:val="00A05EC1"/>
    <w:rsid w:val="00A069DA"/>
    <w:rsid w:val="00A07A94"/>
    <w:rsid w:val="00A111FB"/>
    <w:rsid w:val="00A12752"/>
    <w:rsid w:val="00A12E9E"/>
    <w:rsid w:val="00A13B10"/>
    <w:rsid w:val="00A13B22"/>
    <w:rsid w:val="00A14727"/>
    <w:rsid w:val="00A15BDB"/>
    <w:rsid w:val="00A16074"/>
    <w:rsid w:val="00A161F7"/>
    <w:rsid w:val="00A16AF6"/>
    <w:rsid w:val="00A16B79"/>
    <w:rsid w:val="00A170BC"/>
    <w:rsid w:val="00A17B7E"/>
    <w:rsid w:val="00A17F6B"/>
    <w:rsid w:val="00A2060E"/>
    <w:rsid w:val="00A20C5A"/>
    <w:rsid w:val="00A23B93"/>
    <w:rsid w:val="00A2408F"/>
    <w:rsid w:val="00A24968"/>
    <w:rsid w:val="00A2506B"/>
    <w:rsid w:val="00A25DA5"/>
    <w:rsid w:val="00A261B4"/>
    <w:rsid w:val="00A26E64"/>
    <w:rsid w:val="00A2738E"/>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5C6"/>
    <w:rsid w:val="00A41884"/>
    <w:rsid w:val="00A420E8"/>
    <w:rsid w:val="00A425E4"/>
    <w:rsid w:val="00A42963"/>
    <w:rsid w:val="00A43281"/>
    <w:rsid w:val="00A43563"/>
    <w:rsid w:val="00A4477E"/>
    <w:rsid w:val="00A4500B"/>
    <w:rsid w:val="00A4563F"/>
    <w:rsid w:val="00A459FF"/>
    <w:rsid w:val="00A4662D"/>
    <w:rsid w:val="00A47125"/>
    <w:rsid w:val="00A5303E"/>
    <w:rsid w:val="00A53156"/>
    <w:rsid w:val="00A531D3"/>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F10"/>
    <w:rsid w:val="00A707C8"/>
    <w:rsid w:val="00A71A83"/>
    <w:rsid w:val="00A73268"/>
    <w:rsid w:val="00A7437C"/>
    <w:rsid w:val="00A76736"/>
    <w:rsid w:val="00A8053D"/>
    <w:rsid w:val="00A8079E"/>
    <w:rsid w:val="00A80E0D"/>
    <w:rsid w:val="00A81221"/>
    <w:rsid w:val="00A82443"/>
    <w:rsid w:val="00A82773"/>
    <w:rsid w:val="00A8340F"/>
    <w:rsid w:val="00A83961"/>
    <w:rsid w:val="00A83EDC"/>
    <w:rsid w:val="00A840E6"/>
    <w:rsid w:val="00A8483B"/>
    <w:rsid w:val="00A85885"/>
    <w:rsid w:val="00A85DA0"/>
    <w:rsid w:val="00A871D2"/>
    <w:rsid w:val="00A87BFE"/>
    <w:rsid w:val="00A90048"/>
    <w:rsid w:val="00A902E0"/>
    <w:rsid w:val="00A905B6"/>
    <w:rsid w:val="00A920D8"/>
    <w:rsid w:val="00A95C7B"/>
    <w:rsid w:val="00A964EA"/>
    <w:rsid w:val="00A967B3"/>
    <w:rsid w:val="00A96B1A"/>
    <w:rsid w:val="00A97380"/>
    <w:rsid w:val="00A978F5"/>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525E"/>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306"/>
    <w:rsid w:val="00B26345"/>
    <w:rsid w:val="00B26669"/>
    <w:rsid w:val="00B26F93"/>
    <w:rsid w:val="00B275EC"/>
    <w:rsid w:val="00B27B9D"/>
    <w:rsid w:val="00B307CB"/>
    <w:rsid w:val="00B30CEA"/>
    <w:rsid w:val="00B3108A"/>
    <w:rsid w:val="00B31655"/>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5129"/>
    <w:rsid w:val="00B45FA4"/>
    <w:rsid w:val="00B47783"/>
    <w:rsid w:val="00B5070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6BCF"/>
    <w:rsid w:val="00B76E58"/>
    <w:rsid w:val="00B76FD4"/>
    <w:rsid w:val="00B80008"/>
    <w:rsid w:val="00B82609"/>
    <w:rsid w:val="00B830A8"/>
    <w:rsid w:val="00B83382"/>
    <w:rsid w:val="00B83C21"/>
    <w:rsid w:val="00B85BC7"/>
    <w:rsid w:val="00B903CF"/>
    <w:rsid w:val="00B90557"/>
    <w:rsid w:val="00B91E17"/>
    <w:rsid w:val="00B932CD"/>
    <w:rsid w:val="00B9332C"/>
    <w:rsid w:val="00B935E6"/>
    <w:rsid w:val="00B936FD"/>
    <w:rsid w:val="00B937D8"/>
    <w:rsid w:val="00B93C45"/>
    <w:rsid w:val="00B94BF2"/>
    <w:rsid w:val="00B94CBC"/>
    <w:rsid w:val="00B9502C"/>
    <w:rsid w:val="00B95ABE"/>
    <w:rsid w:val="00B95DE7"/>
    <w:rsid w:val="00B96105"/>
    <w:rsid w:val="00BA0CA6"/>
    <w:rsid w:val="00BA1860"/>
    <w:rsid w:val="00BA1C3C"/>
    <w:rsid w:val="00BA214E"/>
    <w:rsid w:val="00BA2A18"/>
    <w:rsid w:val="00BA32B9"/>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225F"/>
    <w:rsid w:val="00BB2F66"/>
    <w:rsid w:val="00BB4A62"/>
    <w:rsid w:val="00BB4C3B"/>
    <w:rsid w:val="00BB58AA"/>
    <w:rsid w:val="00BB5D3A"/>
    <w:rsid w:val="00BB5EC1"/>
    <w:rsid w:val="00BB64C9"/>
    <w:rsid w:val="00BB68A7"/>
    <w:rsid w:val="00BB70B1"/>
    <w:rsid w:val="00BB71A7"/>
    <w:rsid w:val="00BB750D"/>
    <w:rsid w:val="00BB7BD4"/>
    <w:rsid w:val="00BB7F5F"/>
    <w:rsid w:val="00BC1257"/>
    <w:rsid w:val="00BC1D08"/>
    <w:rsid w:val="00BC1F3E"/>
    <w:rsid w:val="00BC418A"/>
    <w:rsid w:val="00BC442B"/>
    <w:rsid w:val="00BC44C4"/>
    <w:rsid w:val="00BC4ACE"/>
    <w:rsid w:val="00BC4FC4"/>
    <w:rsid w:val="00BC59D3"/>
    <w:rsid w:val="00BC5C8C"/>
    <w:rsid w:val="00BC706D"/>
    <w:rsid w:val="00BC7464"/>
    <w:rsid w:val="00BD0DB6"/>
    <w:rsid w:val="00BD302A"/>
    <w:rsid w:val="00BD3259"/>
    <w:rsid w:val="00BD3C1C"/>
    <w:rsid w:val="00BD3C5A"/>
    <w:rsid w:val="00BD3EA9"/>
    <w:rsid w:val="00BD41FD"/>
    <w:rsid w:val="00BD4290"/>
    <w:rsid w:val="00BD52D4"/>
    <w:rsid w:val="00BD554F"/>
    <w:rsid w:val="00BD582B"/>
    <w:rsid w:val="00BD58A6"/>
    <w:rsid w:val="00BD6562"/>
    <w:rsid w:val="00BD6B81"/>
    <w:rsid w:val="00BD6BBE"/>
    <w:rsid w:val="00BD6C62"/>
    <w:rsid w:val="00BE070A"/>
    <w:rsid w:val="00BE1BAD"/>
    <w:rsid w:val="00BE2405"/>
    <w:rsid w:val="00BE2CA7"/>
    <w:rsid w:val="00BE2D3F"/>
    <w:rsid w:val="00BE4D94"/>
    <w:rsid w:val="00BE61F2"/>
    <w:rsid w:val="00BF0850"/>
    <w:rsid w:val="00BF311F"/>
    <w:rsid w:val="00BF4340"/>
    <w:rsid w:val="00BF664E"/>
    <w:rsid w:val="00BF72B7"/>
    <w:rsid w:val="00BF75A2"/>
    <w:rsid w:val="00BF79B1"/>
    <w:rsid w:val="00BF7DB7"/>
    <w:rsid w:val="00C01522"/>
    <w:rsid w:val="00C02C9D"/>
    <w:rsid w:val="00C0394C"/>
    <w:rsid w:val="00C03E0C"/>
    <w:rsid w:val="00C04945"/>
    <w:rsid w:val="00C05683"/>
    <w:rsid w:val="00C063E5"/>
    <w:rsid w:val="00C068B5"/>
    <w:rsid w:val="00C06DE2"/>
    <w:rsid w:val="00C07024"/>
    <w:rsid w:val="00C07381"/>
    <w:rsid w:val="00C07C60"/>
    <w:rsid w:val="00C10B3D"/>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799"/>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4257"/>
    <w:rsid w:val="00C34D64"/>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900"/>
    <w:rsid w:val="00C47B84"/>
    <w:rsid w:val="00C47E0F"/>
    <w:rsid w:val="00C500F1"/>
    <w:rsid w:val="00C5109F"/>
    <w:rsid w:val="00C5141A"/>
    <w:rsid w:val="00C520D6"/>
    <w:rsid w:val="00C52774"/>
    <w:rsid w:val="00C538B8"/>
    <w:rsid w:val="00C549DB"/>
    <w:rsid w:val="00C57864"/>
    <w:rsid w:val="00C6018F"/>
    <w:rsid w:val="00C606BA"/>
    <w:rsid w:val="00C608E2"/>
    <w:rsid w:val="00C615CA"/>
    <w:rsid w:val="00C64BCB"/>
    <w:rsid w:val="00C64F44"/>
    <w:rsid w:val="00C65F0F"/>
    <w:rsid w:val="00C662C0"/>
    <w:rsid w:val="00C66573"/>
    <w:rsid w:val="00C6672A"/>
    <w:rsid w:val="00C67C3F"/>
    <w:rsid w:val="00C67F29"/>
    <w:rsid w:val="00C72903"/>
    <w:rsid w:val="00C734E4"/>
    <w:rsid w:val="00C73A89"/>
    <w:rsid w:val="00C744F8"/>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96D"/>
    <w:rsid w:val="00C93B8F"/>
    <w:rsid w:val="00C94342"/>
    <w:rsid w:val="00C94A9A"/>
    <w:rsid w:val="00C94B67"/>
    <w:rsid w:val="00C9566C"/>
    <w:rsid w:val="00C968B2"/>
    <w:rsid w:val="00C96A0E"/>
    <w:rsid w:val="00C96CC7"/>
    <w:rsid w:val="00C97366"/>
    <w:rsid w:val="00C9747A"/>
    <w:rsid w:val="00CA27AE"/>
    <w:rsid w:val="00CA3018"/>
    <w:rsid w:val="00CA3F6F"/>
    <w:rsid w:val="00CA4B17"/>
    <w:rsid w:val="00CA560B"/>
    <w:rsid w:val="00CA5B5F"/>
    <w:rsid w:val="00CA5C79"/>
    <w:rsid w:val="00CA6DDA"/>
    <w:rsid w:val="00CA7549"/>
    <w:rsid w:val="00CA7960"/>
    <w:rsid w:val="00CB03AD"/>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082"/>
    <w:rsid w:val="00CC6D8F"/>
    <w:rsid w:val="00CC6E70"/>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0C17"/>
    <w:rsid w:val="00CE1FF4"/>
    <w:rsid w:val="00CE4269"/>
    <w:rsid w:val="00CE53FC"/>
    <w:rsid w:val="00CE5648"/>
    <w:rsid w:val="00CE568B"/>
    <w:rsid w:val="00CE5C5E"/>
    <w:rsid w:val="00CE76CE"/>
    <w:rsid w:val="00CE7D72"/>
    <w:rsid w:val="00CF03B6"/>
    <w:rsid w:val="00CF1375"/>
    <w:rsid w:val="00CF3A57"/>
    <w:rsid w:val="00CF4185"/>
    <w:rsid w:val="00CF4280"/>
    <w:rsid w:val="00CF5635"/>
    <w:rsid w:val="00CF588B"/>
    <w:rsid w:val="00CF5C51"/>
    <w:rsid w:val="00CF5DFF"/>
    <w:rsid w:val="00CF6943"/>
    <w:rsid w:val="00CF71E6"/>
    <w:rsid w:val="00CF7B2B"/>
    <w:rsid w:val="00CF7D03"/>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539D"/>
    <w:rsid w:val="00D157A7"/>
    <w:rsid w:val="00D15D89"/>
    <w:rsid w:val="00D16FDE"/>
    <w:rsid w:val="00D174BC"/>
    <w:rsid w:val="00D1774F"/>
    <w:rsid w:val="00D2028D"/>
    <w:rsid w:val="00D21257"/>
    <w:rsid w:val="00D21F02"/>
    <w:rsid w:val="00D21F04"/>
    <w:rsid w:val="00D2206A"/>
    <w:rsid w:val="00D2319B"/>
    <w:rsid w:val="00D2384F"/>
    <w:rsid w:val="00D24902"/>
    <w:rsid w:val="00D24DC9"/>
    <w:rsid w:val="00D258C7"/>
    <w:rsid w:val="00D274AB"/>
    <w:rsid w:val="00D27ADC"/>
    <w:rsid w:val="00D27C9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319D"/>
    <w:rsid w:val="00D63F37"/>
    <w:rsid w:val="00D6400A"/>
    <w:rsid w:val="00D64BAB"/>
    <w:rsid w:val="00D64CC7"/>
    <w:rsid w:val="00D667C9"/>
    <w:rsid w:val="00D66E04"/>
    <w:rsid w:val="00D670E8"/>
    <w:rsid w:val="00D67582"/>
    <w:rsid w:val="00D67911"/>
    <w:rsid w:val="00D71484"/>
    <w:rsid w:val="00D7185B"/>
    <w:rsid w:val="00D71F94"/>
    <w:rsid w:val="00D72A53"/>
    <w:rsid w:val="00D72CF1"/>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05C3"/>
    <w:rsid w:val="00DA1B75"/>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4A5"/>
    <w:rsid w:val="00DE27BF"/>
    <w:rsid w:val="00DE3857"/>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2F8"/>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283"/>
    <w:rsid w:val="00E30D57"/>
    <w:rsid w:val="00E3156C"/>
    <w:rsid w:val="00E31EB2"/>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C60"/>
    <w:rsid w:val="00E57E5D"/>
    <w:rsid w:val="00E617AF"/>
    <w:rsid w:val="00E619F8"/>
    <w:rsid w:val="00E61C81"/>
    <w:rsid w:val="00E62B24"/>
    <w:rsid w:val="00E63149"/>
    <w:rsid w:val="00E63B6A"/>
    <w:rsid w:val="00E63E95"/>
    <w:rsid w:val="00E663A3"/>
    <w:rsid w:val="00E668EB"/>
    <w:rsid w:val="00E67399"/>
    <w:rsid w:val="00E706C3"/>
    <w:rsid w:val="00E71814"/>
    <w:rsid w:val="00E71A3A"/>
    <w:rsid w:val="00E727AE"/>
    <w:rsid w:val="00E72AC0"/>
    <w:rsid w:val="00E7341C"/>
    <w:rsid w:val="00E73A1D"/>
    <w:rsid w:val="00E74795"/>
    <w:rsid w:val="00E75734"/>
    <w:rsid w:val="00E758EC"/>
    <w:rsid w:val="00E75C56"/>
    <w:rsid w:val="00E76167"/>
    <w:rsid w:val="00E76AB0"/>
    <w:rsid w:val="00E7744B"/>
    <w:rsid w:val="00E774DA"/>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59E0"/>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D09BF"/>
    <w:rsid w:val="00ED15BB"/>
    <w:rsid w:val="00ED1975"/>
    <w:rsid w:val="00ED1AE4"/>
    <w:rsid w:val="00ED1E26"/>
    <w:rsid w:val="00ED2485"/>
    <w:rsid w:val="00ED3D3E"/>
    <w:rsid w:val="00ED4EBE"/>
    <w:rsid w:val="00ED6B2C"/>
    <w:rsid w:val="00ED6C0E"/>
    <w:rsid w:val="00ED6E67"/>
    <w:rsid w:val="00ED6E96"/>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357"/>
    <w:rsid w:val="00EF6E26"/>
    <w:rsid w:val="00EF7C00"/>
    <w:rsid w:val="00F0041E"/>
    <w:rsid w:val="00F01C2D"/>
    <w:rsid w:val="00F0247F"/>
    <w:rsid w:val="00F038AE"/>
    <w:rsid w:val="00F04CF5"/>
    <w:rsid w:val="00F06223"/>
    <w:rsid w:val="00F06F27"/>
    <w:rsid w:val="00F06FE4"/>
    <w:rsid w:val="00F0785E"/>
    <w:rsid w:val="00F10299"/>
    <w:rsid w:val="00F11277"/>
    <w:rsid w:val="00F11696"/>
    <w:rsid w:val="00F11B56"/>
    <w:rsid w:val="00F131A5"/>
    <w:rsid w:val="00F13BDD"/>
    <w:rsid w:val="00F13DE0"/>
    <w:rsid w:val="00F1433A"/>
    <w:rsid w:val="00F150F3"/>
    <w:rsid w:val="00F16886"/>
    <w:rsid w:val="00F17632"/>
    <w:rsid w:val="00F21C60"/>
    <w:rsid w:val="00F2269E"/>
    <w:rsid w:val="00F233ED"/>
    <w:rsid w:val="00F237AD"/>
    <w:rsid w:val="00F23B39"/>
    <w:rsid w:val="00F259D5"/>
    <w:rsid w:val="00F25CAB"/>
    <w:rsid w:val="00F26E0E"/>
    <w:rsid w:val="00F2707B"/>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1F55"/>
    <w:rsid w:val="00F52299"/>
    <w:rsid w:val="00F53171"/>
    <w:rsid w:val="00F53F94"/>
    <w:rsid w:val="00F57376"/>
    <w:rsid w:val="00F57CCD"/>
    <w:rsid w:val="00F6275F"/>
    <w:rsid w:val="00F63074"/>
    <w:rsid w:val="00F6385E"/>
    <w:rsid w:val="00F63FCA"/>
    <w:rsid w:val="00F64C78"/>
    <w:rsid w:val="00F669C6"/>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1759"/>
    <w:rsid w:val="00F8513F"/>
    <w:rsid w:val="00F85301"/>
    <w:rsid w:val="00F855ED"/>
    <w:rsid w:val="00F85A7D"/>
    <w:rsid w:val="00F85B8A"/>
    <w:rsid w:val="00F869FA"/>
    <w:rsid w:val="00F8707F"/>
    <w:rsid w:val="00F872A9"/>
    <w:rsid w:val="00F87A5B"/>
    <w:rsid w:val="00F87A83"/>
    <w:rsid w:val="00F910D1"/>
    <w:rsid w:val="00F92A7B"/>
    <w:rsid w:val="00F93945"/>
    <w:rsid w:val="00F93D84"/>
    <w:rsid w:val="00F95EF4"/>
    <w:rsid w:val="00F964F5"/>
    <w:rsid w:val="00F965AB"/>
    <w:rsid w:val="00FA005A"/>
    <w:rsid w:val="00FA0662"/>
    <w:rsid w:val="00FA0A33"/>
    <w:rsid w:val="00FA11DD"/>
    <w:rsid w:val="00FA15F9"/>
    <w:rsid w:val="00FA16A5"/>
    <w:rsid w:val="00FA242F"/>
    <w:rsid w:val="00FA28B9"/>
    <w:rsid w:val="00FA3470"/>
    <w:rsid w:val="00FA533D"/>
    <w:rsid w:val="00FA67EE"/>
    <w:rsid w:val="00FB1450"/>
    <w:rsid w:val="00FB1B00"/>
    <w:rsid w:val="00FB1EB5"/>
    <w:rsid w:val="00FB28E2"/>
    <w:rsid w:val="00FB2CC8"/>
    <w:rsid w:val="00FB387B"/>
    <w:rsid w:val="00FB3F52"/>
    <w:rsid w:val="00FB451C"/>
    <w:rsid w:val="00FB587B"/>
    <w:rsid w:val="00FB6A85"/>
    <w:rsid w:val="00FB6E04"/>
    <w:rsid w:val="00FB6E40"/>
    <w:rsid w:val="00FB7645"/>
    <w:rsid w:val="00FC0E85"/>
    <w:rsid w:val="00FC1630"/>
    <w:rsid w:val="00FC1C63"/>
    <w:rsid w:val="00FC1C96"/>
    <w:rsid w:val="00FC2429"/>
    <w:rsid w:val="00FC34B4"/>
    <w:rsid w:val="00FC4C11"/>
    <w:rsid w:val="00FC4FFA"/>
    <w:rsid w:val="00FC74C3"/>
    <w:rsid w:val="00FC78B7"/>
    <w:rsid w:val="00FD013A"/>
    <w:rsid w:val="00FD0C12"/>
    <w:rsid w:val="00FD194E"/>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DE0"/>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 w:type="paragraph" w:styleId="FootnoteText">
    <w:name w:val="footnote text"/>
    <w:basedOn w:val="Normal"/>
    <w:link w:val="FootnoteTextChar"/>
    <w:semiHidden/>
    <w:unhideWhenUsed/>
    <w:rsid w:val="007814FB"/>
  </w:style>
  <w:style w:type="character" w:customStyle="1" w:styleId="FootnoteTextChar">
    <w:name w:val="Footnote Text Char"/>
    <w:basedOn w:val="DefaultParagraphFont"/>
    <w:link w:val="FootnoteText"/>
    <w:semiHidden/>
    <w:rsid w:val="007814FB"/>
    <w:rPr>
      <w:rFonts w:ascii="Times New Roman" w:hAnsi="Times New Roman"/>
    </w:rPr>
  </w:style>
  <w:style w:type="character" w:styleId="FootnoteReference">
    <w:name w:val="footnote reference"/>
    <w:basedOn w:val="DefaultParagraphFont"/>
    <w:semiHidden/>
    <w:unhideWhenUsed/>
    <w:rsid w:val="0078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29122679">
      <w:bodyDiv w:val="1"/>
      <w:marLeft w:val="0"/>
      <w:marRight w:val="0"/>
      <w:marTop w:val="0"/>
      <w:marBottom w:val="0"/>
      <w:divBdr>
        <w:top w:val="none" w:sz="0" w:space="0" w:color="auto"/>
        <w:left w:val="none" w:sz="0" w:space="0" w:color="auto"/>
        <w:bottom w:val="none" w:sz="0" w:space="0" w:color="auto"/>
        <w:right w:val="none" w:sz="0" w:space="0" w:color="auto"/>
      </w:divBdr>
      <w:divsChild>
        <w:div w:id="1101880848">
          <w:marLeft w:val="0"/>
          <w:marRight w:val="0"/>
          <w:marTop w:val="0"/>
          <w:marBottom w:val="0"/>
          <w:divBdr>
            <w:top w:val="none" w:sz="0" w:space="0" w:color="auto"/>
            <w:left w:val="none" w:sz="0" w:space="0" w:color="auto"/>
            <w:bottom w:val="none" w:sz="0" w:space="0" w:color="auto"/>
            <w:right w:val="none" w:sz="0" w:space="0" w:color="auto"/>
          </w:divBdr>
        </w:div>
        <w:div w:id="1050806186">
          <w:marLeft w:val="0"/>
          <w:marRight w:val="0"/>
          <w:marTop w:val="0"/>
          <w:marBottom w:val="0"/>
          <w:divBdr>
            <w:top w:val="none" w:sz="0" w:space="0" w:color="auto"/>
            <w:left w:val="none" w:sz="0" w:space="0" w:color="auto"/>
            <w:bottom w:val="none" w:sz="0" w:space="0" w:color="auto"/>
            <w:right w:val="none" w:sz="0" w:space="0" w:color="auto"/>
          </w:divBdr>
        </w:div>
        <w:div w:id="293871822">
          <w:marLeft w:val="0"/>
          <w:marRight w:val="0"/>
          <w:marTop w:val="0"/>
          <w:marBottom w:val="0"/>
          <w:divBdr>
            <w:top w:val="none" w:sz="0" w:space="0" w:color="auto"/>
            <w:left w:val="none" w:sz="0" w:space="0" w:color="auto"/>
            <w:bottom w:val="none" w:sz="0" w:space="0" w:color="auto"/>
            <w:right w:val="none" w:sz="0" w:space="0" w:color="auto"/>
          </w:divBdr>
        </w:div>
        <w:div w:id="530073058">
          <w:marLeft w:val="0"/>
          <w:marRight w:val="0"/>
          <w:marTop w:val="0"/>
          <w:marBottom w:val="0"/>
          <w:divBdr>
            <w:top w:val="none" w:sz="0" w:space="0" w:color="auto"/>
            <w:left w:val="none" w:sz="0" w:space="0" w:color="auto"/>
            <w:bottom w:val="none" w:sz="0" w:space="0" w:color="auto"/>
            <w:right w:val="none" w:sz="0" w:space="0" w:color="auto"/>
          </w:divBdr>
        </w:div>
      </w:divsChild>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730">
      <w:bodyDiv w:val="1"/>
      <w:marLeft w:val="0"/>
      <w:marRight w:val="0"/>
      <w:marTop w:val="0"/>
      <w:marBottom w:val="0"/>
      <w:divBdr>
        <w:top w:val="none" w:sz="0" w:space="0" w:color="auto"/>
        <w:left w:val="none" w:sz="0" w:space="0" w:color="auto"/>
        <w:bottom w:val="none" w:sz="0" w:space="0" w:color="auto"/>
        <w:right w:val="none" w:sz="0" w:space="0" w:color="auto"/>
      </w:divBdr>
    </w:div>
    <w:div w:id="792214932">
      <w:bodyDiv w:val="1"/>
      <w:marLeft w:val="0"/>
      <w:marRight w:val="0"/>
      <w:marTop w:val="0"/>
      <w:marBottom w:val="0"/>
      <w:divBdr>
        <w:top w:val="none" w:sz="0" w:space="0" w:color="auto"/>
        <w:left w:val="none" w:sz="0" w:space="0" w:color="auto"/>
        <w:bottom w:val="none" w:sz="0" w:space="0" w:color="auto"/>
        <w:right w:val="none" w:sz="0" w:space="0" w:color="auto"/>
      </w:divBdr>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970789466">
      <w:bodyDiv w:val="1"/>
      <w:marLeft w:val="0"/>
      <w:marRight w:val="0"/>
      <w:marTop w:val="0"/>
      <w:marBottom w:val="0"/>
      <w:divBdr>
        <w:top w:val="none" w:sz="0" w:space="0" w:color="auto"/>
        <w:left w:val="none" w:sz="0" w:space="0" w:color="auto"/>
        <w:bottom w:val="none" w:sz="0" w:space="0" w:color="auto"/>
        <w:right w:val="none" w:sz="0" w:space="0" w:color="auto"/>
      </w:divBdr>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975">
      <w:bodyDiv w:val="1"/>
      <w:marLeft w:val="0"/>
      <w:marRight w:val="0"/>
      <w:marTop w:val="0"/>
      <w:marBottom w:val="0"/>
      <w:divBdr>
        <w:top w:val="none" w:sz="0" w:space="0" w:color="auto"/>
        <w:left w:val="none" w:sz="0" w:space="0" w:color="auto"/>
        <w:bottom w:val="none" w:sz="0" w:space="0" w:color="auto"/>
        <w:right w:val="none" w:sz="0" w:space="0" w:color="auto"/>
      </w:divBdr>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9127">
      <w:bodyDiv w:val="1"/>
      <w:marLeft w:val="0"/>
      <w:marRight w:val="0"/>
      <w:marTop w:val="0"/>
      <w:marBottom w:val="0"/>
      <w:divBdr>
        <w:top w:val="none" w:sz="0" w:space="0" w:color="auto"/>
        <w:left w:val="none" w:sz="0" w:space="0" w:color="auto"/>
        <w:bottom w:val="none" w:sz="0" w:space="0" w:color="auto"/>
        <w:right w:val="none" w:sz="0" w:space="0" w:color="auto"/>
      </w:divBdr>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77479655">
      <w:bodyDiv w:val="1"/>
      <w:marLeft w:val="0"/>
      <w:marRight w:val="0"/>
      <w:marTop w:val="0"/>
      <w:marBottom w:val="0"/>
      <w:divBdr>
        <w:top w:val="none" w:sz="0" w:space="0" w:color="auto"/>
        <w:left w:val="none" w:sz="0" w:space="0" w:color="auto"/>
        <w:bottom w:val="none" w:sz="0" w:space="0" w:color="auto"/>
        <w:right w:val="none" w:sz="0" w:space="0" w:color="auto"/>
      </w:divBdr>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4022656/ex_697669.htm"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4022656/ex_697615.htm"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4017865/ex_677629.htm"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4018144/ex_679029.htm" TargetMode="External"/><Relationship Id="rId28" Type="http://schemas.openxmlformats.org/officeDocument/2006/relationships/hyperlink" Target="https://www.sec.gov/Archives/edgar/data/832489/000143774924022656/ex_697617.ht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4016605/ex_671452.htm" TargetMode="External"/><Relationship Id="rId27" Type="http://schemas.openxmlformats.org/officeDocument/2006/relationships/hyperlink" Target="https://www.sec.gov/Archives/edgar/data/832489/000143774924017865/ex_677632.htm" TargetMode="Externa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8924</Words>
  <Characters>53844</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62643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6</cp:revision>
  <cp:lastPrinted>2024-08-06T19:44:00Z</cp:lastPrinted>
  <dcterms:created xsi:type="dcterms:W3CDTF">2024-07-31T22:28:00Z</dcterms:created>
  <dcterms:modified xsi:type="dcterms:W3CDTF">2024-08-06T19:44:00Z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