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4CAC" w14:textId="3BC89314" w:rsidR="00BD6BBE" w:rsidRPr="007E0AB8" w:rsidRDefault="00BD6BBE" w:rsidP="004A05A5">
      <w:pPr>
        <w:pStyle w:val="Title"/>
        <w:rPr>
          <w:szCs w:val="24"/>
        </w:rPr>
      </w:pPr>
      <w:r w:rsidRPr="007E0AB8">
        <w:rPr>
          <w:szCs w:val="24"/>
        </w:rPr>
        <w:t>UNITED STATES</w:t>
      </w:r>
      <w:r w:rsidR="004A05A5">
        <w:rPr>
          <w:szCs w:val="24"/>
        </w:rPr>
        <w:t xml:space="preserve"> </w:t>
      </w:r>
      <w:r w:rsidRPr="007E0AB8">
        <w:rPr>
          <w:szCs w:val="24"/>
        </w:rPr>
        <w:t>SECURITIES AND EXCHANGE COMMISSION</w:t>
      </w:r>
    </w:p>
    <w:p w14:paraId="3DE428FE" w14:textId="28766831" w:rsidR="00BD6BBE" w:rsidRPr="00E63149" w:rsidRDefault="004A05A5" w:rsidP="00361F10">
      <w:pPr>
        <w:pStyle w:val="Subtitle"/>
        <w:jc w:val="center"/>
        <w:rPr>
          <w:b w:val="0"/>
          <w:bCs/>
          <w:sz w:val="22"/>
          <w:szCs w:val="22"/>
        </w:rPr>
      </w:pPr>
      <w:r w:rsidRPr="00E63149">
        <w:rPr>
          <w:b w:val="0"/>
          <w:bCs/>
          <w:sz w:val="22"/>
          <w:szCs w:val="22"/>
        </w:rPr>
        <w:t>Washington</w:t>
      </w:r>
      <w:r w:rsidR="00BD6BBE" w:rsidRPr="00E63149">
        <w:rPr>
          <w:b w:val="0"/>
          <w:bCs/>
          <w:sz w:val="22"/>
          <w:szCs w:val="22"/>
        </w:rPr>
        <w:t>,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Pr>
          <w:b/>
          <w:sz w:val="24"/>
        </w:rPr>
      </w:r>
      <w:r>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50A828D0" w:rsidR="00BD6BBE" w:rsidRPr="00F87A5B" w:rsidRDefault="00BD6BBE">
      <w:pPr>
        <w:tabs>
          <w:tab w:val="decimal" w:pos="9180"/>
        </w:tabs>
        <w:ind w:left="720" w:hanging="720"/>
        <w:rPr>
          <w:b/>
        </w:rPr>
      </w:pPr>
      <w:r w:rsidRPr="00F87A5B">
        <w:tab/>
        <w:t xml:space="preserve">For the quarterly period ended </w:t>
      </w:r>
      <w:r w:rsidR="00C719DC">
        <w:t>March</w:t>
      </w:r>
      <w:r w:rsidR="00460775">
        <w:t xml:space="preserve"> 3</w:t>
      </w:r>
      <w:r w:rsidR="00C719DC">
        <w:t>1</w:t>
      </w:r>
      <w:r w:rsidR="00482106">
        <w:t>,</w:t>
      </w:r>
      <w:r w:rsidR="00460775">
        <w:t xml:space="preserve"> 20</w:t>
      </w:r>
      <w:r w:rsidR="001F62EC">
        <w:t>2</w:t>
      </w:r>
      <w:r w:rsidR="00C719DC">
        <w:t>5</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Pr>
          <w:b/>
          <w:sz w:val="24"/>
        </w:rPr>
      </w:r>
      <w:r>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110659FD" w:rsidR="00BD6BBE" w:rsidRDefault="0024386A" w:rsidP="00F87A5B">
      <w:pPr>
        <w:jc w:val="center"/>
        <w:rPr>
          <w:b/>
          <w:szCs w:val="22"/>
        </w:rPr>
      </w:pPr>
      <w:r>
        <w:rPr>
          <w:b/>
          <w:szCs w:val="22"/>
        </w:rPr>
        <w:t xml:space="preserve">Commission </w:t>
      </w:r>
      <w:r w:rsidR="00E63149">
        <w:rPr>
          <w:b/>
          <w:szCs w:val="22"/>
        </w:rPr>
        <w:t>F</w:t>
      </w:r>
      <w:r>
        <w:rPr>
          <w:b/>
          <w:szCs w:val="22"/>
        </w:rPr>
        <w:t xml:space="preserve">ile </w:t>
      </w:r>
      <w:r w:rsidR="00E63149">
        <w:rPr>
          <w:b/>
          <w:szCs w:val="22"/>
        </w:rPr>
        <w:t>N</w:t>
      </w:r>
      <w:r>
        <w:rPr>
          <w:b/>
          <w:szCs w:val="22"/>
        </w:rPr>
        <w:t>umber</w:t>
      </w:r>
      <w:r w:rsidR="00E63149">
        <w:rPr>
          <w:b/>
          <w:szCs w:val="22"/>
        </w:rPr>
        <w:t>:</w:t>
      </w:r>
      <w:r>
        <w:rPr>
          <w:b/>
          <w:szCs w:val="22"/>
        </w:rPr>
        <w:t xml:space="preserve"> 00</w:t>
      </w:r>
      <w:r w:rsidR="004A05A5">
        <w:rPr>
          <w:b/>
          <w:szCs w:val="22"/>
        </w:rPr>
        <w:t>1-39563</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3585ED3" w:rsidR="00BD6BBE" w:rsidRPr="00E63149" w:rsidRDefault="00BD6BBE">
      <w:pPr>
        <w:jc w:val="center"/>
        <w:rPr>
          <w:i/>
          <w:iCs/>
          <w:szCs w:val="22"/>
        </w:rPr>
      </w:pPr>
      <w:r w:rsidRPr="00E63149">
        <w:rPr>
          <w:i/>
          <w:iCs/>
          <w:szCs w:val="22"/>
        </w:rPr>
        <w:t xml:space="preserve">(Exact name of </w:t>
      </w:r>
      <w:r w:rsidR="00E63149">
        <w:rPr>
          <w:i/>
          <w:iCs/>
          <w:szCs w:val="22"/>
        </w:rPr>
        <w:t>r</w:t>
      </w:r>
      <w:r w:rsidRPr="00E63149">
        <w:rPr>
          <w:i/>
          <w:iCs/>
          <w:szCs w:val="22"/>
        </w:rPr>
        <w:t>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2FD73AA4" w:rsidR="00BD6BBE" w:rsidRPr="00E63149" w:rsidRDefault="00BD6BBE">
      <w:pPr>
        <w:tabs>
          <w:tab w:val="center" w:pos="2160"/>
          <w:tab w:val="center" w:pos="8100"/>
        </w:tabs>
        <w:rPr>
          <w:i/>
          <w:iCs/>
        </w:rPr>
      </w:pPr>
      <w:r w:rsidRPr="00E63149">
        <w:rPr>
          <w:i/>
          <w:iCs/>
        </w:rPr>
        <w:tab/>
        <w:t>(State or other jurisdiction</w:t>
      </w:r>
      <w:r w:rsidRPr="00E63149">
        <w:rPr>
          <w:i/>
          <w:iCs/>
        </w:rPr>
        <w:tab/>
        <w:t>(IRS Employer Identification No.)</w:t>
      </w:r>
    </w:p>
    <w:p w14:paraId="53EA54C8" w14:textId="77777777" w:rsidR="00BD6BBE" w:rsidRPr="00E63149" w:rsidRDefault="00BD6BBE">
      <w:pPr>
        <w:tabs>
          <w:tab w:val="center" w:pos="2160"/>
          <w:tab w:val="decimal" w:pos="9180"/>
        </w:tabs>
        <w:rPr>
          <w:i/>
          <w:iCs/>
        </w:rPr>
      </w:pPr>
      <w:r w:rsidRPr="00E63149">
        <w:rPr>
          <w:i/>
          <w:iCs/>
        </w:rPr>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E63149" w:rsidRDefault="00BD6BBE">
      <w:pPr>
        <w:tabs>
          <w:tab w:val="center" w:pos="2160"/>
          <w:tab w:val="center" w:pos="8100"/>
        </w:tabs>
        <w:rPr>
          <w:i/>
          <w:iCs/>
        </w:rPr>
      </w:pPr>
      <w:r w:rsidRPr="00E63149">
        <w:rPr>
          <w:i/>
          <w:iCs/>
        </w:rPr>
        <w:tab/>
        <w:t>(Address of principal executive offices)</w:t>
      </w:r>
      <w:r w:rsidRPr="00E63149">
        <w:rPr>
          <w:i/>
          <w:iCs/>
        </w:rPr>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Pr="00E63149" w:rsidRDefault="006816F3">
      <w:pPr>
        <w:pStyle w:val="Heading5"/>
        <w:tabs>
          <w:tab w:val="clear" w:pos="2160"/>
          <w:tab w:val="clear" w:pos="7280"/>
          <w:tab w:val="clear" w:pos="9360"/>
        </w:tabs>
        <w:jc w:val="center"/>
        <w:rPr>
          <w:i/>
          <w:iCs/>
          <w:sz w:val="20"/>
        </w:rPr>
      </w:pPr>
      <w:r w:rsidRPr="00E63149">
        <w:rPr>
          <w:i/>
          <w:iCs/>
          <w:sz w:val="20"/>
        </w:rPr>
        <w:t>(</w:t>
      </w:r>
      <w:r w:rsidR="00BD6BBE" w:rsidRPr="00E63149">
        <w:rPr>
          <w:i/>
          <w:iCs/>
          <w:sz w:val="20"/>
        </w:rPr>
        <w:t>Registrant</w:t>
      </w:r>
      <w:r w:rsidR="00B44A4C" w:rsidRPr="00E63149">
        <w:rPr>
          <w:i/>
          <w:iCs/>
          <w:sz w:val="20"/>
        </w:rPr>
        <w:t>’</w:t>
      </w:r>
      <w:r w:rsidR="00BD6BBE" w:rsidRPr="00E63149">
        <w:rPr>
          <w:i/>
          <w:iCs/>
          <w:sz w:val="20"/>
        </w:rPr>
        <w:t>s telephone number, including area code</w:t>
      </w:r>
      <w:r w:rsidRPr="00E63149">
        <w:rPr>
          <w:b/>
          <w:i/>
          <w:iCs/>
          <w:sz w:val="20"/>
        </w:rPr>
        <w:t>)</w:t>
      </w:r>
    </w:p>
    <w:p w14:paraId="0E1A3266" w14:textId="42EFD0B4" w:rsidR="00BD6BBE" w:rsidRDefault="00BD6BBE">
      <w:pPr>
        <w:tabs>
          <w:tab w:val="decimal" w:pos="9180"/>
        </w:tabs>
        <w:jc w:val="both"/>
        <w:rPr>
          <w:szCs w:val="22"/>
        </w:rPr>
      </w:pPr>
    </w:p>
    <w:p w14:paraId="13FC9C97" w14:textId="092051DB" w:rsidR="004A05A5" w:rsidRPr="001F62EC" w:rsidRDefault="001F62EC" w:rsidP="00E63149">
      <w:pPr>
        <w:tabs>
          <w:tab w:val="decimal" w:pos="9180"/>
        </w:tabs>
        <w:rPr>
          <w:szCs w:val="22"/>
        </w:rPr>
      </w:pPr>
      <w:r>
        <w:rPr>
          <w:szCs w:val="22"/>
        </w:rPr>
        <w:t>Securities registered pursuant to Section 12(b) of the Act: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610"/>
        <w:gridCol w:w="4050"/>
      </w:tblGrid>
      <w:tr w:rsidR="004A05A5" w:rsidRPr="004A05A5" w14:paraId="782E8EFB" w14:textId="77777777" w:rsidTr="004A05A5">
        <w:tc>
          <w:tcPr>
            <w:tcW w:w="3330" w:type="dxa"/>
          </w:tcPr>
          <w:p w14:paraId="47626B38" w14:textId="77777777" w:rsidR="004A05A5" w:rsidRPr="004A05A5" w:rsidRDefault="004A05A5" w:rsidP="004A05A5">
            <w:pPr>
              <w:jc w:val="center"/>
              <w:outlineLvl w:val="0"/>
              <w:rPr>
                <w:u w:val="single"/>
              </w:rPr>
            </w:pPr>
            <w:r w:rsidRPr="004A05A5">
              <w:rPr>
                <w:u w:val="single"/>
              </w:rPr>
              <w:t>Title of each Class</w:t>
            </w:r>
          </w:p>
        </w:tc>
        <w:tc>
          <w:tcPr>
            <w:tcW w:w="2610" w:type="dxa"/>
          </w:tcPr>
          <w:p w14:paraId="25B825F4" w14:textId="77777777" w:rsidR="004A05A5" w:rsidRPr="004A05A5" w:rsidRDefault="004A05A5" w:rsidP="004A05A5">
            <w:pPr>
              <w:jc w:val="center"/>
              <w:outlineLvl w:val="0"/>
              <w:rPr>
                <w:u w:val="single"/>
              </w:rPr>
            </w:pPr>
            <w:r w:rsidRPr="004A05A5">
              <w:rPr>
                <w:u w:val="single"/>
              </w:rPr>
              <w:t>Trading Symbol</w:t>
            </w:r>
          </w:p>
        </w:tc>
        <w:tc>
          <w:tcPr>
            <w:tcW w:w="4050" w:type="dxa"/>
          </w:tcPr>
          <w:p w14:paraId="2494B69E" w14:textId="77777777" w:rsidR="004A05A5" w:rsidRPr="004A05A5" w:rsidRDefault="004A05A5" w:rsidP="004A05A5">
            <w:pPr>
              <w:jc w:val="center"/>
              <w:outlineLvl w:val="0"/>
              <w:rPr>
                <w:u w:val="single"/>
              </w:rPr>
            </w:pPr>
            <w:r w:rsidRPr="004A05A5">
              <w:rPr>
                <w:u w:val="single"/>
              </w:rPr>
              <w:t>Name of each Exchange on which Registered</w:t>
            </w:r>
          </w:p>
        </w:tc>
      </w:tr>
      <w:tr w:rsidR="004A05A5" w:rsidRPr="004A05A5" w14:paraId="3EB14DCC" w14:textId="77777777" w:rsidTr="004A05A5">
        <w:tc>
          <w:tcPr>
            <w:tcW w:w="3330" w:type="dxa"/>
          </w:tcPr>
          <w:p w14:paraId="2D302D3E" w14:textId="77777777" w:rsidR="004A05A5" w:rsidRPr="004A05A5" w:rsidRDefault="004A05A5" w:rsidP="004A05A5">
            <w:pPr>
              <w:jc w:val="center"/>
              <w:outlineLvl w:val="0"/>
            </w:pPr>
            <w:r w:rsidRPr="004A05A5">
              <w:rPr>
                <w:rFonts w:ascii="CG Times (WN)" w:hAnsi="CG Times (WN)"/>
                <w:bCs/>
              </w:rPr>
              <w:t>Common Stock $0.001 par value</w:t>
            </w:r>
          </w:p>
        </w:tc>
        <w:tc>
          <w:tcPr>
            <w:tcW w:w="2610" w:type="dxa"/>
          </w:tcPr>
          <w:p w14:paraId="2C447951" w14:textId="77777777" w:rsidR="004A05A5" w:rsidRPr="004A05A5" w:rsidRDefault="004A05A5" w:rsidP="004A05A5">
            <w:pPr>
              <w:jc w:val="center"/>
              <w:outlineLvl w:val="0"/>
            </w:pPr>
            <w:r w:rsidRPr="004A05A5">
              <w:t>GOVX</w:t>
            </w:r>
          </w:p>
        </w:tc>
        <w:tc>
          <w:tcPr>
            <w:tcW w:w="4050" w:type="dxa"/>
          </w:tcPr>
          <w:p w14:paraId="59EEF170" w14:textId="77777777" w:rsidR="004A05A5" w:rsidRPr="004A05A5" w:rsidRDefault="004A05A5" w:rsidP="004A05A5">
            <w:pPr>
              <w:jc w:val="center"/>
              <w:outlineLvl w:val="0"/>
            </w:pPr>
            <w:r w:rsidRPr="004A05A5">
              <w:t xml:space="preserve">The Nasdaq Capital Market </w:t>
            </w:r>
          </w:p>
        </w:tc>
      </w:tr>
      <w:tr w:rsidR="004A05A5" w:rsidRPr="004A05A5" w14:paraId="6B4F4DFC" w14:textId="77777777" w:rsidTr="004A05A5">
        <w:tc>
          <w:tcPr>
            <w:tcW w:w="3330" w:type="dxa"/>
          </w:tcPr>
          <w:p w14:paraId="33026B78" w14:textId="77777777" w:rsidR="004A05A5" w:rsidRPr="004A05A5" w:rsidRDefault="004A05A5" w:rsidP="004A05A5">
            <w:pPr>
              <w:jc w:val="center"/>
              <w:outlineLvl w:val="0"/>
            </w:pPr>
            <w:r w:rsidRPr="004A05A5">
              <w:t>Warrants to Purchase Common Stock</w:t>
            </w:r>
          </w:p>
        </w:tc>
        <w:tc>
          <w:tcPr>
            <w:tcW w:w="2610" w:type="dxa"/>
          </w:tcPr>
          <w:p w14:paraId="7EE1A4B2" w14:textId="77777777" w:rsidR="004A05A5" w:rsidRPr="004A05A5" w:rsidRDefault="004A05A5" w:rsidP="004A05A5">
            <w:pPr>
              <w:jc w:val="center"/>
              <w:outlineLvl w:val="0"/>
            </w:pPr>
            <w:r w:rsidRPr="004A05A5">
              <w:t>GOVXW</w:t>
            </w:r>
          </w:p>
        </w:tc>
        <w:tc>
          <w:tcPr>
            <w:tcW w:w="4050" w:type="dxa"/>
          </w:tcPr>
          <w:p w14:paraId="31783328" w14:textId="77777777" w:rsidR="004A05A5" w:rsidRPr="004A05A5" w:rsidRDefault="004A05A5" w:rsidP="004A05A5">
            <w:pPr>
              <w:jc w:val="center"/>
              <w:outlineLvl w:val="0"/>
            </w:pPr>
            <w:r w:rsidRPr="004A05A5">
              <w:t xml:space="preserve">The Nasdaq Capital Market </w:t>
            </w:r>
          </w:p>
        </w:tc>
      </w:tr>
    </w:tbl>
    <w:p w14:paraId="6E9F7B85" w14:textId="77777777" w:rsidR="004A05A5" w:rsidRDefault="004A05A5">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0D7A76">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0D7A76">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Pr="001C3695">
        <w:rPr>
          <w:rFonts w:ascii="Wingdings" w:hAnsi="Wingdings" w:cs="Wingdings"/>
          <w:color w:val="000000"/>
          <w:sz w:val="18"/>
          <w:szCs w:val="18"/>
        </w:rPr>
      </w:r>
      <w:r w:rsidRPr="001C369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Pr="001C3695">
        <w:rPr>
          <w:rFonts w:ascii="Wingdings" w:hAnsi="Wingdings" w:cs="Wingdings"/>
          <w:color w:val="000000"/>
          <w:sz w:val="18"/>
          <w:szCs w:val="18"/>
        </w:rPr>
      </w:r>
      <w:r w:rsidRPr="001C369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368693EB"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bookmarkStart w:id="4" w:name="Check1"/>
      <w:r w:rsidR="004A05A5">
        <w:rPr>
          <w:rFonts w:ascii="Wingdings" w:hAnsi="Wingdings" w:cs="Wingdings"/>
          <w:color w:val="000000"/>
          <w:sz w:val="18"/>
          <w:szCs w:val="18"/>
        </w:rPr>
        <w:instrText xml:space="preserve"> FORMCHECKBOX </w:instrText>
      </w:r>
      <w:r w:rsidR="004A05A5">
        <w:rPr>
          <w:rFonts w:ascii="Wingdings" w:hAnsi="Wingdings" w:cs="Wingdings"/>
          <w:color w:val="000000"/>
          <w:sz w:val="18"/>
          <w:szCs w:val="18"/>
        </w:rPr>
      </w:r>
      <w:r w:rsidR="004A05A5">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bookmarkEnd w:id="4"/>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6F7401" w:rsidRPr="001C3695">
        <w:rPr>
          <w:rFonts w:ascii="Wingdings" w:hAnsi="Wingdings" w:cs="Wingdings"/>
          <w:color w:val="000000"/>
          <w:sz w:val="18"/>
          <w:szCs w:val="18"/>
        </w:rPr>
      </w:r>
      <w:r w:rsidR="006F7401" w:rsidRPr="001C3695">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0CB00A08"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r w:rsidR="004A05A5">
        <w:rPr>
          <w:rFonts w:ascii="Wingdings" w:hAnsi="Wingdings" w:cs="Wingdings"/>
          <w:color w:val="000000"/>
          <w:sz w:val="18"/>
          <w:szCs w:val="18"/>
        </w:rPr>
        <w:instrText xml:space="preserve"> FORMCHECKBOX </w:instrText>
      </w:r>
      <w:r w:rsidR="004A05A5">
        <w:rPr>
          <w:rFonts w:ascii="Wingdings" w:hAnsi="Wingdings" w:cs="Wingdings"/>
          <w:color w:val="000000"/>
          <w:sz w:val="18"/>
          <w:szCs w:val="18"/>
        </w:rPr>
      </w:r>
      <w:r w:rsidR="004A05A5">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Pr="001C3695">
        <w:rPr>
          <w:rFonts w:ascii="Wingdings" w:hAnsi="Wingdings" w:cs="Wingdings"/>
          <w:color w:val="000000"/>
          <w:sz w:val="18"/>
          <w:szCs w:val="18"/>
        </w:rPr>
      </w:r>
      <w:r w:rsidRPr="001C369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0D7A76" w:rsidRPr="001C3695">
        <w:rPr>
          <w:rFonts w:ascii="Wingdings" w:hAnsi="Wingdings" w:cs="Wingdings"/>
          <w:color w:val="000000"/>
          <w:sz w:val="18"/>
          <w:szCs w:val="18"/>
        </w:rPr>
      </w:r>
      <w:r w:rsidR="000D7A76" w:rsidRPr="001C3695">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0D7A76">
        <w:rPr>
          <w:rFonts w:ascii="Wingdings" w:hAnsi="Wingdings" w:cs="Wingdings"/>
          <w:color w:val="000000"/>
          <w:sz w:val="18"/>
          <w:szCs w:val="18"/>
        </w:rPr>
      </w:r>
      <w:r w:rsidR="000D7A76">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4906E03E" w:rsidR="0094630A" w:rsidRDefault="0094630A">
      <w:pPr>
        <w:tabs>
          <w:tab w:val="decimal" w:pos="9180"/>
        </w:tabs>
        <w:jc w:val="both"/>
      </w:pPr>
      <w:r w:rsidRPr="003D6A75">
        <w:t>As o</w:t>
      </w:r>
      <w:r w:rsidR="009B114A" w:rsidRPr="003D6A75">
        <w:t xml:space="preserve">f </w:t>
      </w:r>
      <w:r w:rsidR="00C719DC">
        <w:t>April</w:t>
      </w:r>
      <w:r w:rsidR="001F0568" w:rsidRPr="004A5874">
        <w:t xml:space="preserve"> </w:t>
      </w:r>
      <w:r w:rsidR="00965A43">
        <w:t>30</w:t>
      </w:r>
      <w:r w:rsidR="009B20E1" w:rsidRPr="004A5874">
        <w:t>,</w:t>
      </w:r>
      <w:r w:rsidR="00460775" w:rsidRPr="004A5874">
        <w:t xml:space="preserve"> 20</w:t>
      </w:r>
      <w:r w:rsidR="001F62EC" w:rsidRPr="004A5874">
        <w:t>2</w:t>
      </w:r>
      <w:r w:rsidR="00C719DC">
        <w:t>5</w:t>
      </w:r>
      <w:r w:rsidR="00F75588" w:rsidRPr="006F2532">
        <w:t>,</w:t>
      </w:r>
      <w:r w:rsidR="00B9332C" w:rsidRPr="003D6A75">
        <w:t xml:space="preserve"> </w:t>
      </w:r>
      <w:r w:rsidR="009409E5">
        <w:t>15,193,593</w:t>
      </w:r>
      <w:r w:rsidR="006A5639">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B4070EA" w14:textId="77777777" w:rsidR="00277F5A" w:rsidRPr="000371CC" w:rsidRDefault="00277F5A" w:rsidP="00277F5A"/>
    <w:p w14:paraId="603A6CC5" w14:textId="77777777" w:rsidR="00277F5A" w:rsidRPr="000371CC" w:rsidRDefault="00277F5A" w:rsidP="00912751">
      <w:pPr>
        <w:tabs>
          <w:tab w:val="center" w:pos="9900"/>
        </w:tabs>
      </w:pPr>
      <w:r w:rsidRPr="000371CC">
        <w:tab/>
      </w:r>
      <w:r w:rsidRPr="00CE7D66">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5AA83358" w:rsidR="00482106" w:rsidRPr="000371CC" w:rsidRDefault="00482106" w:rsidP="004E3374">
      <w:pPr>
        <w:tabs>
          <w:tab w:val="right" w:pos="10080"/>
        </w:tabs>
        <w:ind w:left="900"/>
      </w:pPr>
      <w:r>
        <w:t xml:space="preserve">Condensed </w:t>
      </w:r>
      <w:r w:rsidRPr="000371CC">
        <w:t xml:space="preserve">Consolidated Balance Sheets as of </w:t>
      </w:r>
      <w:r w:rsidR="00C719DC">
        <w:t>March</w:t>
      </w:r>
      <w:r w:rsidR="00460775">
        <w:t xml:space="preserve"> 3</w:t>
      </w:r>
      <w:r w:rsidR="00C719DC">
        <w:t>1</w:t>
      </w:r>
      <w:r w:rsidR="00B35C97">
        <w:t xml:space="preserve">, </w:t>
      </w:r>
      <w:r w:rsidR="00460775">
        <w:t>20</w:t>
      </w:r>
      <w:r w:rsidR="001F62EC">
        <w:t>2</w:t>
      </w:r>
      <w:r w:rsidR="00C719DC">
        <w:t>5</w:t>
      </w:r>
      <w:r w:rsidR="00ED6B2C">
        <w:t xml:space="preserve"> (unaudited)</w:t>
      </w:r>
      <w:r w:rsidR="00D74F1F">
        <w:t xml:space="preserve"> </w:t>
      </w:r>
      <w:r w:rsidR="00460775">
        <w:t>and December 31, 20</w:t>
      </w:r>
      <w:r w:rsidR="00E63149">
        <w:t>2</w:t>
      </w:r>
      <w:r w:rsidR="00C719DC">
        <w:t>4</w:t>
      </w:r>
      <w:r w:rsidRPr="000371CC">
        <w:tab/>
        <w:t>1</w:t>
      </w:r>
    </w:p>
    <w:p w14:paraId="323AB257" w14:textId="01C6ADCF"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periods </w:t>
      </w:r>
      <w:r w:rsidR="001F0568">
        <w:t>e</w:t>
      </w:r>
      <w:r w:rsidR="00A12E9E">
        <w:t>nded</w:t>
      </w:r>
    </w:p>
    <w:p w14:paraId="10D88DBF" w14:textId="757DAD16" w:rsidR="00482106" w:rsidRDefault="004E3374" w:rsidP="004E3374">
      <w:pPr>
        <w:tabs>
          <w:tab w:val="right" w:pos="10080"/>
        </w:tabs>
        <w:ind w:left="900"/>
      </w:pPr>
      <w:r>
        <w:t xml:space="preserve">   </w:t>
      </w:r>
      <w:r w:rsidR="00C719DC">
        <w:t>March</w:t>
      </w:r>
      <w:r w:rsidR="0063349C">
        <w:t xml:space="preserve"> </w:t>
      </w:r>
      <w:r w:rsidR="00460775">
        <w:t>3</w:t>
      </w:r>
      <w:r w:rsidR="00C719DC">
        <w:t>1</w:t>
      </w:r>
      <w:r w:rsidR="00460775">
        <w:t>, 20</w:t>
      </w:r>
      <w:r w:rsidR="001F62EC">
        <w:t>2</w:t>
      </w:r>
      <w:r w:rsidR="00C719DC">
        <w:t>5</w:t>
      </w:r>
      <w:r w:rsidR="00731C61">
        <w:t xml:space="preserve"> </w:t>
      </w:r>
      <w:r w:rsidR="00460775">
        <w:t>and 20</w:t>
      </w:r>
      <w:r w:rsidR="00E63149">
        <w:t>2</w:t>
      </w:r>
      <w:r w:rsidR="00C719DC">
        <w:t>4</w:t>
      </w:r>
      <w:r w:rsidR="00CC10F7">
        <w:t xml:space="preserve"> (unaudited)</w:t>
      </w:r>
      <w:r w:rsidR="00482106" w:rsidRPr="000371CC">
        <w:tab/>
      </w:r>
      <w:r w:rsidR="009E5F38">
        <w:t>2</w:t>
      </w:r>
    </w:p>
    <w:p w14:paraId="60ACCB41" w14:textId="45F85E7B" w:rsidR="00487CAB" w:rsidRDefault="00487CAB" w:rsidP="004E3374">
      <w:pPr>
        <w:tabs>
          <w:tab w:val="right" w:pos="10080"/>
        </w:tabs>
        <w:ind w:left="900"/>
      </w:pPr>
      <w:r>
        <w:t>Condensed Consolidated Statements of Changes in Stockholders’ Equity</w:t>
      </w:r>
    </w:p>
    <w:p w14:paraId="14FC8BBF" w14:textId="0193BE8E" w:rsidR="00487CAB" w:rsidRPr="000371CC" w:rsidRDefault="00487CAB" w:rsidP="004E3374">
      <w:pPr>
        <w:tabs>
          <w:tab w:val="right" w:pos="10080"/>
        </w:tabs>
        <w:ind w:left="900"/>
      </w:pPr>
      <w:r>
        <w:t xml:space="preserve">   for the three-month periods ended </w:t>
      </w:r>
      <w:r w:rsidR="00C719DC">
        <w:t>March</w:t>
      </w:r>
      <w:r>
        <w:t xml:space="preserve"> 3</w:t>
      </w:r>
      <w:r w:rsidR="00C719DC">
        <w:t>1</w:t>
      </w:r>
      <w:r>
        <w:t>, 20</w:t>
      </w:r>
      <w:r w:rsidR="001F62EC">
        <w:t>2</w:t>
      </w:r>
      <w:r w:rsidR="00C719DC">
        <w:t>5</w:t>
      </w:r>
      <w:r>
        <w:t xml:space="preserve"> and 20</w:t>
      </w:r>
      <w:r w:rsidR="00E63149">
        <w:t>2</w:t>
      </w:r>
      <w:r w:rsidR="00C719DC">
        <w:t>4</w:t>
      </w:r>
      <w:r>
        <w:t xml:space="preserve"> (unaudited)</w:t>
      </w:r>
      <w:r>
        <w:tab/>
        <w:t>3</w:t>
      </w:r>
    </w:p>
    <w:p w14:paraId="5EC29F91" w14:textId="1E663B4B" w:rsidR="004E3374" w:rsidRDefault="00482106" w:rsidP="004E3374">
      <w:pPr>
        <w:tabs>
          <w:tab w:val="right" w:pos="10080"/>
        </w:tabs>
        <w:ind w:left="900"/>
      </w:pPr>
      <w:r>
        <w:t xml:space="preserve">Condensed </w:t>
      </w:r>
      <w:r w:rsidRPr="000371CC">
        <w:t xml:space="preserve">Consolidated Statements of Cash Flows for the </w:t>
      </w:r>
      <w:r w:rsidR="00C719DC">
        <w:t>three</w:t>
      </w:r>
      <w:r w:rsidR="00CC2136">
        <w:t>-</w:t>
      </w:r>
      <w:r w:rsidR="00F758D1">
        <w:t xml:space="preserve">month </w:t>
      </w:r>
      <w:r w:rsidR="00483E00">
        <w:t xml:space="preserve">periods </w:t>
      </w:r>
      <w:r w:rsidR="00731D11">
        <w:t>ended</w:t>
      </w:r>
    </w:p>
    <w:p w14:paraId="6B706CF1" w14:textId="6B2947CC" w:rsidR="00482106" w:rsidRPr="000371CC" w:rsidRDefault="004E3374" w:rsidP="004E3374">
      <w:pPr>
        <w:tabs>
          <w:tab w:val="right" w:pos="10080"/>
        </w:tabs>
        <w:ind w:left="900"/>
      </w:pPr>
      <w:r>
        <w:t xml:space="preserve">   </w:t>
      </w:r>
      <w:r w:rsidR="00C719DC">
        <w:t>March</w:t>
      </w:r>
      <w:r w:rsidR="0063349C">
        <w:t xml:space="preserve"> </w:t>
      </w:r>
      <w:r w:rsidR="00460775">
        <w:t>3</w:t>
      </w:r>
      <w:r w:rsidR="00C719DC">
        <w:t>1</w:t>
      </w:r>
      <w:r w:rsidR="00823D2D">
        <w:t xml:space="preserve">, </w:t>
      </w:r>
      <w:r w:rsidR="00460775">
        <w:t>20</w:t>
      </w:r>
      <w:r w:rsidR="001F62EC">
        <w:t>2</w:t>
      </w:r>
      <w:r w:rsidR="00C719DC">
        <w:t>5</w:t>
      </w:r>
      <w:r>
        <w:t xml:space="preserve"> </w:t>
      </w:r>
      <w:r w:rsidR="00460775">
        <w:t>and 20</w:t>
      </w:r>
      <w:r w:rsidR="00E63149">
        <w:t>2</w:t>
      </w:r>
      <w:r w:rsidR="00C719DC">
        <w:t>4</w:t>
      </w:r>
      <w:r w:rsidR="00CC10F7">
        <w:t xml:space="preserve"> (unaudited)</w:t>
      </w:r>
      <w:r w:rsidR="00482106">
        <w:tab/>
      </w:r>
      <w:r w:rsidR="00487CAB">
        <w:t>4</w:t>
      </w:r>
    </w:p>
    <w:p w14:paraId="53104FA3" w14:textId="3CB4D21D"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487CAB">
        <w:t>5</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5B0417D6"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E41AF1">
        <w:t>9</w:t>
      </w:r>
    </w:p>
    <w:p w14:paraId="04727900" w14:textId="77777777" w:rsidR="00482106" w:rsidRDefault="00482106" w:rsidP="004E3374">
      <w:pPr>
        <w:tabs>
          <w:tab w:val="left" w:pos="900"/>
          <w:tab w:val="right" w:pos="10080"/>
        </w:tabs>
      </w:pPr>
    </w:p>
    <w:p w14:paraId="19A98050" w14:textId="1875A73C" w:rsidR="00482106" w:rsidRDefault="00482106" w:rsidP="002D1A5A">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884BA5">
        <w:t>1</w:t>
      </w:r>
      <w:r w:rsidR="00E41AF1">
        <w:t>5</w:t>
      </w:r>
    </w:p>
    <w:p w14:paraId="0E38D6CC" w14:textId="77777777" w:rsidR="00793CD5" w:rsidRPr="000371CC" w:rsidRDefault="00793CD5" w:rsidP="002D1A5A">
      <w:pPr>
        <w:tabs>
          <w:tab w:val="left" w:pos="900"/>
          <w:tab w:val="right" w:pos="10080"/>
        </w:tabs>
      </w:pPr>
    </w:p>
    <w:p w14:paraId="16AC473F" w14:textId="579E506C"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E41AF1">
        <w:t>5</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23681BE2"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E41AF1">
        <w:t>6</w:t>
      </w:r>
    </w:p>
    <w:p w14:paraId="073F6D6B" w14:textId="77777777" w:rsidR="00482106" w:rsidRPr="000371CC" w:rsidRDefault="00482106" w:rsidP="004E3374">
      <w:pPr>
        <w:tabs>
          <w:tab w:val="left" w:pos="900"/>
          <w:tab w:val="right" w:pos="10200"/>
        </w:tabs>
      </w:pPr>
    </w:p>
    <w:p w14:paraId="27555486" w14:textId="3439C8AD"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E41AF1">
        <w:t>6</w:t>
      </w:r>
    </w:p>
    <w:p w14:paraId="0F986A6E" w14:textId="77777777" w:rsidR="00482106" w:rsidRPr="000371CC" w:rsidRDefault="00482106" w:rsidP="004E3374">
      <w:pPr>
        <w:tabs>
          <w:tab w:val="left" w:pos="900"/>
          <w:tab w:val="right" w:pos="10080"/>
          <w:tab w:val="right" w:pos="10200"/>
        </w:tabs>
      </w:pPr>
    </w:p>
    <w:p w14:paraId="6537B7F4" w14:textId="1C25A1EC"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E41AF1">
        <w:t>6</w:t>
      </w:r>
    </w:p>
    <w:p w14:paraId="2598FC1C" w14:textId="77777777" w:rsidR="00482106" w:rsidRPr="000371CC" w:rsidRDefault="00482106" w:rsidP="004E3374">
      <w:pPr>
        <w:tabs>
          <w:tab w:val="left" w:pos="900"/>
          <w:tab w:val="right" w:pos="10080"/>
          <w:tab w:val="right" w:pos="10200"/>
        </w:tabs>
      </w:pPr>
    </w:p>
    <w:p w14:paraId="790C8A4C" w14:textId="1FFAADF6"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E41AF1">
        <w:t>6</w:t>
      </w:r>
    </w:p>
    <w:p w14:paraId="7122746D" w14:textId="77777777" w:rsidR="00BF7DB7" w:rsidRDefault="00BF7DB7" w:rsidP="004E3374">
      <w:pPr>
        <w:tabs>
          <w:tab w:val="left" w:pos="900"/>
          <w:tab w:val="right" w:pos="10080"/>
          <w:tab w:val="right" w:pos="10200"/>
        </w:tabs>
      </w:pPr>
    </w:p>
    <w:p w14:paraId="51D96C50" w14:textId="1B832DD4"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E41AF1">
        <w:t>6</w:t>
      </w:r>
    </w:p>
    <w:p w14:paraId="1D1D1680" w14:textId="77777777" w:rsidR="00482106" w:rsidRPr="000371CC" w:rsidRDefault="00482106" w:rsidP="004E3374">
      <w:pPr>
        <w:tabs>
          <w:tab w:val="left" w:pos="900"/>
          <w:tab w:val="right" w:pos="10080"/>
          <w:tab w:val="right" w:pos="10200"/>
        </w:tabs>
      </w:pPr>
    </w:p>
    <w:p w14:paraId="7FF4F361" w14:textId="1B3D0A34"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E41AF1">
        <w:t>6</w:t>
      </w:r>
    </w:p>
    <w:p w14:paraId="7329C9FE" w14:textId="77777777" w:rsidR="00482106" w:rsidRPr="000371CC" w:rsidRDefault="00482106" w:rsidP="004E3374">
      <w:pPr>
        <w:tabs>
          <w:tab w:val="left" w:pos="900"/>
          <w:tab w:val="right" w:pos="10080"/>
          <w:tab w:val="right" w:pos="10200"/>
        </w:tabs>
      </w:pPr>
    </w:p>
    <w:p w14:paraId="25371BEC" w14:textId="6880A5EF"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E41AF1">
        <w:t>7</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5BBC628F"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175A7C">
        <w:t>1</w:t>
      </w:r>
      <w:r w:rsidR="00E41AF1">
        <w:t>8</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5" w:name="_Toc197922408"/>
      <w:r>
        <w:lastRenderedPageBreak/>
        <w:t>Part I</w:t>
      </w:r>
      <w:r w:rsidR="008C2AC9">
        <w:t xml:space="preserve"> -- </w:t>
      </w:r>
      <w:r w:rsidR="001C3695">
        <w:t>F</w:t>
      </w:r>
      <w:r w:rsidR="00277F5A" w:rsidRPr="001C3695">
        <w:t>INANCIAL INFORMATION</w:t>
      </w:r>
      <w:bookmarkEnd w:id="5"/>
    </w:p>
    <w:p w14:paraId="6A278646" w14:textId="77777777" w:rsidR="008C2AC9" w:rsidRPr="008C2AC9" w:rsidRDefault="008C2AC9" w:rsidP="008C2AC9">
      <w:bookmarkStart w:id="6"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6"/>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4F2810" w:rsidRPr="00356734" w14:paraId="793AC12C" w14:textId="77777777" w:rsidTr="007149CF">
        <w:trPr>
          <w:cantSplit/>
          <w:trHeight w:val="230"/>
        </w:trPr>
        <w:tc>
          <w:tcPr>
            <w:tcW w:w="10080" w:type="dxa"/>
            <w:gridSpan w:val="7"/>
          </w:tcPr>
          <w:p w14:paraId="0C2CFE53" w14:textId="77777777" w:rsidR="004F2810" w:rsidRDefault="004F2810" w:rsidP="007149CF">
            <w:pPr>
              <w:pStyle w:val="Heading8"/>
              <w:rPr>
                <w:i w:val="0"/>
                <w:sz w:val="20"/>
                <w:u w:val="none"/>
              </w:rPr>
            </w:pPr>
          </w:p>
          <w:p w14:paraId="3525765E" w14:textId="77777777" w:rsidR="004F2810" w:rsidRPr="00585725" w:rsidRDefault="004F2810" w:rsidP="007149CF">
            <w:pPr>
              <w:pStyle w:val="Heading8"/>
              <w:rPr>
                <w:i w:val="0"/>
                <w:sz w:val="20"/>
                <w:u w:val="none"/>
              </w:rPr>
            </w:pPr>
            <w:r>
              <w:rPr>
                <w:i w:val="0"/>
                <w:sz w:val="20"/>
                <w:u w:val="none"/>
              </w:rPr>
              <w:t>GEOVAX LABS, INC.</w:t>
            </w:r>
          </w:p>
        </w:tc>
      </w:tr>
      <w:tr w:rsidR="004F2810" w:rsidRPr="00356734" w14:paraId="66CE564A" w14:textId="77777777" w:rsidTr="007149CF">
        <w:trPr>
          <w:cantSplit/>
          <w:trHeight w:val="230"/>
        </w:trPr>
        <w:tc>
          <w:tcPr>
            <w:tcW w:w="10080" w:type="dxa"/>
            <w:gridSpan w:val="7"/>
          </w:tcPr>
          <w:p w14:paraId="5E11AAB2" w14:textId="77777777" w:rsidR="004F2810" w:rsidRPr="00356734" w:rsidRDefault="004F2810" w:rsidP="007149CF">
            <w:pPr>
              <w:pStyle w:val="Heading8"/>
              <w:rPr>
                <w:i w:val="0"/>
                <w:sz w:val="20"/>
                <w:u w:val="none"/>
              </w:rPr>
            </w:pPr>
            <w:r w:rsidRPr="00356734">
              <w:rPr>
                <w:i w:val="0"/>
                <w:sz w:val="20"/>
                <w:u w:val="none"/>
              </w:rPr>
              <w:t>CONDENSED CONSOLIDATED BALANCE SHEETS</w:t>
            </w:r>
          </w:p>
        </w:tc>
      </w:tr>
      <w:tr w:rsidR="004F2810" w:rsidRPr="00356734" w14:paraId="3ED00944" w14:textId="77777777" w:rsidTr="007149CF">
        <w:trPr>
          <w:trHeight w:hRule="exact" w:val="230"/>
        </w:trPr>
        <w:tc>
          <w:tcPr>
            <w:tcW w:w="305" w:type="dxa"/>
          </w:tcPr>
          <w:p w14:paraId="14D136BE" w14:textId="77777777" w:rsidR="004F2810" w:rsidRPr="00356734" w:rsidRDefault="004F2810" w:rsidP="007149CF">
            <w:pPr>
              <w:jc w:val="right"/>
              <w:rPr>
                <w:snapToGrid w:val="0"/>
                <w:color w:val="000000"/>
              </w:rPr>
            </w:pPr>
          </w:p>
        </w:tc>
        <w:tc>
          <w:tcPr>
            <w:tcW w:w="302" w:type="dxa"/>
          </w:tcPr>
          <w:p w14:paraId="392DD30B" w14:textId="77777777" w:rsidR="004F2810" w:rsidRPr="00356734" w:rsidRDefault="004F2810" w:rsidP="007149CF">
            <w:pPr>
              <w:jc w:val="right"/>
              <w:rPr>
                <w:snapToGrid w:val="0"/>
                <w:color w:val="000000"/>
              </w:rPr>
            </w:pPr>
          </w:p>
        </w:tc>
        <w:tc>
          <w:tcPr>
            <w:tcW w:w="5513" w:type="dxa"/>
          </w:tcPr>
          <w:p w14:paraId="2E06136E" w14:textId="77777777" w:rsidR="004F2810" w:rsidRPr="00356734" w:rsidRDefault="004F2810" w:rsidP="007149CF">
            <w:pPr>
              <w:jc w:val="right"/>
              <w:rPr>
                <w:snapToGrid w:val="0"/>
                <w:color w:val="000000"/>
              </w:rPr>
            </w:pPr>
          </w:p>
        </w:tc>
        <w:tc>
          <w:tcPr>
            <w:tcW w:w="90" w:type="dxa"/>
          </w:tcPr>
          <w:p w14:paraId="3A2432E9" w14:textId="77777777" w:rsidR="004F2810" w:rsidRPr="00356734" w:rsidRDefault="004F2810" w:rsidP="007149CF">
            <w:pPr>
              <w:jc w:val="right"/>
              <w:rPr>
                <w:snapToGrid w:val="0"/>
                <w:color w:val="000000"/>
              </w:rPr>
            </w:pPr>
          </w:p>
        </w:tc>
        <w:tc>
          <w:tcPr>
            <w:tcW w:w="3870" w:type="dxa"/>
            <w:gridSpan w:val="3"/>
          </w:tcPr>
          <w:p w14:paraId="19C1E738" w14:textId="77777777" w:rsidR="004F2810" w:rsidRPr="00356734" w:rsidRDefault="004F2810" w:rsidP="007149CF">
            <w:pPr>
              <w:jc w:val="center"/>
              <w:rPr>
                <w:snapToGrid w:val="0"/>
                <w:color w:val="000000"/>
              </w:rPr>
            </w:pPr>
          </w:p>
        </w:tc>
      </w:tr>
      <w:tr w:rsidR="004F2810" w:rsidRPr="00356734" w14:paraId="16B69BD9" w14:textId="77777777" w:rsidTr="007149CF">
        <w:trPr>
          <w:trHeight w:hRule="exact" w:val="230"/>
        </w:trPr>
        <w:tc>
          <w:tcPr>
            <w:tcW w:w="305" w:type="dxa"/>
          </w:tcPr>
          <w:p w14:paraId="4E0038D7" w14:textId="77777777" w:rsidR="004F2810" w:rsidRPr="00356734" w:rsidRDefault="004F2810" w:rsidP="007149CF">
            <w:pPr>
              <w:jc w:val="right"/>
              <w:rPr>
                <w:snapToGrid w:val="0"/>
                <w:color w:val="000000"/>
              </w:rPr>
            </w:pPr>
          </w:p>
        </w:tc>
        <w:tc>
          <w:tcPr>
            <w:tcW w:w="302" w:type="dxa"/>
          </w:tcPr>
          <w:p w14:paraId="7991605A" w14:textId="77777777" w:rsidR="004F2810" w:rsidRPr="00356734" w:rsidRDefault="004F2810" w:rsidP="007149CF">
            <w:pPr>
              <w:jc w:val="right"/>
              <w:rPr>
                <w:snapToGrid w:val="0"/>
                <w:color w:val="000000"/>
              </w:rPr>
            </w:pPr>
          </w:p>
        </w:tc>
        <w:tc>
          <w:tcPr>
            <w:tcW w:w="5513" w:type="dxa"/>
          </w:tcPr>
          <w:p w14:paraId="592A4B23" w14:textId="77777777" w:rsidR="004F2810" w:rsidRPr="00356734" w:rsidRDefault="004F2810" w:rsidP="007149CF">
            <w:pPr>
              <w:jc w:val="right"/>
              <w:rPr>
                <w:snapToGrid w:val="0"/>
                <w:color w:val="000000"/>
              </w:rPr>
            </w:pPr>
          </w:p>
        </w:tc>
        <w:tc>
          <w:tcPr>
            <w:tcW w:w="90" w:type="dxa"/>
          </w:tcPr>
          <w:p w14:paraId="46917407" w14:textId="77777777" w:rsidR="004F2810" w:rsidRPr="00356734" w:rsidRDefault="004F2810" w:rsidP="007149CF">
            <w:pPr>
              <w:jc w:val="right"/>
              <w:rPr>
                <w:snapToGrid w:val="0"/>
                <w:color w:val="000000"/>
              </w:rPr>
            </w:pPr>
          </w:p>
        </w:tc>
        <w:tc>
          <w:tcPr>
            <w:tcW w:w="1710" w:type="dxa"/>
          </w:tcPr>
          <w:p w14:paraId="551D031D" w14:textId="03BB50EE" w:rsidR="004F2810" w:rsidRPr="00356734" w:rsidRDefault="00C719DC" w:rsidP="007149CF">
            <w:pPr>
              <w:jc w:val="center"/>
              <w:rPr>
                <w:snapToGrid w:val="0"/>
                <w:color w:val="000000"/>
              </w:rPr>
            </w:pPr>
            <w:r>
              <w:rPr>
                <w:snapToGrid w:val="0"/>
                <w:color w:val="000000"/>
              </w:rPr>
              <w:t>March</w:t>
            </w:r>
            <w:r w:rsidR="004F2810">
              <w:rPr>
                <w:snapToGrid w:val="0"/>
                <w:color w:val="000000"/>
              </w:rPr>
              <w:t xml:space="preserve"> 3</w:t>
            </w:r>
            <w:r>
              <w:rPr>
                <w:snapToGrid w:val="0"/>
                <w:color w:val="000000"/>
              </w:rPr>
              <w:t>1</w:t>
            </w:r>
            <w:r w:rsidR="005A0E70">
              <w:rPr>
                <w:snapToGrid w:val="0"/>
                <w:color w:val="000000"/>
              </w:rPr>
              <w:t>,</w:t>
            </w:r>
          </w:p>
        </w:tc>
        <w:tc>
          <w:tcPr>
            <w:tcW w:w="270" w:type="dxa"/>
          </w:tcPr>
          <w:p w14:paraId="550D4FD1" w14:textId="77777777" w:rsidR="004F2810" w:rsidRPr="00356734" w:rsidRDefault="004F2810" w:rsidP="007149CF">
            <w:pPr>
              <w:jc w:val="right"/>
              <w:rPr>
                <w:snapToGrid w:val="0"/>
                <w:color w:val="000000"/>
              </w:rPr>
            </w:pPr>
          </w:p>
        </w:tc>
        <w:tc>
          <w:tcPr>
            <w:tcW w:w="1890" w:type="dxa"/>
          </w:tcPr>
          <w:p w14:paraId="7ABBEE6C" w14:textId="77777777" w:rsidR="004F2810" w:rsidRPr="00356734" w:rsidRDefault="004F2810" w:rsidP="007149CF">
            <w:pPr>
              <w:jc w:val="center"/>
              <w:rPr>
                <w:snapToGrid w:val="0"/>
                <w:color w:val="000000"/>
              </w:rPr>
            </w:pPr>
            <w:r w:rsidRPr="00356734">
              <w:rPr>
                <w:snapToGrid w:val="0"/>
                <w:color w:val="000000"/>
              </w:rPr>
              <w:t>December 31,</w:t>
            </w:r>
          </w:p>
        </w:tc>
      </w:tr>
      <w:tr w:rsidR="004F2810" w:rsidRPr="00356734" w14:paraId="1A7973D9" w14:textId="77777777" w:rsidTr="007149CF">
        <w:trPr>
          <w:trHeight w:hRule="exact" w:val="230"/>
        </w:trPr>
        <w:tc>
          <w:tcPr>
            <w:tcW w:w="305" w:type="dxa"/>
          </w:tcPr>
          <w:p w14:paraId="76859BFC" w14:textId="77777777" w:rsidR="004F2810" w:rsidRPr="00356734" w:rsidRDefault="004F2810" w:rsidP="007149CF">
            <w:pPr>
              <w:jc w:val="right"/>
              <w:rPr>
                <w:snapToGrid w:val="0"/>
                <w:color w:val="000000"/>
              </w:rPr>
            </w:pPr>
          </w:p>
        </w:tc>
        <w:tc>
          <w:tcPr>
            <w:tcW w:w="302" w:type="dxa"/>
          </w:tcPr>
          <w:p w14:paraId="7EBE0FAC" w14:textId="77777777" w:rsidR="004F2810" w:rsidRPr="00356734" w:rsidRDefault="004F2810" w:rsidP="007149CF">
            <w:pPr>
              <w:jc w:val="right"/>
              <w:rPr>
                <w:snapToGrid w:val="0"/>
                <w:color w:val="000000"/>
              </w:rPr>
            </w:pPr>
          </w:p>
        </w:tc>
        <w:tc>
          <w:tcPr>
            <w:tcW w:w="5513" w:type="dxa"/>
          </w:tcPr>
          <w:p w14:paraId="5C6C46DF" w14:textId="77777777" w:rsidR="004F2810" w:rsidRPr="00356734" w:rsidRDefault="004F2810" w:rsidP="007149CF">
            <w:pPr>
              <w:jc w:val="right"/>
              <w:rPr>
                <w:snapToGrid w:val="0"/>
                <w:color w:val="000000"/>
              </w:rPr>
            </w:pPr>
          </w:p>
        </w:tc>
        <w:tc>
          <w:tcPr>
            <w:tcW w:w="90" w:type="dxa"/>
          </w:tcPr>
          <w:p w14:paraId="40E7CFEC" w14:textId="77777777" w:rsidR="004F2810" w:rsidRPr="00356734" w:rsidRDefault="004F2810" w:rsidP="007149CF">
            <w:pPr>
              <w:jc w:val="right"/>
              <w:rPr>
                <w:snapToGrid w:val="0"/>
                <w:color w:val="000000"/>
              </w:rPr>
            </w:pPr>
          </w:p>
        </w:tc>
        <w:tc>
          <w:tcPr>
            <w:tcW w:w="1710" w:type="dxa"/>
            <w:tcBorders>
              <w:bottom w:val="single" w:sz="6" w:space="0" w:color="auto"/>
            </w:tcBorders>
          </w:tcPr>
          <w:p w14:paraId="182074B1" w14:textId="10735038" w:rsidR="004F2810" w:rsidRPr="00356734" w:rsidRDefault="004F2810" w:rsidP="007149CF">
            <w:pPr>
              <w:jc w:val="center"/>
              <w:rPr>
                <w:snapToGrid w:val="0"/>
                <w:color w:val="000000"/>
              </w:rPr>
            </w:pPr>
            <w:r>
              <w:rPr>
                <w:snapToGrid w:val="0"/>
                <w:color w:val="000000"/>
              </w:rPr>
              <w:t>202</w:t>
            </w:r>
            <w:r w:rsidR="00C719DC">
              <w:rPr>
                <w:snapToGrid w:val="0"/>
                <w:color w:val="000000"/>
              </w:rPr>
              <w:t>5</w:t>
            </w:r>
          </w:p>
        </w:tc>
        <w:tc>
          <w:tcPr>
            <w:tcW w:w="270" w:type="dxa"/>
          </w:tcPr>
          <w:p w14:paraId="3029699E" w14:textId="77777777" w:rsidR="004F2810" w:rsidRPr="00356734" w:rsidRDefault="004F2810" w:rsidP="007149CF">
            <w:pPr>
              <w:jc w:val="right"/>
              <w:rPr>
                <w:snapToGrid w:val="0"/>
                <w:color w:val="000000"/>
              </w:rPr>
            </w:pPr>
          </w:p>
        </w:tc>
        <w:tc>
          <w:tcPr>
            <w:tcW w:w="1890" w:type="dxa"/>
            <w:tcBorders>
              <w:bottom w:val="single" w:sz="6" w:space="0" w:color="auto"/>
            </w:tcBorders>
          </w:tcPr>
          <w:p w14:paraId="3FC59888" w14:textId="629DD761" w:rsidR="004F2810" w:rsidRPr="00356734" w:rsidRDefault="004F2810" w:rsidP="007149CF">
            <w:pPr>
              <w:jc w:val="center"/>
              <w:rPr>
                <w:snapToGrid w:val="0"/>
                <w:color w:val="000000"/>
              </w:rPr>
            </w:pPr>
            <w:r w:rsidRPr="00356734">
              <w:rPr>
                <w:snapToGrid w:val="0"/>
                <w:color w:val="000000"/>
              </w:rPr>
              <w:t>20</w:t>
            </w:r>
            <w:r>
              <w:rPr>
                <w:snapToGrid w:val="0"/>
                <w:color w:val="000000"/>
              </w:rPr>
              <w:t>2</w:t>
            </w:r>
            <w:r w:rsidR="00C719DC">
              <w:rPr>
                <w:snapToGrid w:val="0"/>
                <w:color w:val="000000"/>
              </w:rPr>
              <w:t>4</w:t>
            </w:r>
          </w:p>
        </w:tc>
      </w:tr>
      <w:tr w:rsidR="004F2810" w:rsidRPr="00EB7BF0" w14:paraId="5BB37AA2" w14:textId="77777777" w:rsidTr="007149CF">
        <w:trPr>
          <w:trHeight w:hRule="exact" w:val="230"/>
        </w:trPr>
        <w:tc>
          <w:tcPr>
            <w:tcW w:w="6120" w:type="dxa"/>
            <w:gridSpan w:val="3"/>
          </w:tcPr>
          <w:p w14:paraId="405E0886" w14:textId="77777777" w:rsidR="004F2810" w:rsidRPr="00EB7BF0" w:rsidRDefault="004F2810" w:rsidP="007149CF">
            <w:pPr>
              <w:rPr>
                <w:snapToGrid w:val="0"/>
                <w:color w:val="000000"/>
              </w:rPr>
            </w:pPr>
          </w:p>
        </w:tc>
        <w:tc>
          <w:tcPr>
            <w:tcW w:w="90" w:type="dxa"/>
          </w:tcPr>
          <w:p w14:paraId="7279DB76" w14:textId="77777777" w:rsidR="004F2810" w:rsidRPr="00EB7BF0" w:rsidRDefault="004F2810" w:rsidP="007149CF">
            <w:pPr>
              <w:jc w:val="right"/>
              <w:rPr>
                <w:snapToGrid w:val="0"/>
                <w:color w:val="000000"/>
              </w:rPr>
            </w:pPr>
          </w:p>
        </w:tc>
        <w:tc>
          <w:tcPr>
            <w:tcW w:w="1710" w:type="dxa"/>
          </w:tcPr>
          <w:p w14:paraId="47E53574" w14:textId="77777777" w:rsidR="004F2810" w:rsidRPr="00EB7BF0" w:rsidRDefault="004F2810" w:rsidP="007149CF">
            <w:pPr>
              <w:jc w:val="center"/>
              <w:rPr>
                <w:snapToGrid w:val="0"/>
                <w:color w:val="000000"/>
              </w:rPr>
            </w:pPr>
            <w:r>
              <w:rPr>
                <w:snapToGrid w:val="0"/>
                <w:color w:val="000000"/>
              </w:rPr>
              <w:t>(unaudited)</w:t>
            </w:r>
          </w:p>
        </w:tc>
        <w:tc>
          <w:tcPr>
            <w:tcW w:w="270" w:type="dxa"/>
          </w:tcPr>
          <w:p w14:paraId="3F407915" w14:textId="77777777" w:rsidR="004F2810" w:rsidRPr="00EB7BF0" w:rsidRDefault="004F2810" w:rsidP="007149CF">
            <w:pPr>
              <w:jc w:val="center"/>
              <w:rPr>
                <w:snapToGrid w:val="0"/>
                <w:color w:val="000000"/>
              </w:rPr>
            </w:pPr>
          </w:p>
        </w:tc>
        <w:tc>
          <w:tcPr>
            <w:tcW w:w="1890" w:type="dxa"/>
          </w:tcPr>
          <w:p w14:paraId="27720195" w14:textId="77777777" w:rsidR="004F2810" w:rsidRPr="00EB7BF0" w:rsidRDefault="004F2810" w:rsidP="007149CF">
            <w:pPr>
              <w:jc w:val="center"/>
              <w:rPr>
                <w:snapToGrid w:val="0"/>
                <w:color w:val="000000"/>
              </w:rPr>
            </w:pPr>
          </w:p>
        </w:tc>
      </w:tr>
      <w:tr w:rsidR="004F2810" w:rsidRPr="00EB7BF0" w14:paraId="07E3F118" w14:textId="77777777" w:rsidTr="007149CF">
        <w:trPr>
          <w:trHeight w:hRule="exact" w:val="230"/>
        </w:trPr>
        <w:tc>
          <w:tcPr>
            <w:tcW w:w="6120" w:type="dxa"/>
            <w:gridSpan w:val="3"/>
          </w:tcPr>
          <w:p w14:paraId="0F7479F6" w14:textId="77777777" w:rsidR="004F2810" w:rsidRPr="00EB7BF0" w:rsidRDefault="004F2810" w:rsidP="007149CF">
            <w:pPr>
              <w:rPr>
                <w:snapToGrid w:val="0"/>
                <w:color w:val="000000"/>
              </w:rPr>
            </w:pPr>
            <w:r w:rsidRPr="00374FE3">
              <w:rPr>
                <w:snapToGrid w:val="0"/>
                <w:color w:val="000000"/>
              </w:rPr>
              <w:t>ASSETS</w:t>
            </w:r>
          </w:p>
        </w:tc>
        <w:tc>
          <w:tcPr>
            <w:tcW w:w="90" w:type="dxa"/>
          </w:tcPr>
          <w:p w14:paraId="0277956F" w14:textId="77777777" w:rsidR="004F2810" w:rsidRPr="00EB7BF0" w:rsidRDefault="004F2810" w:rsidP="007149CF">
            <w:pPr>
              <w:jc w:val="right"/>
              <w:rPr>
                <w:snapToGrid w:val="0"/>
                <w:color w:val="000000"/>
              </w:rPr>
            </w:pPr>
          </w:p>
        </w:tc>
        <w:tc>
          <w:tcPr>
            <w:tcW w:w="1710" w:type="dxa"/>
          </w:tcPr>
          <w:p w14:paraId="40AC663E" w14:textId="77777777" w:rsidR="004F2810" w:rsidRDefault="004F2810" w:rsidP="007149CF">
            <w:pPr>
              <w:jc w:val="center"/>
              <w:rPr>
                <w:snapToGrid w:val="0"/>
                <w:color w:val="000000"/>
              </w:rPr>
            </w:pPr>
          </w:p>
        </w:tc>
        <w:tc>
          <w:tcPr>
            <w:tcW w:w="270" w:type="dxa"/>
          </w:tcPr>
          <w:p w14:paraId="30DB24BB" w14:textId="77777777" w:rsidR="004F2810" w:rsidRPr="00EB7BF0" w:rsidRDefault="004F2810" w:rsidP="007149CF">
            <w:pPr>
              <w:jc w:val="center"/>
              <w:rPr>
                <w:snapToGrid w:val="0"/>
                <w:color w:val="000000"/>
              </w:rPr>
            </w:pPr>
          </w:p>
        </w:tc>
        <w:tc>
          <w:tcPr>
            <w:tcW w:w="1890" w:type="dxa"/>
          </w:tcPr>
          <w:p w14:paraId="621CD9FF" w14:textId="77777777" w:rsidR="004F2810" w:rsidRPr="00EB7BF0" w:rsidRDefault="004F2810" w:rsidP="007149CF">
            <w:pPr>
              <w:jc w:val="center"/>
              <w:rPr>
                <w:snapToGrid w:val="0"/>
                <w:color w:val="000000"/>
              </w:rPr>
            </w:pPr>
          </w:p>
        </w:tc>
      </w:tr>
      <w:tr w:rsidR="004F2810" w:rsidRPr="00EB7BF0" w14:paraId="1179E91B" w14:textId="77777777" w:rsidTr="007149CF">
        <w:trPr>
          <w:trHeight w:hRule="exact" w:val="230"/>
        </w:trPr>
        <w:tc>
          <w:tcPr>
            <w:tcW w:w="6120" w:type="dxa"/>
            <w:gridSpan w:val="3"/>
          </w:tcPr>
          <w:p w14:paraId="4EA4D6F2" w14:textId="77777777" w:rsidR="004F2810" w:rsidRPr="00EB7BF0" w:rsidRDefault="004F2810" w:rsidP="007149CF">
            <w:pPr>
              <w:rPr>
                <w:snapToGrid w:val="0"/>
                <w:color w:val="000000"/>
              </w:rPr>
            </w:pPr>
            <w:r w:rsidRPr="00374FE3">
              <w:rPr>
                <w:snapToGrid w:val="0"/>
                <w:color w:val="000000"/>
              </w:rPr>
              <w:t>Current assets:</w:t>
            </w:r>
          </w:p>
        </w:tc>
        <w:tc>
          <w:tcPr>
            <w:tcW w:w="90" w:type="dxa"/>
          </w:tcPr>
          <w:p w14:paraId="24D6E8B8" w14:textId="77777777" w:rsidR="004F2810" w:rsidRPr="00EB7BF0" w:rsidRDefault="004F2810" w:rsidP="007149CF">
            <w:pPr>
              <w:jc w:val="right"/>
              <w:rPr>
                <w:snapToGrid w:val="0"/>
                <w:color w:val="000000"/>
              </w:rPr>
            </w:pPr>
          </w:p>
        </w:tc>
        <w:tc>
          <w:tcPr>
            <w:tcW w:w="1710" w:type="dxa"/>
          </w:tcPr>
          <w:p w14:paraId="63AA9669" w14:textId="77777777" w:rsidR="004F2810" w:rsidRPr="00EB7BF0" w:rsidRDefault="004F2810" w:rsidP="007149CF">
            <w:pPr>
              <w:jc w:val="right"/>
              <w:rPr>
                <w:snapToGrid w:val="0"/>
                <w:color w:val="000000"/>
              </w:rPr>
            </w:pPr>
          </w:p>
        </w:tc>
        <w:tc>
          <w:tcPr>
            <w:tcW w:w="270" w:type="dxa"/>
          </w:tcPr>
          <w:p w14:paraId="2259237F" w14:textId="77777777" w:rsidR="004F2810" w:rsidRPr="00EB7BF0" w:rsidRDefault="004F2810" w:rsidP="007149CF">
            <w:pPr>
              <w:jc w:val="right"/>
              <w:rPr>
                <w:snapToGrid w:val="0"/>
                <w:color w:val="000000"/>
              </w:rPr>
            </w:pPr>
          </w:p>
        </w:tc>
        <w:tc>
          <w:tcPr>
            <w:tcW w:w="1890" w:type="dxa"/>
          </w:tcPr>
          <w:p w14:paraId="50B38173" w14:textId="77777777" w:rsidR="004F2810" w:rsidRPr="00EB7BF0" w:rsidRDefault="004F2810" w:rsidP="007149CF">
            <w:pPr>
              <w:jc w:val="right"/>
              <w:rPr>
                <w:snapToGrid w:val="0"/>
                <w:color w:val="000000"/>
              </w:rPr>
            </w:pPr>
          </w:p>
        </w:tc>
      </w:tr>
      <w:tr w:rsidR="004F2810" w:rsidRPr="00EB7BF0" w14:paraId="4E555D56" w14:textId="77777777" w:rsidTr="007149CF">
        <w:trPr>
          <w:trHeight w:hRule="exact" w:val="230"/>
        </w:trPr>
        <w:tc>
          <w:tcPr>
            <w:tcW w:w="305" w:type="dxa"/>
          </w:tcPr>
          <w:p w14:paraId="0CF05980" w14:textId="77777777" w:rsidR="004F2810" w:rsidRPr="00EB7BF0" w:rsidRDefault="004F2810" w:rsidP="007149CF">
            <w:pPr>
              <w:rPr>
                <w:snapToGrid w:val="0"/>
                <w:color w:val="000000"/>
              </w:rPr>
            </w:pPr>
          </w:p>
        </w:tc>
        <w:tc>
          <w:tcPr>
            <w:tcW w:w="5815" w:type="dxa"/>
            <w:gridSpan w:val="2"/>
          </w:tcPr>
          <w:p w14:paraId="7BA628D0" w14:textId="77777777" w:rsidR="004F2810" w:rsidRPr="00EB7BF0" w:rsidRDefault="004F2810" w:rsidP="007149CF">
            <w:pPr>
              <w:rPr>
                <w:b/>
                <w:snapToGrid w:val="0"/>
                <w:color w:val="000000"/>
              </w:rPr>
            </w:pPr>
            <w:r w:rsidRPr="00374FE3">
              <w:rPr>
                <w:snapToGrid w:val="0"/>
                <w:color w:val="000000"/>
              </w:rPr>
              <w:t>Cash and cash equivalents</w:t>
            </w:r>
          </w:p>
        </w:tc>
        <w:tc>
          <w:tcPr>
            <w:tcW w:w="90" w:type="dxa"/>
          </w:tcPr>
          <w:p w14:paraId="30789EF0" w14:textId="77777777" w:rsidR="004F2810" w:rsidRPr="00EB7BF0" w:rsidRDefault="004F2810" w:rsidP="007149CF">
            <w:pPr>
              <w:jc w:val="right"/>
              <w:rPr>
                <w:snapToGrid w:val="0"/>
                <w:color w:val="000000"/>
              </w:rPr>
            </w:pPr>
          </w:p>
        </w:tc>
        <w:tc>
          <w:tcPr>
            <w:tcW w:w="1710" w:type="dxa"/>
          </w:tcPr>
          <w:p w14:paraId="1E761BE8" w14:textId="5A6AD1C7" w:rsidR="004F2810" w:rsidRPr="00EB7BF0" w:rsidRDefault="004F2810" w:rsidP="007149CF">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965A43">
              <w:rPr>
                <w:snapToGrid w:val="0"/>
                <w:color w:val="000000"/>
              </w:rPr>
              <w:t>7,438,769</w:t>
            </w:r>
          </w:p>
        </w:tc>
        <w:tc>
          <w:tcPr>
            <w:tcW w:w="270" w:type="dxa"/>
          </w:tcPr>
          <w:p w14:paraId="34194808" w14:textId="77777777" w:rsidR="004F2810" w:rsidRPr="00EB7BF0" w:rsidRDefault="004F2810" w:rsidP="007149CF">
            <w:pPr>
              <w:jc w:val="right"/>
              <w:rPr>
                <w:snapToGrid w:val="0"/>
                <w:color w:val="000000"/>
              </w:rPr>
            </w:pPr>
          </w:p>
        </w:tc>
        <w:tc>
          <w:tcPr>
            <w:tcW w:w="1890" w:type="dxa"/>
          </w:tcPr>
          <w:p w14:paraId="48ED2FF3" w14:textId="65E72728" w:rsidR="004F2810" w:rsidRPr="00EB7BF0" w:rsidRDefault="004F2810" w:rsidP="007149CF">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r>
            <w:r w:rsidR="00C719DC">
              <w:rPr>
                <w:snapToGrid w:val="0"/>
                <w:color w:val="000000"/>
              </w:rPr>
              <w:t>5,506,941</w:t>
            </w:r>
          </w:p>
        </w:tc>
      </w:tr>
      <w:tr w:rsidR="00262FED" w:rsidRPr="00EB7BF0" w14:paraId="5C1C9D62" w14:textId="77777777" w:rsidTr="007149CF">
        <w:trPr>
          <w:trHeight w:hRule="exact" w:val="230"/>
        </w:trPr>
        <w:tc>
          <w:tcPr>
            <w:tcW w:w="305" w:type="dxa"/>
          </w:tcPr>
          <w:p w14:paraId="5FCE5A38" w14:textId="77777777" w:rsidR="00262FED" w:rsidRPr="00EB7BF0" w:rsidRDefault="00262FED" w:rsidP="007149CF">
            <w:pPr>
              <w:rPr>
                <w:snapToGrid w:val="0"/>
                <w:color w:val="000000"/>
              </w:rPr>
            </w:pPr>
          </w:p>
        </w:tc>
        <w:tc>
          <w:tcPr>
            <w:tcW w:w="5815" w:type="dxa"/>
            <w:gridSpan w:val="2"/>
          </w:tcPr>
          <w:p w14:paraId="0A67F069" w14:textId="242FC3C9" w:rsidR="00262FED" w:rsidRPr="00374FE3" w:rsidRDefault="00C719DC" w:rsidP="007149CF">
            <w:pPr>
              <w:rPr>
                <w:snapToGrid w:val="0"/>
                <w:color w:val="000000"/>
              </w:rPr>
            </w:pPr>
            <w:r>
              <w:rPr>
                <w:snapToGrid w:val="0"/>
                <w:color w:val="000000"/>
              </w:rPr>
              <w:t>Government contract receivable</w:t>
            </w:r>
          </w:p>
        </w:tc>
        <w:tc>
          <w:tcPr>
            <w:tcW w:w="90" w:type="dxa"/>
          </w:tcPr>
          <w:p w14:paraId="507EAC5B" w14:textId="77777777" w:rsidR="00262FED" w:rsidRPr="00EB7BF0" w:rsidRDefault="00262FED" w:rsidP="007149CF">
            <w:pPr>
              <w:jc w:val="right"/>
              <w:rPr>
                <w:snapToGrid w:val="0"/>
                <w:color w:val="000000"/>
              </w:rPr>
            </w:pPr>
          </w:p>
        </w:tc>
        <w:tc>
          <w:tcPr>
            <w:tcW w:w="1710" w:type="dxa"/>
          </w:tcPr>
          <w:p w14:paraId="26A71273" w14:textId="3F0A1BD1" w:rsidR="00262FED" w:rsidRPr="00374FE3" w:rsidRDefault="00965A43" w:rsidP="00262FED">
            <w:pPr>
              <w:tabs>
                <w:tab w:val="decimal" w:pos="1320"/>
              </w:tabs>
              <w:rPr>
                <w:snapToGrid w:val="0"/>
                <w:color w:val="000000"/>
              </w:rPr>
            </w:pPr>
            <w:r>
              <w:rPr>
                <w:snapToGrid w:val="0"/>
                <w:color w:val="000000"/>
              </w:rPr>
              <w:t>1,497,545</w:t>
            </w:r>
          </w:p>
        </w:tc>
        <w:tc>
          <w:tcPr>
            <w:tcW w:w="270" w:type="dxa"/>
          </w:tcPr>
          <w:p w14:paraId="727B9520" w14:textId="77777777" w:rsidR="00262FED" w:rsidRPr="00EB7BF0" w:rsidRDefault="00262FED" w:rsidP="007149CF">
            <w:pPr>
              <w:jc w:val="right"/>
              <w:rPr>
                <w:snapToGrid w:val="0"/>
                <w:color w:val="000000"/>
              </w:rPr>
            </w:pPr>
          </w:p>
        </w:tc>
        <w:tc>
          <w:tcPr>
            <w:tcW w:w="1890" w:type="dxa"/>
          </w:tcPr>
          <w:p w14:paraId="0A14D42E" w14:textId="6A36D9D6" w:rsidR="00262FED" w:rsidRDefault="00C719DC" w:rsidP="00262FED">
            <w:pPr>
              <w:tabs>
                <w:tab w:val="decimal" w:pos="1500"/>
              </w:tabs>
              <w:rPr>
                <w:snapToGrid w:val="0"/>
                <w:color w:val="000000"/>
              </w:rPr>
            </w:pPr>
            <w:r>
              <w:rPr>
                <w:snapToGrid w:val="0"/>
                <w:color w:val="000000"/>
              </w:rPr>
              <w:t>659,409</w:t>
            </w:r>
          </w:p>
        </w:tc>
      </w:tr>
      <w:tr w:rsidR="004F2810" w:rsidRPr="00EB7BF0" w14:paraId="4FE7A57C" w14:textId="77777777" w:rsidTr="007149CF">
        <w:trPr>
          <w:trHeight w:hRule="exact" w:val="230"/>
        </w:trPr>
        <w:tc>
          <w:tcPr>
            <w:tcW w:w="305" w:type="dxa"/>
          </w:tcPr>
          <w:p w14:paraId="3BEA80D6" w14:textId="77777777" w:rsidR="004F2810" w:rsidRPr="00EB7BF0" w:rsidRDefault="004F2810" w:rsidP="007149CF">
            <w:pPr>
              <w:jc w:val="right"/>
              <w:rPr>
                <w:snapToGrid w:val="0"/>
                <w:color w:val="000000"/>
              </w:rPr>
            </w:pPr>
          </w:p>
        </w:tc>
        <w:tc>
          <w:tcPr>
            <w:tcW w:w="5815" w:type="dxa"/>
            <w:gridSpan w:val="2"/>
          </w:tcPr>
          <w:p w14:paraId="2E5D6E5B" w14:textId="77777777" w:rsidR="004F2810" w:rsidRPr="00EB7BF0" w:rsidRDefault="004F2810" w:rsidP="007149CF">
            <w:pPr>
              <w:rPr>
                <w:b/>
                <w:snapToGrid w:val="0"/>
                <w:color w:val="000000"/>
              </w:rPr>
            </w:pPr>
            <w:r w:rsidRPr="00374FE3">
              <w:rPr>
                <w:snapToGrid w:val="0"/>
                <w:color w:val="000000"/>
              </w:rPr>
              <w:t>Prepaid expenses</w:t>
            </w:r>
          </w:p>
        </w:tc>
        <w:tc>
          <w:tcPr>
            <w:tcW w:w="90" w:type="dxa"/>
          </w:tcPr>
          <w:p w14:paraId="515F6004" w14:textId="77777777" w:rsidR="004F2810" w:rsidRPr="00EB7BF0" w:rsidRDefault="004F2810" w:rsidP="007149CF">
            <w:pPr>
              <w:jc w:val="right"/>
              <w:rPr>
                <w:snapToGrid w:val="0"/>
                <w:color w:val="000000"/>
              </w:rPr>
            </w:pPr>
          </w:p>
        </w:tc>
        <w:tc>
          <w:tcPr>
            <w:tcW w:w="1710" w:type="dxa"/>
            <w:tcBorders>
              <w:bottom w:val="single" w:sz="4" w:space="0" w:color="auto"/>
            </w:tcBorders>
          </w:tcPr>
          <w:p w14:paraId="52F353D1" w14:textId="1D45C322" w:rsidR="004F2810" w:rsidRPr="00EB7BF0" w:rsidRDefault="00965A43" w:rsidP="007149CF">
            <w:pPr>
              <w:tabs>
                <w:tab w:val="decimal" w:pos="1320"/>
              </w:tabs>
              <w:rPr>
                <w:snapToGrid w:val="0"/>
                <w:color w:val="000000"/>
              </w:rPr>
            </w:pPr>
            <w:r>
              <w:rPr>
                <w:snapToGrid w:val="0"/>
                <w:color w:val="000000"/>
              </w:rPr>
              <w:t>1,676,093</w:t>
            </w:r>
          </w:p>
        </w:tc>
        <w:tc>
          <w:tcPr>
            <w:tcW w:w="270" w:type="dxa"/>
          </w:tcPr>
          <w:p w14:paraId="5BE35503" w14:textId="77777777" w:rsidR="004F2810" w:rsidRPr="00EB7BF0" w:rsidRDefault="004F2810" w:rsidP="007149CF">
            <w:pPr>
              <w:jc w:val="right"/>
              <w:rPr>
                <w:snapToGrid w:val="0"/>
                <w:color w:val="000000"/>
              </w:rPr>
            </w:pPr>
          </w:p>
        </w:tc>
        <w:tc>
          <w:tcPr>
            <w:tcW w:w="1890" w:type="dxa"/>
            <w:tcBorders>
              <w:bottom w:val="single" w:sz="4" w:space="0" w:color="auto"/>
            </w:tcBorders>
          </w:tcPr>
          <w:p w14:paraId="3B4136FF" w14:textId="49290C1D" w:rsidR="004F2810" w:rsidRPr="00EB7BF0" w:rsidRDefault="00C719DC" w:rsidP="007149CF">
            <w:pPr>
              <w:tabs>
                <w:tab w:val="decimal" w:pos="1500"/>
              </w:tabs>
              <w:rPr>
                <w:snapToGrid w:val="0"/>
                <w:color w:val="000000"/>
              </w:rPr>
            </w:pPr>
            <w:r>
              <w:rPr>
                <w:snapToGrid w:val="0"/>
                <w:color w:val="000000"/>
              </w:rPr>
              <w:t>1,768,533</w:t>
            </w:r>
          </w:p>
        </w:tc>
      </w:tr>
      <w:tr w:rsidR="004F2810" w:rsidRPr="00EB7BF0" w14:paraId="62DE1FC6" w14:textId="77777777" w:rsidTr="007149CF">
        <w:trPr>
          <w:trHeight w:hRule="exact" w:val="230"/>
        </w:trPr>
        <w:tc>
          <w:tcPr>
            <w:tcW w:w="6120" w:type="dxa"/>
            <w:gridSpan w:val="3"/>
          </w:tcPr>
          <w:p w14:paraId="04C45F84" w14:textId="77777777" w:rsidR="004F2810" w:rsidRPr="00E74795" w:rsidRDefault="004F2810" w:rsidP="007149CF">
            <w:pPr>
              <w:rPr>
                <w:snapToGrid w:val="0"/>
                <w:color w:val="000000"/>
              </w:rPr>
            </w:pPr>
            <w:r w:rsidRPr="00374FE3">
              <w:rPr>
                <w:snapToGrid w:val="0"/>
                <w:color w:val="000000"/>
              </w:rPr>
              <w:t>Total current assets</w:t>
            </w:r>
          </w:p>
        </w:tc>
        <w:tc>
          <w:tcPr>
            <w:tcW w:w="90" w:type="dxa"/>
          </w:tcPr>
          <w:p w14:paraId="7C90F9C8" w14:textId="77777777" w:rsidR="004F2810" w:rsidRPr="00E74795" w:rsidRDefault="004F2810" w:rsidP="007149CF">
            <w:pPr>
              <w:jc w:val="right"/>
              <w:rPr>
                <w:snapToGrid w:val="0"/>
                <w:color w:val="000000"/>
              </w:rPr>
            </w:pPr>
          </w:p>
        </w:tc>
        <w:tc>
          <w:tcPr>
            <w:tcW w:w="1710" w:type="dxa"/>
            <w:tcBorders>
              <w:top w:val="single" w:sz="4" w:space="0" w:color="auto"/>
            </w:tcBorders>
          </w:tcPr>
          <w:p w14:paraId="60CB5BA6" w14:textId="34333D66" w:rsidR="004F2810" w:rsidRPr="00E74795" w:rsidRDefault="00965A43" w:rsidP="007149CF">
            <w:pPr>
              <w:tabs>
                <w:tab w:val="decimal" w:pos="1320"/>
              </w:tabs>
              <w:rPr>
                <w:snapToGrid w:val="0"/>
                <w:color w:val="000000"/>
              </w:rPr>
            </w:pPr>
            <w:r>
              <w:rPr>
                <w:snapToGrid w:val="0"/>
                <w:color w:val="000000"/>
              </w:rPr>
              <w:t>10,612,407</w:t>
            </w:r>
          </w:p>
        </w:tc>
        <w:tc>
          <w:tcPr>
            <w:tcW w:w="270" w:type="dxa"/>
          </w:tcPr>
          <w:p w14:paraId="7487E204" w14:textId="77777777" w:rsidR="004F2810" w:rsidRPr="00E74795" w:rsidRDefault="004F2810" w:rsidP="007149CF">
            <w:pPr>
              <w:jc w:val="center"/>
              <w:rPr>
                <w:snapToGrid w:val="0"/>
                <w:color w:val="000000"/>
              </w:rPr>
            </w:pPr>
          </w:p>
        </w:tc>
        <w:tc>
          <w:tcPr>
            <w:tcW w:w="1890" w:type="dxa"/>
            <w:tcBorders>
              <w:top w:val="single" w:sz="4" w:space="0" w:color="auto"/>
            </w:tcBorders>
          </w:tcPr>
          <w:p w14:paraId="1BF6B72E" w14:textId="00BB9479" w:rsidR="004F2810" w:rsidRPr="00E74795" w:rsidRDefault="00C719DC" w:rsidP="007149CF">
            <w:pPr>
              <w:tabs>
                <w:tab w:val="decimal" w:pos="1500"/>
              </w:tabs>
              <w:rPr>
                <w:snapToGrid w:val="0"/>
                <w:color w:val="000000"/>
              </w:rPr>
            </w:pPr>
            <w:r>
              <w:rPr>
                <w:snapToGrid w:val="0"/>
                <w:color w:val="000000"/>
              </w:rPr>
              <w:t>7,934,883</w:t>
            </w:r>
          </w:p>
        </w:tc>
      </w:tr>
      <w:tr w:rsidR="004F2810" w:rsidRPr="00EB7BF0" w14:paraId="43F45216" w14:textId="77777777" w:rsidTr="007149CF">
        <w:trPr>
          <w:trHeight w:hRule="exact" w:val="230"/>
        </w:trPr>
        <w:tc>
          <w:tcPr>
            <w:tcW w:w="6120" w:type="dxa"/>
            <w:gridSpan w:val="3"/>
          </w:tcPr>
          <w:p w14:paraId="7E75D461" w14:textId="77777777" w:rsidR="004F2810" w:rsidRPr="00E74795" w:rsidRDefault="004F2810" w:rsidP="007149CF">
            <w:pPr>
              <w:rPr>
                <w:b/>
                <w:snapToGrid w:val="0"/>
                <w:color w:val="000000"/>
              </w:rPr>
            </w:pPr>
            <w:r w:rsidRPr="00374FE3">
              <w:rPr>
                <w:snapToGrid w:val="0"/>
                <w:color w:val="000000"/>
              </w:rPr>
              <w:t>Property and equipment, net</w:t>
            </w:r>
          </w:p>
        </w:tc>
        <w:tc>
          <w:tcPr>
            <w:tcW w:w="90" w:type="dxa"/>
          </w:tcPr>
          <w:p w14:paraId="09618B32" w14:textId="77777777" w:rsidR="004F2810" w:rsidRPr="00E74795" w:rsidRDefault="004F2810" w:rsidP="007149CF">
            <w:pPr>
              <w:jc w:val="right"/>
              <w:rPr>
                <w:snapToGrid w:val="0"/>
                <w:color w:val="000000"/>
              </w:rPr>
            </w:pPr>
          </w:p>
        </w:tc>
        <w:tc>
          <w:tcPr>
            <w:tcW w:w="1710" w:type="dxa"/>
          </w:tcPr>
          <w:p w14:paraId="7E25BDAD" w14:textId="2B164FA7" w:rsidR="004F2810" w:rsidRPr="00E74795" w:rsidRDefault="00965A43" w:rsidP="007149CF">
            <w:pPr>
              <w:tabs>
                <w:tab w:val="decimal" w:pos="1320"/>
              </w:tabs>
              <w:rPr>
                <w:snapToGrid w:val="0"/>
                <w:color w:val="000000"/>
              </w:rPr>
            </w:pPr>
            <w:r>
              <w:rPr>
                <w:snapToGrid w:val="0"/>
                <w:color w:val="000000"/>
              </w:rPr>
              <w:t>149,947</w:t>
            </w:r>
          </w:p>
        </w:tc>
        <w:tc>
          <w:tcPr>
            <w:tcW w:w="270" w:type="dxa"/>
          </w:tcPr>
          <w:p w14:paraId="08EA7EC0" w14:textId="77777777" w:rsidR="004F2810" w:rsidRPr="00E74795" w:rsidRDefault="004F2810" w:rsidP="007149CF">
            <w:pPr>
              <w:jc w:val="right"/>
              <w:rPr>
                <w:snapToGrid w:val="0"/>
                <w:color w:val="000000"/>
              </w:rPr>
            </w:pPr>
          </w:p>
        </w:tc>
        <w:tc>
          <w:tcPr>
            <w:tcW w:w="1890" w:type="dxa"/>
          </w:tcPr>
          <w:p w14:paraId="270D4A9E" w14:textId="52C1D644" w:rsidR="004F2810" w:rsidRPr="00E74795" w:rsidRDefault="00C719DC" w:rsidP="007149CF">
            <w:pPr>
              <w:tabs>
                <w:tab w:val="decimal" w:pos="1500"/>
              </w:tabs>
              <w:rPr>
                <w:snapToGrid w:val="0"/>
                <w:color w:val="000000"/>
              </w:rPr>
            </w:pPr>
            <w:r>
              <w:rPr>
                <w:snapToGrid w:val="0"/>
                <w:color w:val="000000"/>
              </w:rPr>
              <w:t>149,974</w:t>
            </w:r>
          </w:p>
        </w:tc>
      </w:tr>
      <w:tr w:rsidR="004F2810" w:rsidRPr="00EB7BF0" w14:paraId="1CD7EF8E" w14:textId="77777777" w:rsidTr="007149CF">
        <w:trPr>
          <w:trHeight w:hRule="exact" w:val="230"/>
        </w:trPr>
        <w:tc>
          <w:tcPr>
            <w:tcW w:w="6120" w:type="dxa"/>
            <w:gridSpan w:val="3"/>
          </w:tcPr>
          <w:p w14:paraId="0EFDE2CC" w14:textId="77777777" w:rsidR="004F2810" w:rsidRPr="00E74795" w:rsidRDefault="004F2810" w:rsidP="007149CF">
            <w:pPr>
              <w:rPr>
                <w:snapToGrid w:val="0"/>
                <w:color w:val="000000"/>
              </w:rPr>
            </w:pPr>
            <w:r>
              <w:rPr>
                <w:snapToGrid w:val="0"/>
                <w:color w:val="000000"/>
              </w:rPr>
              <w:t>Other assets</w:t>
            </w:r>
          </w:p>
        </w:tc>
        <w:tc>
          <w:tcPr>
            <w:tcW w:w="90" w:type="dxa"/>
          </w:tcPr>
          <w:p w14:paraId="3CF2668E" w14:textId="77777777" w:rsidR="004F2810" w:rsidRPr="00E74795" w:rsidRDefault="004F2810" w:rsidP="007149CF">
            <w:pPr>
              <w:jc w:val="right"/>
              <w:rPr>
                <w:snapToGrid w:val="0"/>
                <w:color w:val="000000"/>
              </w:rPr>
            </w:pPr>
          </w:p>
        </w:tc>
        <w:tc>
          <w:tcPr>
            <w:tcW w:w="1710" w:type="dxa"/>
          </w:tcPr>
          <w:p w14:paraId="3A552323" w14:textId="5E841643" w:rsidR="004F2810" w:rsidRPr="00E74795" w:rsidRDefault="00A44671" w:rsidP="007149CF">
            <w:pPr>
              <w:tabs>
                <w:tab w:val="decimal" w:pos="1320"/>
              </w:tabs>
              <w:rPr>
                <w:snapToGrid w:val="0"/>
                <w:color w:val="000000"/>
              </w:rPr>
            </w:pPr>
            <w:r>
              <w:rPr>
                <w:snapToGrid w:val="0"/>
                <w:color w:val="000000"/>
              </w:rPr>
              <w:t>71,010</w:t>
            </w:r>
          </w:p>
        </w:tc>
        <w:tc>
          <w:tcPr>
            <w:tcW w:w="270" w:type="dxa"/>
          </w:tcPr>
          <w:p w14:paraId="6F31CF7A" w14:textId="77777777" w:rsidR="004F2810" w:rsidRPr="00E74795" w:rsidRDefault="004F2810" w:rsidP="007149CF">
            <w:pPr>
              <w:jc w:val="right"/>
              <w:rPr>
                <w:snapToGrid w:val="0"/>
                <w:color w:val="000000"/>
              </w:rPr>
            </w:pPr>
          </w:p>
        </w:tc>
        <w:tc>
          <w:tcPr>
            <w:tcW w:w="1890" w:type="dxa"/>
          </w:tcPr>
          <w:p w14:paraId="64F16C63" w14:textId="72A2BDFE" w:rsidR="004F2810" w:rsidRPr="00E74795" w:rsidRDefault="00C719DC" w:rsidP="007149CF">
            <w:pPr>
              <w:tabs>
                <w:tab w:val="decimal" w:pos="1500"/>
              </w:tabs>
              <w:rPr>
                <w:snapToGrid w:val="0"/>
                <w:color w:val="000000"/>
              </w:rPr>
            </w:pPr>
            <w:r>
              <w:rPr>
                <w:snapToGrid w:val="0"/>
                <w:color w:val="000000"/>
              </w:rPr>
              <w:t>71,010</w:t>
            </w:r>
          </w:p>
        </w:tc>
      </w:tr>
      <w:tr w:rsidR="004F2810" w:rsidRPr="00EB7BF0" w14:paraId="6F8EC2DE" w14:textId="77777777" w:rsidTr="007149CF">
        <w:trPr>
          <w:trHeight w:hRule="exact" w:val="230"/>
        </w:trPr>
        <w:tc>
          <w:tcPr>
            <w:tcW w:w="305" w:type="dxa"/>
          </w:tcPr>
          <w:p w14:paraId="230DC90B" w14:textId="77777777" w:rsidR="004F2810" w:rsidRPr="00EB7BF0" w:rsidRDefault="004F2810" w:rsidP="007149CF">
            <w:pPr>
              <w:jc w:val="right"/>
              <w:rPr>
                <w:snapToGrid w:val="0"/>
                <w:color w:val="000000"/>
              </w:rPr>
            </w:pPr>
          </w:p>
        </w:tc>
        <w:tc>
          <w:tcPr>
            <w:tcW w:w="302" w:type="dxa"/>
          </w:tcPr>
          <w:p w14:paraId="62E67626" w14:textId="77777777" w:rsidR="004F2810" w:rsidRPr="00EB7BF0" w:rsidRDefault="004F2810" w:rsidP="007149CF">
            <w:pPr>
              <w:jc w:val="right"/>
              <w:rPr>
                <w:snapToGrid w:val="0"/>
                <w:color w:val="000000"/>
              </w:rPr>
            </w:pPr>
          </w:p>
        </w:tc>
        <w:tc>
          <w:tcPr>
            <w:tcW w:w="5513" w:type="dxa"/>
          </w:tcPr>
          <w:p w14:paraId="3E4F70C3" w14:textId="77777777" w:rsidR="004F2810" w:rsidRPr="00E74795" w:rsidRDefault="004F2810" w:rsidP="007149CF">
            <w:pPr>
              <w:jc w:val="right"/>
              <w:rPr>
                <w:snapToGrid w:val="0"/>
                <w:color w:val="000000"/>
              </w:rPr>
            </w:pPr>
          </w:p>
        </w:tc>
        <w:tc>
          <w:tcPr>
            <w:tcW w:w="90" w:type="dxa"/>
          </w:tcPr>
          <w:p w14:paraId="08A5C455" w14:textId="77777777" w:rsidR="004F2810" w:rsidRPr="00E74795" w:rsidRDefault="004F2810" w:rsidP="007149CF">
            <w:pPr>
              <w:jc w:val="right"/>
              <w:rPr>
                <w:snapToGrid w:val="0"/>
                <w:color w:val="000000"/>
              </w:rPr>
            </w:pPr>
          </w:p>
        </w:tc>
        <w:tc>
          <w:tcPr>
            <w:tcW w:w="1710" w:type="dxa"/>
            <w:tcBorders>
              <w:top w:val="single" w:sz="6" w:space="0" w:color="auto"/>
            </w:tcBorders>
          </w:tcPr>
          <w:p w14:paraId="5A699C09" w14:textId="77777777" w:rsidR="004F2810" w:rsidRPr="00E74795" w:rsidRDefault="004F2810" w:rsidP="007149CF">
            <w:pPr>
              <w:tabs>
                <w:tab w:val="decimal" w:pos="1320"/>
              </w:tabs>
              <w:rPr>
                <w:snapToGrid w:val="0"/>
                <w:color w:val="000000"/>
              </w:rPr>
            </w:pPr>
          </w:p>
        </w:tc>
        <w:tc>
          <w:tcPr>
            <w:tcW w:w="270" w:type="dxa"/>
          </w:tcPr>
          <w:p w14:paraId="2093F716" w14:textId="77777777" w:rsidR="004F2810" w:rsidRPr="00E74795" w:rsidRDefault="004F2810" w:rsidP="007149CF">
            <w:pPr>
              <w:jc w:val="right"/>
              <w:rPr>
                <w:snapToGrid w:val="0"/>
                <w:color w:val="000000"/>
              </w:rPr>
            </w:pPr>
          </w:p>
        </w:tc>
        <w:tc>
          <w:tcPr>
            <w:tcW w:w="1890" w:type="dxa"/>
            <w:tcBorders>
              <w:top w:val="single" w:sz="6" w:space="0" w:color="auto"/>
            </w:tcBorders>
          </w:tcPr>
          <w:p w14:paraId="677ADD75" w14:textId="77777777" w:rsidR="004F2810" w:rsidRPr="00E74795" w:rsidRDefault="004F2810" w:rsidP="007149CF">
            <w:pPr>
              <w:tabs>
                <w:tab w:val="decimal" w:pos="1195"/>
              </w:tabs>
              <w:rPr>
                <w:snapToGrid w:val="0"/>
                <w:color w:val="000000"/>
              </w:rPr>
            </w:pPr>
          </w:p>
        </w:tc>
      </w:tr>
      <w:tr w:rsidR="004F2810" w:rsidRPr="00EB7BF0" w14:paraId="1824F457" w14:textId="77777777" w:rsidTr="007149CF">
        <w:trPr>
          <w:trHeight w:hRule="exact" w:val="230"/>
        </w:trPr>
        <w:tc>
          <w:tcPr>
            <w:tcW w:w="6120" w:type="dxa"/>
            <w:gridSpan w:val="3"/>
          </w:tcPr>
          <w:p w14:paraId="52D6B808" w14:textId="77777777" w:rsidR="004F2810" w:rsidRPr="00E74795" w:rsidRDefault="004F2810" w:rsidP="007149CF">
            <w:pPr>
              <w:rPr>
                <w:snapToGrid w:val="0"/>
                <w:color w:val="000000"/>
              </w:rPr>
            </w:pPr>
            <w:r w:rsidRPr="00374FE3">
              <w:rPr>
                <w:snapToGrid w:val="0"/>
                <w:color w:val="000000"/>
              </w:rPr>
              <w:t>Total assets</w:t>
            </w:r>
          </w:p>
        </w:tc>
        <w:tc>
          <w:tcPr>
            <w:tcW w:w="90" w:type="dxa"/>
          </w:tcPr>
          <w:p w14:paraId="125EEEA4" w14:textId="77777777" w:rsidR="004F2810" w:rsidRPr="00E74795" w:rsidRDefault="004F2810" w:rsidP="007149CF">
            <w:pPr>
              <w:jc w:val="right"/>
              <w:rPr>
                <w:snapToGrid w:val="0"/>
                <w:color w:val="000000"/>
              </w:rPr>
            </w:pPr>
          </w:p>
        </w:tc>
        <w:tc>
          <w:tcPr>
            <w:tcW w:w="1710" w:type="dxa"/>
            <w:tcBorders>
              <w:bottom w:val="double" w:sz="6" w:space="0" w:color="auto"/>
            </w:tcBorders>
          </w:tcPr>
          <w:p w14:paraId="5EF5B3FC" w14:textId="6707DBA2" w:rsidR="004F2810" w:rsidRPr="00E74795" w:rsidRDefault="004F2810" w:rsidP="007149CF">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A44671">
              <w:rPr>
                <w:snapToGrid w:val="0"/>
                <w:color w:val="000000"/>
              </w:rPr>
              <w:t>10,833,364</w:t>
            </w:r>
          </w:p>
        </w:tc>
        <w:tc>
          <w:tcPr>
            <w:tcW w:w="270" w:type="dxa"/>
          </w:tcPr>
          <w:p w14:paraId="1306C369" w14:textId="77777777" w:rsidR="004F2810" w:rsidRPr="00E74795" w:rsidRDefault="004F2810" w:rsidP="007149CF">
            <w:pPr>
              <w:jc w:val="right"/>
              <w:rPr>
                <w:snapToGrid w:val="0"/>
                <w:color w:val="000000"/>
              </w:rPr>
            </w:pPr>
          </w:p>
        </w:tc>
        <w:tc>
          <w:tcPr>
            <w:tcW w:w="1890" w:type="dxa"/>
            <w:tcBorders>
              <w:bottom w:val="double" w:sz="6" w:space="0" w:color="auto"/>
            </w:tcBorders>
          </w:tcPr>
          <w:p w14:paraId="0583461A" w14:textId="2A3370DF" w:rsidR="004F2810" w:rsidRPr="00E74795" w:rsidRDefault="004F2810" w:rsidP="007149CF">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C719DC">
              <w:rPr>
                <w:snapToGrid w:val="0"/>
                <w:color w:val="000000"/>
              </w:rPr>
              <w:t>8,155,867</w:t>
            </w:r>
          </w:p>
        </w:tc>
      </w:tr>
      <w:tr w:rsidR="004F2810" w:rsidRPr="00EB7BF0" w14:paraId="3D38A0FC" w14:textId="77777777" w:rsidTr="007149CF">
        <w:trPr>
          <w:trHeight w:hRule="exact" w:val="230"/>
        </w:trPr>
        <w:tc>
          <w:tcPr>
            <w:tcW w:w="305" w:type="dxa"/>
          </w:tcPr>
          <w:p w14:paraId="5CBE7D7A" w14:textId="77777777" w:rsidR="004F2810" w:rsidRPr="00EB7BF0" w:rsidRDefault="004F2810" w:rsidP="007149CF">
            <w:pPr>
              <w:jc w:val="right"/>
              <w:rPr>
                <w:snapToGrid w:val="0"/>
                <w:color w:val="000000"/>
              </w:rPr>
            </w:pPr>
          </w:p>
        </w:tc>
        <w:tc>
          <w:tcPr>
            <w:tcW w:w="302" w:type="dxa"/>
          </w:tcPr>
          <w:p w14:paraId="12E0A34A" w14:textId="77777777" w:rsidR="004F2810" w:rsidRPr="00EB7BF0" w:rsidRDefault="004F2810" w:rsidP="007149CF">
            <w:pPr>
              <w:jc w:val="right"/>
              <w:rPr>
                <w:snapToGrid w:val="0"/>
                <w:color w:val="000000"/>
              </w:rPr>
            </w:pPr>
          </w:p>
        </w:tc>
        <w:tc>
          <w:tcPr>
            <w:tcW w:w="5513" w:type="dxa"/>
          </w:tcPr>
          <w:p w14:paraId="4EE50BEC" w14:textId="77777777" w:rsidR="004F2810" w:rsidRPr="00E74795" w:rsidRDefault="004F2810" w:rsidP="007149CF">
            <w:pPr>
              <w:jc w:val="right"/>
              <w:rPr>
                <w:snapToGrid w:val="0"/>
                <w:color w:val="000000"/>
              </w:rPr>
            </w:pPr>
          </w:p>
        </w:tc>
        <w:tc>
          <w:tcPr>
            <w:tcW w:w="90" w:type="dxa"/>
          </w:tcPr>
          <w:p w14:paraId="440745DC" w14:textId="77777777" w:rsidR="004F2810" w:rsidRPr="00E74795" w:rsidRDefault="004F2810" w:rsidP="007149CF">
            <w:pPr>
              <w:jc w:val="right"/>
              <w:rPr>
                <w:snapToGrid w:val="0"/>
                <w:color w:val="000000"/>
              </w:rPr>
            </w:pPr>
          </w:p>
        </w:tc>
        <w:tc>
          <w:tcPr>
            <w:tcW w:w="1710" w:type="dxa"/>
          </w:tcPr>
          <w:p w14:paraId="660FDCB1" w14:textId="77777777" w:rsidR="004F2810" w:rsidRPr="00E74795" w:rsidRDefault="004F2810" w:rsidP="007149CF">
            <w:pPr>
              <w:tabs>
                <w:tab w:val="decimal" w:pos="1195"/>
              </w:tabs>
              <w:jc w:val="right"/>
              <w:rPr>
                <w:snapToGrid w:val="0"/>
                <w:color w:val="000000"/>
              </w:rPr>
            </w:pPr>
          </w:p>
        </w:tc>
        <w:tc>
          <w:tcPr>
            <w:tcW w:w="270" w:type="dxa"/>
          </w:tcPr>
          <w:p w14:paraId="09924EFE" w14:textId="77777777" w:rsidR="004F2810" w:rsidRPr="00E74795" w:rsidRDefault="004F2810" w:rsidP="007149CF">
            <w:pPr>
              <w:jc w:val="right"/>
              <w:rPr>
                <w:snapToGrid w:val="0"/>
                <w:color w:val="000000"/>
              </w:rPr>
            </w:pPr>
          </w:p>
        </w:tc>
        <w:tc>
          <w:tcPr>
            <w:tcW w:w="1890" w:type="dxa"/>
          </w:tcPr>
          <w:p w14:paraId="4CED0DD6" w14:textId="77777777" w:rsidR="004F2810" w:rsidRPr="00E74795" w:rsidRDefault="004F2810" w:rsidP="007149CF">
            <w:pPr>
              <w:tabs>
                <w:tab w:val="decimal" w:pos="1195"/>
              </w:tabs>
              <w:jc w:val="right"/>
              <w:rPr>
                <w:snapToGrid w:val="0"/>
                <w:color w:val="000000"/>
              </w:rPr>
            </w:pPr>
          </w:p>
        </w:tc>
      </w:tr>
      <w:tr w:rsidR="004F2810" w:rsidRPr="00EB7BF0" w14:paraId="55992388" w14:textId="77777777" w:rsidTr="007149CF">
        <w:trPr>
          <w:trHeight w:hRule="exact" w:val="230"/>
        </w:trPr>
        <w:tc>
          <w:tcPr>
            <w:tcW w:w="6120" w:type="dxa"/>
            <w:gridSpan w:val="3"/>
          </w:tcPr>
          <w:p w14:paraId="4084C002" w14:textId="20D5E65A" w:rsidR="004F2810" w:rsidRPr="00E74795" w:rsidRDefault="004F2810" w:rsidP="007149CF">
            <w:pPr>
              <w:rPr>
                <w:snapToGrid w:val="0"/>
                <w:color w:val="000000"/>
              </w:rPr>
            </w:pPr>
            <w:r w:rsidRPr="00374FE3">
              <w:rPr>
                <w:snapToGrid w:val="0"/>
                <w:color w:val="000000"/>
              </w:rPr>
              <w:t>LIABILITIES AND STOCKHOLDERS’ EQUIT</w:t>
            </w:r>
            <w:r>
              <w:rPr>
                <w:snapToGrid w:val="0"/>
                <w:color w:val="000000"/>
              </w:rPr>
              <w:t>Y</w:t>
            </w:r>
          </w:p>
        </w:tc>
        <w:tc>
          <w:tcPr>
            <w:tcW w:w="90" w:type="dxa"/>
          </w:tcPr>
          <w:p w14:paraId="3FC6EC1C" w14:textId="77777777" w:rsidR="004F2810" w:rsidRPr="00E74795" w:rsidRDefault="004F2810" w:rsidP="007149CF">
            <w:pPr>
              <w:jc w:val="right"/>
              <w:rPr>
                <w:snapToGrid w:val="0"/>
                <w:color w:val="000000"/>
              </w:rPr>
            </w:pPr>
          </w:p>
        </w:tc>
        <w:tc>
          <w:tcPr>
            <w:tcW w:w="1710" w:type="dxa"/>
          </w:tcPr>
          <w:p w14:paraId="4D5CD0C7" w14:textId="77777777" w:rsidR="004F2810" w:rsidRPr="00E74795" w:rsidRDefault="004F2810" w:rsidP="007149CF">
            <w:pPr>
              <w:tabs>
                <w:tab w:val="decimal" w:pos="1195"/>
              </w:tabs>
              <w:jc w:val="right"/>
              <w:rPr>
                <w:snapToGrid w:val="0"/>
                <w:color w:val="000000"/>
              </w:rPr>
            </w:pPr>
          </w:p>
        </w:tc>
        <w:tc>
          <w:tcPr>
            <w:tcW w:w="270" w:type="dxa"/>
          </w:tcPr>
          <w:p w14:paraId="7CC23DA1" w14:textId="77777777" w:rsidR="004F2810" w:rsidRPr="00E74795" w:rsidRDefault="004F2810" w:rsidP="007149CF">
            <w:pPr>
              <w:jc w:val="right"/>
              <w:rPr>
                <w:snapToGrid w:val="0"/>
                <w:color w:val="000000"/>
              </w:rPr>
            </w:pPr>
          </w:p>
        </w:tc>
        <w:tc>
          <w:tcPr>
            <w:tcW w:w="1890" w:type="dxa"/>
          </w:tcPr>
          <w:p w14:paraId="42C33370" w14:textId="77777777" w:rsidR="004F2810" w:rsidRPr="00E74795" w:rsidRDefault="004F2810" w:rsidP="007149CF">
            <w:pPr>
              <w:tabs>
                <w:tab w:val="decimal" w:pos="1195"/>
              </w:tabs>
              <w:jc w:val="right"/>
              <w:rPr>
                <w:snapToGrid w:val="0"/>
                <w:color w:val="000000"/>
              </w:rPr>
            </w:pPr>
          </w:p>
        </w:tc>
      </w:tr>
      <w:tr w:rsidR="004F2810" w:rsidRPr="00EB7BF0" w14:paraId="2D790A47" w14:textId="77777777" w:rsidTr="007149CF">
        <w:trPr>
          <w:trHeight w:hRule="exact" w:val="230"/>
        </w:trPr>
        <w:tc>
          <w:tcPr>
            <w:tcW w:w="6120" w:type="dxa"/>
            <w:gridSpan w:val="3"/>
          </w:tcPr>
          <w:p w14:paraId="6EF4FC0F" w14:textId="77777777" w:rsidR="004F2810" w:rsidRPr="00E74795" w:rsidRDefault="004F2810" w:rsidP="007149CF">
            <w:pPr>
              <w:rPr>
                <w:snapToGrid w:val="0"/>
                <w:color w:val="000000"/>
              </w:rPr>
            </w:pPr>
            <w:r w:rsidRPr="00374FE3">
              <w:rPr>
                <w:snapToGrid w:val="0"/>
                <w:color w:val="000000"/>
              </w:rPr>
              <w:t>Current liabilities:</w:t>
            </w:r>
          </w:p>
        </w:tc>
        <w:tc>
          <w:tcPr>
            <w:tcW w:w="90" w:type="dxa"/>
          </w:tcPr>
          <w:p w14:paraId="4776BB9E" w14:textId="77777777" w:rsidR="004F2810" w:rsidRPr="00E74795" w:rsidRDefault="004F2810" w:rsidP="007149CF">
            <w:pPr>
              <w:jc w:val="right"/>
              <w:rPr>
                <w:snapToGrid w:val="0"/>
                <w:color w:val="000000"/>
              </w:rPr>
            </w:pPr>
          </w:p>
        </w:tc>
        <w:tc>
          <w:tcPr>
            <w:tcW w:w="1710" w:type="dxa"/>
          </w:tcPr>
          <w:p w14:paraId="31087317" w14:textId="77777777" w:rsidR="004F2810" w:rsidRPr="00E74795" w:rsidRDefault="004F2810" w:rsidP="007149CF">
            <w:pPr>
              <w:tabs>
                <w:tab w:val="decimal" w:pos="1195"/>
              </w:tabs>
              <w:jc w:val="right"/>
              <w:rPr>
                <w:snapToGrid w:val="0"/>
                <w:color w:val="000000"/>
              </w:rPr>
            </w:pPr>
          </w:p>
        </w:tc>
        <w:tc>
          <w:tcPr>
            <w:tcW w:w="270" w:type="dxa"/>
          </w:tcPr>
          <w:p w14:paraId="2C341944" w14:textId="77777777" w:rsidR="004F2810" w:rsidRPr="00E74795" w:rsidRDefault="004F2810" w:rsidP="007149CF">
            <w:pPr>
              <w:jc w:val="right"/>
              <w:rPr>
                <w:snapToGrid w:val="0"/>
                <w:color w:val="000000"/>
              </w:rPr>
            </w:pPr>
          </w:p>
        </w:tc>
        <w:tc>
          <w:tcPr>
            <w:tcW w:w="1890" w:type="dxa"/>
          </w:tcPr>
          <w:p w14:paraId="65BA0C5C" w14:textId="77777777" w:rsidR="004F2810" w:rsidRPr="00E74795" w:rsidRDefault="004F2810" w:rsidP="007149CF">
            <w:pPr>
              <w:tabs>
                <w:tab w:val="decimal" w:pos="1195"/>
              </w:tabs>
              <w:jc w:val="right"/>
              <w:rPr>
                <w:snapToGrid w:val="0"/>
                <w:color w:val="000000"/>
              </w:rPr>
            </w:pPr>
          </w:p>
        </w:tc>
      </w:tr>
      <w:tr w:rsidR="004F2810" w:rsidRPr="00EB7BF0" w14:paraId="656F66CD" w14:textId="77777777" w:rsidTr="007149CF">
        <w:trPr>
          <w:trHeight w:hRule="exact" w:val="230"/>
        </w:trPr>
        <w:tc>
          <w:tcPr>
            <w:tcW w:w="305" w:type="dxa"/>
          </w:tcPr>
          <w:p w14:paraId="178C0C01" w14:textId="77777777" w:rsidR="004F2810" w:rsidRPr="00EB7BF0" w:rsidRDefault="004F2810" w:rsidP="007149CF">
            <w:pPr>
              <w:jc w:val="right"/>
              <w:rPr>
                <w:snapToGrid w:val="0"/>
                <w:color w:val="000000"/>
              </w:rPr>
            </w:pPr>
          </w:p>
        </w:tc>
        <w:tc>
          <w:tcPr>
            <w:tcW w:w="5815" w:type="dxa"/>
            <w:gridSpan w:val="2"/>
          </w:tcPr>
          <w:p w14:paraId="72B53D67" w14:textId="77777777" w:rsidR="004F2810" w:rsidRPr="00E74795" w:rsidRDefault="004F2810" w:rsidP="007149CF">
            <w:pPr>
              <w:rPr>
                <w:b/>
                <w:snapToGrid w:val="0"/>
                <w:color w:val="000000"/>
              </w:rPr>
            </w:pPr>
            <w:r w:rsidRPr="00374FE3">
              <w:rPr>
                <w:snapToGrid w:val="0"/>
                <w:color w:val="000000"/>
              </w:rPr>
              <w:t xml:space="preserve">Accounts payable </w:t>
            </w:r>
          </w:p>
        </w:tc>
        <w:tc>
          <w:tcPr>
            <w:tcW w:w="90" w:type="dxa"/>
          </w:tcPr>
          <w:p w14:paraId="2E019DB8" w14:textId="77777777" w:rsidR="004F2810" w:rsidRPr="00E74795" w:rsidRDefault="004F2810" w:rsidP="007149CF">
            <w:pPr>
              <w:jc w:val="right"/>
              <w:rPr>
                <w:snapToGrid w:val="0"/>
                <w:color w:val="000000"/>
              </w:rPr>
            </w:pPr>
          </w:p>
        </w:tc>
        <w:tc>
          <w:tcPr>
            <w:tcW w:w="1710" w:type="dxa"/>
          </w:tcPr>
          <w:p w14:paraId="0F0C54B8" w14:textId="2F9E3A68" w:rsidR="004F2810" w:rsidRPr="00E74795" w:rsidRDefault="004F2810" w:rsidP="007149CF">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A44671">
              <w:rPr>
                <w:snapToGrid w:val="0"/>
                <w:color w:val="000000"/>
              </w:rPr>
              <w:t>2,</w:t>
            </w:r>
            <w:r w:rsidR="00232ECE">
              <w:rPr>
                <w:snapToGrid w:val="0"/>
                <w:color w:val="000000"/>
              </w:rPr>
              <w:t>403,042</w:t>
            </w:r>
          </w:p>
        </w:tc>
        <w:tc>
          <w:tcPr>
            <w:tcW w:w="270" w:type="dxa"/>
          </w:tcPr>
          <w:p w14:paraId="671AC526" w14:textId="77777777" w:rsidR="004F2810" w:rsidRPr="00E74795" w:rsidRDefault="004F2810" w:rsidP="007149CF">
            <w:pPr>
              <w:jc w:val="right"/>
              <w:rPr>
                <w:snapToGrid w:val="0"/>
                <w:color w:val="000000"/>
              </w:rPr>
            </w:pPr>
          </w:p>
        </w:tc>
        <w:tc>
          <w:tcPr>
            <w:tcW w:w="1890" w:type="dxa"/>
          </w:tcPr>
          <w:p w14:paraId="090A2663" w14:textId="47F5D7CB" w:rsidR="004F2810" w:rsidRPr="00E74795" w:rsidRDefault="004F2810" w:rsidP="007149CF">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C719DC">
              <w:rPr>
                <w:snapToGrid w:val="0"/>
                <w:color w:val="000000"/>
              </w:rPr>
              <w:t>1,849,760</w:t>
            </w:r>
          </w:p>
        </w:tc>
      </w:tr>
      <w:tr w:rsidR="004F2810" w:rsidRPr="00EB7BF0" w14:paraId="05A9B0EE" w14:textId="77777777" w:rsidTr="007149CF">
        <w:trPr>
          <w:trHeight w:hRule="exact" w:val="230"/>
        </w:trPr>
        <w:tc>
          <w:tcPr>
            <w:tcW w:w="305" w:type="dxa"/>
          </w:tcPr>
          <w:p w14:paraId="7DC7A135" w14:textId="77777777" w:rsidR="004F2810" w:rsidRPr="00EB7BF0" w:rsidRDefault="004F2810" w:rsidP="007149CF">
            <w:pPr>
              <w:jc w:val="right"/>
              <w:rPr>
                <w:snapToGrid w:val="0"/>
                <w:color w:val="000000"/>
              </w:rPr>
            </w:pPr>
          </w:p>
        </w:tc>
        <w:tc>
          <w:tcPr>
            <w:tcW w:w="5815" w:type="dxa"/>
            <w:gridSpan w:val="2"/>
          </w:tcPr>
          <w:p w14:paraId="6E806D2E" w14:textId="77777777" w:rsidR="004F2810" w:rsidRPr="00A967B3" w:rsidRDefault="004F2810" w:rsidP="007149CF">
            <w:pPr>
              <w:rPr>
                <w:snapToGrid w:val="0"/>
                <w:color w:val="000000"/>
              </w:rPr>
            </w:pPr>
            <w:r w:rsidRPr="00A967B3">
              <w:rPr>
                <w:snapToGrid w:val="0"/>
                <w:color w:val="000000"/>
              </w:rPr>
              <w:t>Accrued expenses</w:t>
            </w:r>
          </w:p>
        </w:tc>
        <w:tc>
          <w:tcPr>
            <w:tcW w:w="90" w:type="dxa"/>
          </w:tcPr>
          <w:p w14:paraId="4FE97286" w14:textId="77777777" w:rsidR="004F2810" w:rsidRPr="00A967B3" w:rsidRDefault="004F2810" w:rsidP="007149CF">
            <w:pPr>
              <w:jc w:val="right"/>
              <w:rPr>
                <w:snapToGrid w:val="0"/>
                <w:color w:val="000000"/>
              </w:rPr>
            </w:pPr>
          </w:p>
        </w:tc>
        <w:tc>
          <w:tcPr>
            <w:tcW w:w="1710" w:type="dxa"/>
          </w:tcPr>
          <w:p w14:paraId="49DB5F69" w14:textId="2C137BBB" w:rsidR="004F2810" w:rsidRPr="00A967B3" w:rsidRDefault="00A44671" w:rsidP="007149CF">
            <w:pPr>
              <w:tabs>
                <w:tab w:val="decimal" w:pos="1320"/>
              </w:tabs>
              <w:rPr>
                <w:snapToGrid w:val="0"/>
                <w:color w:val="000000"/>
              </w:rPr>
            </w:pPr>
            <w:r>
              <w:rPr>
                <w:snapToGrid w:val="0"/>
                <w:color w:val="000000"/>
              </w:rPr>
              <w:t>532,292</w:t>
            </w:r>
          </w:p>
        </w:tc>
        <w:tc>
          <w:tcPr>
            <w:tcW w:w="270" w:type="dxa"/>
          </w:tcPr>
          <w:p w14:paraId="7FE82C16" w14:textId="77777777" w:rsidR="004F2810" w:rsidRPr="00A967B3" w:rsidRDefault="004F2810" w:rsidP="007149CF">
            <w:pPr>
              <w:jc w:val="right"/>
              <w:rPr>
                <w:snapToGrid w:val="0"/>
                <w:color w:val="000000"/>
              </w:rPr>
            </w:pPr>
          </w:p>
        </w:tc>
        <w:tc>
          <w:tcPr>
            <w:tcW w:w="1890" w:type="dxa"/>
          </w:tcPr>
          <w:p w14:paraId="08F04C3F" w14:textId="0ECA2541" w:rsidR="004F2810" w:rsidRPr="00E74795" w:rsidRDefault="00C719DC" w:rsidP="007149CF">
            <w:pPr>
              <w:tabs>
                <w:tab w:val="decimal" w:pos="1500"/>
              </w:tabs>
              <w:rPr>
                <w:snapToGrid w:val="0"/>
                <w:color w:val="000000"/>
              </w:rPr>
            </w:pPr>
            <w:r>
              <w:rPr>
                <w:snapToGrid w:val="0"/>
                <w:color w:val="000000"/>
              </w:rPr>
              <w:t>1,257,572</w:t>
            </w:r>
          </w:p>
        </w:tc>
      </w:tr>
      <w:tr w:rsidR="004F2810" w:rsidRPr="00EB7BF0" w14:paraId="2750C183" w14:textId="77777777" w:rsidTr="007149CF">
        <w:trPr>
          <w:trHeight w:hRule="exact" w:val="230"/>
        </w:trPr>
        <w:tc>
          <w:tcPr>
            <w:tcW w:w="6120" w:type="dxa"/>
            <w:gridSpan w:val="3"/>
          </w:tcPr>
          <w:p w14:paraId="59F55C19" w14:textId="77777777" w:rsidR="004F2810" w:rsidRPr="00E74795" w:rsidRDefault="004F2810" w:rsidP="007149CF">
            <w:pPr>
              <w:rPr>
                <w:snapToGrid w:val="0"/>
                <w:color w:val="000000"/>
              </w:rPr>
            </w:pPr>
            <w:r w:rsidRPr="00374FE3">
              <w:rPr>
                <w:snapToGrid w:val="0"/>
                <w:color w:val="000000"/>
              </w:rPr>
              <w:t>Total current liabilities</w:t>
            </w:r>
          </w:p>
        </w:tc>
        <w:tc>
          <w:tcPr>
            <w:tcW w:w="90" w:type="dxa"/>
          </w:tcPr>
          <w:p w14:paraId="34DB096B" w14:textId="77777777" w:rsidR="004F2810" w:rsidRPr="00E74795" w:rsidRDefault="004F2810" w:rsidP="007149CF">
            <w:pPr>
              <w:jc w:val="right"/>
              <w:rPr>
                <w:snapToGrid w:val="0"/>
                <w:color w:val="000000"/>
              </w:rPr>
            </w:pPr>
          </w:p>
        </w:tc>
        <w:tc>
          <w:tcPr>
            <w:tcW w:w="1710" w:type="dxa"/>
            <w:tcBorders>
              <w:top w:val="single" w:sz="4" w:space="0" w:color="auto"/>
            </w:tcBorders>
          </w:tcPr>
          <w:p w14:paraId="52051BA5" w14:textId="05ECB0B6" w:rsidR="004F2810" w:rsidRPr="00E74795" w:rsidRDefault="00A44671" w:rsidP="007149CF">
            <w:pPr>
              <w:tabs>
                <w:tab w:val="decimal" w:pos="1320"/>
              </w:tabs>
              <w:rPr>
                <w:snapToGrid w:val="0"/>
                <w:color w:val="000000"/>
              </w:rPr>
            </w:pPr>
            <w:r>
              <w:rPr>
                <w:snapToGrid w:val="0"/>
                <w:color w:val="000000"/>
              </w:rPr>
              <w:t>2,</w:t>
            </w:r>
            <w:r w:rsidR="00232ECE">
              <w:rPr>
                <w:snapToGrid w:val="0"/>
                <w:color w:val="000000"/>
              </w:rPr>
              <w:t>935,334</w:t>
            </w:r>
          </w:p>
        </w:tc>
        <w:tc>
          <w:tcPr>
            <w:tcW w:w="270" w:type="dxa"/>
          </w:tcPr>
          <w:p w14:paraId="2902779D" w14:textId="77777777" w:rsidR="004F2810" w:rsidRPr="00E74795" w:rsidRDefault="004F2810" w:rsidP="007149CF">
            <w:pPr>
              <w:jc w:val="right"/>
              <w:rPr>
                <w:snapToGrid w:val="0"/>
                <w:color w:val="000000"/>
              </w:rPr>
            </w:pPr>
          </w:p>
        </w:tc>
        <w:tc>
          <w:tcPr>
            <w:tcW w:w="1890" w:type="dxa"/>
            <w:tcBorders>
              <w:top w:val="single" w:sz="4" w:space="0" w:color="auto"/>
            </w:tcBorders>
          </w:tcPr>
          <w:p w14:paraId="5EB38060" w14:textId="59BB7EB2" w:rsidR="004F2810" w:rsidRPr="00E74795" w:rsidRDefault="00C719DC" w:rsidP="007149CF">
            <w:pPr>
              <w:tabs>
                <w:tab w:val="decimal" w:pos="1500"/>
              </w:tabs>
              <w:rPr>
                <w:snapToGrid w:val="0"/>
                <w:color w:val="000000"/>
              </w:rPr>
            </w:pPr>
            <w:r>
              <w:rPr>
                <w:snapToGrid w:val="0"/>
                <w:color w:val="000000"/>
              </w:rPr>
              <w:t>3,107,332</w:t>
            </w:r>
          </w:p>
        </w:tc>
      </w:tr>
      <w:tr w:rsidR="004F2810" w:rsidRPr="00EB7BF0" w14:paraId="7F71225A" w14:textId="77777777" w:rsidTr="007149CF">
        <w:trPr>
          <w:trHeight w:hRule="exact" w:val="230"/>
        </w:trPr>
        <w:tc>
          <w:tcPr>
            <w:tcW w:w="305" w:type="dxa"/>
          </w:tcPr>
          <w:p w14:paraId="601C81E0" w14:textId="77777777" w:rsidR="004F2810" w:rsidRPr="00EB7BF0" w:rsidRDefault="004F2810" w:rsidP="007149CF">
            <w:pPr>
              <w:jc w:val="right"/>
              <w:rPr>
                <w:snapToGrid w:val="0"/>
                <w:color w:val="000000"/>
              </w:rPr>
            </w:pPr>
          </w:p>
        </w:tc>
        <w:tc>
          <w:tcPr>
            <w:tcW w:w="302" w:type="dxa"/>
          </w:tcPr>
          <w:p w14:paraId="40AF4C8F" w14:textId="77777777" w:rsidR="004F2810" w:rsidRPr="00EB7BF0" w:rsidRDefault="004F2810" w:rsidP="007149CF">
            <w:pPr>
              <w:jc w:val="right"/>
              <w:rPr>
                <w:snapToGrid w:val="0"/>
                <w:color w:val="000000"/>
              </w:rPr>
            </w:pPr>
          </w:p>
        </w:tc>
        <w:tc>
          <w:tcPr>
            <w:tcW w:w="5513" w:type="dxa"/>
          </w:tcPr>
          <w:p w14:paraId="2018F027" w14:textId="77777777" w:rsidR="004F2810" w:rsidRPr="00E74795" w:rsidRDefault="004F2810" w:rsidP="007149CF">
            <w:pPr>
              <w:rPr>
                <w:snapToGrid w:val="0"/>
                <w:color w:val="000000"/>
              </w:rPr>
            </w:pPr>
          </w:p>
        </w:tc>
        <w:tc>
          <w:tcPr>
            <w:tcW w:w="90" w:type="dxa"/>
          </w:tcPr>
          <w:p w14:paraId="77C1D8B6" w14:textId="77777777" w:rsidR="004F2810" w:rsidRPr="00E74795" w:rsidRDefault="004F2810" w:rsidP="007149CF">
            <w:pPr>
              <w:jc w:val="right"/>
              <w:rPr>
                <w:snapToGrid w:val="0"/>
                <w:color w:val="000000"/>
              </w:rPr>
            </w:pPr>
          </w:p>
        </w:tc>
        <w:tc>
          <w:tcPr>
            <w:tcW w:w="1710" w:type="dxa"/>
          </w:tcPr>
          <w:p w14:paraId="62A3C86F" w14:textId="77777777" w:rsidR="004F2810" w:rsidRPr="00E74795" w:rsidRDefault="004F2810" w:rsidP="007149CF">
            <w:pPr>
              <w:tabs>
                <w:tab w:val="decimal" w:pos="1320"/>
              </w:tabs>
              <w:rPr>
                <w:snapToGrid w:val="0"/>
                <w:color w:val="000000"/>
              </w:rPr>
            </w:pPr>
          </w:p>
        </w:tc>
        <w:tc>
          <w:tcPr>
            <w:tcW w:w="270" w:type="dxa"/>
          </w:tcPr>
          <w:p w14:paraId="404D3027" w14:textId="77777777" w:rsidR="004F2810" w:rsidRPr="00E74795" w:rsidRDefault="004F2810" w:rsidP="007149CF">
            <w:pPr>
              <w:jc w:val="right"/>
              <w:rPr>
                <w:snapToGrid w:val="0"/>
                <w:color w:val="000000"/>
              </w:rPr>
            </w:pPr>
          </w:p>
        </w:tc>
        <w:tc>
          <w:tcPr>
            <w:tcW w:w="1890" w:type="dxa"/>
          </w:tcPr>
          <w:p w14:paraId="6C3D1C3C" w14:textId="77777777" w:rsidR="004F2810" w:rsidRDefault="004F2810" w:rsidP="007149CF">
            <w:pPr>
              <w:tabs>
                <w:tab w:val="decimal" w:pos="1500"/>
              </w:tabs>
              <w:rPr>
                <w:snapToGrid w:val="0"/>
                <w:color w:val="000000"/>
              </w:rPr>
            </w:pPr>
          </w:p>
        </w:tc>
      </w:tr>
      <w:tr w:rsidR="004F2810" w:rsidRPr="00EB7BF0" w14:paraId="26C58CA4" w14:textId="77777777" w:rsidTr="007149CF">
        <w:trPr>
          <w:trHeight w:hRule="exact" w:val="230"/>
        </w:trPr>
        <w:tc>
          <w:tcPr>
            <w:tcW w:w="6120" w:type="dxa"/>
            <w:gridSpan w:val="3"/>
          </w:tcPr>
          <w:p w14:paraId="323FE0F0" w14:textId="553AF86C" w:rsidR="004F2810" w:rsidRPr="00E74795" w:rsidRDefault="004F2810" w:rsidP="007149CF">
            <w:pPr>
              <w:rPr>
                <w:snapToGrid w:val="0"/>
                <w:color w:val="000000"/>
              </w:rPr>
            </w:pPr>
            <w:r w:rsidRPr="00817FA2">
              <w:rPr>
                <w:snapToGrid w:val="0"/>
                <w:color w:val="000000"/>
              </w:rPr>
              <w:t xml:space="preserve">Commitments (Note </w:t>
            </w:r>
            <w:r w:rsidR="00110A45" w:rsidRPr="00817FA2">
              <w:rPr>
                <w:snapToGrid w:val="0"/>
                <w:color w:val="000000"/>
              </w:rPr>
              <w:t>4</w:t>
            </w:r>
            <w:r w:rsidRPr="00817FA2">
              <w:rPr>
                <w:snapToGrid w:val="0"/>
                <w:color w:val="000000"/>
              </w:rPr>
              <w:t>)</w:t>
            </w:r>
          </w:p>
        </w:tc>
        <w:tc>
          <w:tcPr>
            <w:tcW w:w="90" w:type="dxa"/>
          </w:tcPr>
          <w:p w14:paraId="57A535F8" w14:textId="77777777" w:rsidR="004F2810" w:rsidRPr="00E74795" w:rsidRDefault="004F2810" w:rsidP="007149CF">
            <w:pPr>
              <w:jc w:val="right"/>
              <w:rPr>
                <w:snapToGrid w:val="0"/>
                <w:color w:val="000000"/>
              </w:rPr>
            </w:pPr>
          </w:p>
        </w:tc>
        <w:tc>
          <w:tcPr>
            <w:tcW w:w="1710" w:type="dxa"/>
          </w:tcPr>
          <w:p w14:paraId="781462AD" w14:textId="77777777" w:rsidR="004F2810" w:rsidRPr="00E74795" w:rsidRDefault="004F2810" w:rsidP="007149CF">
            <w:pPr>
              <w:tabs>
                <w:tab w:val="decimal" w:pos="1195"/>
              </w:tabs>
              <w:jc w:val="right"/>
              <w:rPr>
                <w:snapToGrid w:val="0"/>
                <w:color w:val="000000"/>
              </w:rPr>
            </w:pPr>
          </w:p>
        </w:tc>
        <w:tc>
          <w:tcPr>
            <w:tcW w:w="270" w:type="dxa"/>
          </w:tcPr>
          <w:p w14:paraId="411A8327" w14:textId="77777777" w:rsidR="004F2810" w:rsidRPr="00E74795" w:rsidRDefault="004F2810" w:rsidP="007149CF">
            <w:pPr>
              <w:jc w:val="right"/>
              <w:rPr>
                <w:snapToGrid w:val="0"/>
                <w:color w:val="000000"/>
              </w:rPr>
            </w:pPr>
          </w:p>
        </w:tc>
        <w:tc>
          <w:tcPr>
            <w:tcW w:w="1890" w:type="dxa"/>
          </w:tcPr>
          <w:p w14:paraId="31265632" w14:textId="77777777" w:rsidR="004F2810" w:rsidRPr="00E74795" w:rsidRDefault="004F2810" w:rsidP="007149CF">
            <w:pPr>
              <w:tabs>
                <w:tab w:val="decimal" w:pos="1195"/>
              </w:tabs>
              <w:jc w:val="right"/>
              <w:rPr>
                <w:snapToGrid w:val="0"/>
                <w:color w:val="000000"/>
              </w:rPr>
            </w:pPr>
          </w:p>
        </w:tc>
      </w:tr>
      <w:tr w:rsidR="004F2810" w:rsidRPr="00EB7BF0" w14:paraId="66DBBE53" w14:textId="77777777" w:rsidTr="007149CF">
        <w:trPr>
          <w:trHeight w:hRule="exact" w:val="230"/>
        </w:trPr>
        <w:tc>
          <w:tcPr>
            <w:tcW w:w="305" w:type="dxa"/>
          </w:tcPr>
          <w:p w14:paraId="03B12634" w14:textId="77777777" w:rsidR="004F2810" w:rsidRPr="00EB7BF0" w:rsidRDefault="004F2810" w:rsidP="007149CF">
            <w:pPr>
              <w:jc w:val="right"/>
              <w:rPr>
                <w:snapToGrid w:val="0"/>
                <w:color w:val="000000"/>
              </w:rPr>
            </w:pPr>
          </w:p>
        </w:tc>
        <w:tc>
          <w:tcPr>
            <w:tcW w:w="302" w:type="dxa"/>
          </w:tcPr>
          <w:p w14:paraId="3E135C54" w14:textId="77777777" w:rsidR="004F2810" w:rsidRPr="00EB7BF0" w:rsidRDefault="004F2810" w:rsidP="007149CF">
            <w:pPr>
              <w:jc w:val="right"/>
              <w:rPr>
                <w:snapToGrid w:val="0"/>
                <w:color w:val="000000"/>
              </w:rPr>
            </w:pPr>
          </w:p>
        </w:tc>
        <w:tc>
          <w:tcPr>
            <w:tcW w:w="5513" w:type="dxa"/>
          </w:tcPr>
          <w:p w14:paraId="07C9C847" w14:textId="77777777" w:rsidR="004F2810" w:rsidRPr="00E74795" w:rsidRDefault="004F2810" w:rsidP="007149CF">
            <w:pPr>
              <w:jc w:val="right"/>
              <w:rPr>
                <w:snapToGrid w:val="0"/>
                <w:color w:val="000000"/>
              </w:rPr>
            </w:pPr>
          </w:p>
        </w:tc>
        <w:tc>
          <w:tcPr>
            <w:tcW w:w="90" w:type="dxa"/>
          </w:tcPr>
          <w:p w14:paraId="63150363" w14:textId="77777777" w:rsidR="004F2810" w:rsidRPr="00E74795" w:rsidRDefault="004F2810" w:rsidP="007149CF">
            <w:pPr>
              <w:jc w:val="right"/>
              <w:rPr>
                <w:snapToGrid w:val="0"/>
                <w:color w:val="000000"/>
              </w:rPr>
            </w:pPr>
          </w:p>
        </w:tc>
        <w:tc>
          <w:tcPr>
            <w:tcW w:w="1710" w:type="dxa"/>
          </w:tcPr>
          <w:p w14:paraId="382FE4A0" w14:textId="77777777" w:rsidR="004F2810" w:rsidRPr="00E74795" w:rsidRDefault="004F2810" w:rsidP="007149CF">
            <w:pPr>
              <w:tabs>
                <w:tab w:val="decimal" w:pos="1195"/>
              </w:tabs>
              <w:jc w:val="right"/>
              <w:rPr>
                <w:snapToGrid w:val="0"/>
                <w:color w:val="000000"/>
              </w:rPr>
            </w:pPr>
          </w:p>
        </w:tc>
        <w:tc>
          <w:tcPr>
            <w:tcW w:w="270" w:type="dxa"/>
          </w:tcPr>
          <w:p w14:paraId="2062AB0A" w14:textId="77777777" w:rsidR="004F2810" w:rsidRPr="00E74795" w:rsidRDefault="004F2810" w:rsidP="007149CF">
            <w:pPr>
              <w:jc w:val="right"/>
              <w:rPr>
                <w:snapToGrid w:val="0"/>
                <w:color w:val="000000"/>
              </w:rPr>
            </w:pPr>
          </w:p>
        </w:tc>
        <w:tc>
          <w:tcPr>
            <w:tcW w:w="1890" w:type="dxa"/>
          </w:tcPr>
          <w:p w14:paraId="04485B1B" w14:textId="77777777" w:rsidR="004F2810" w:rsidRPr="00E74795" w:rsidRDefault="004F2810" w:rsidP="007149CF">
            <w:pPr>
              <w:tabs>
                <w:tab w:val="decimal" w:pos="1195"/>
              </w:tabs>
              <w:jc w:val="right"/>
              <w:rPr>
                <w:snapToGrid w:val="0"/>
                <w:color w:val="000000"/>
              </w:rPr>
            </w:pPr>
          </w:p>
        </w:tc>
      </w:tr>
      <w:tr w:rsidR="004F2810" w:rsidRPr="00EB7BF0" w14:paraId="2CD5065E" w14:textId="77777777" w:rsidTr="007149CF">
        <w:trPr>
          <w:trHeight w:hRule="exact" w:val="230"/>
        </w:trPr>
        <w:tc>
          <w:tcPr>
            <w:tcW w:w="6120" w:type="dxa"/>
            <w:gridSpan w:val="3"/>
          </w:tcPr>
          <w:p w14:paraId="172153BE" w14:textId="02DCF6F1" w:rsidR="004F2810" w:rsidRPr="00E74795" w:rsidRDefault="004F2810" w:rsidP="007149CF">
            <w:pPr>
              <w:rPr>
                <w:snapToGrid w:val="0"/>
                <w:color w:val="000000"/>
              </w:rPr>
            </w:pPr>
            <w:r w:rsidRPr="00374FE3">
              <w:rPr>
                <w:snapToGrid w:val="0"/>
                <w:color w:val="000000"/>
              </w:rPr>
              <w:t>Stockholders’ equity:</w:t>
            </w:r>
          </w:p>
        </w:tc>
        <w:tc>
          <w:tcPr>
            <w:tcW w:w="90" w:type="dxa"/>
          </w:tcPr>
          <w:p w14:paraId="74964E7A" w14:textId="77777777" w:rsidR="004F2810" w:rsidRPr="00E74795" w:rsidRDefault="004F2810" w:rsidP="007149CF">
            <w:pPr>
              <w:jc w:val="right"/>
              <w:rPr>
                <w:snapToGrid w:val="0"/>
                <w:color w:val="000000"/>
              </w:rPr>
            </w:pPr>
          </w:p>
        </w:tc>
        <w:tc>
          <w:tcPr>
            <w:tcW w:w="1710" w:type="dxa"/>
          </w:tcPr>
          <w:p w14:paraId="454D8FD6" w14:textId="77777777" w:rsidR="004F2810" w:rsidRPr="00E74795" w:rsidRDefault="004F2810" w:rsidP="007149CF">
            <w:pPr>
              <w:tabs>
                <w:tab w:val="decimal" w:pos="1195"/>
              </w:tabs>
              <w:jc w:val="right"/>
              <w:rPr>
                <w:snapToGrid w:val="0"/>
                <w:color w:val="000000"/>
              </w:rPr>
            </w:pPr>
          </w:p>
        </w:tc>
        <w:tc>
          <w:tcPr>
            <w:tcW w:w="270" w:type="dxa"/>
          </w:tcPr>
          <w:p w14:paraId="4B93E5C6" w14:textId="77777777" w:rsidR="004F2810" w:rsidRPr="00E74795" w:rsidRDefault="004F2810" w:rsidP="007149CF">
            <w:pPr>
              <w:jc w:val="right"/>
              <w:rPr>
                <w:snapToGrid w:val="0"/>
                <w:color w:val="000000"/>
              </w:rPr>
            </w:pPr>
          </w:p>
        </w:tc>
        <w:tc>
          <w:tcPr>
            <w:tcW w:w="1890" w:type="dxa"/>
          </w:tcPr>
          <w:p w14:paraId="03E2BF64" w14:textId="77777777" w:rsidR="004F2810" w:rsidRPr="00E74795" w:rsidRDefault="004F2810" w:rsidP="007149CF">
            <w:pPr>
              <w:tabs>
                <w:tab w:val="decimal" w:pos="1195"/>
              </w:tabs>
              <w:jc w:val="right"/>
              <w:rPr>
                <w:snapToGrid w:val="0"/>
                <w:color w:val="000000"/>
              </w:rPr>
            </w:pPr>
          </w:p>
        </w:tc>
      </w:tr>
      <w:tr w:rsidR="004F2810" w:rsidRPr="00EB7BF0" w14:paraId="010E2926" w14:textId="77777777" w:rsidTr="007149CF">
        <w:trPr>
          <w:trHeight w:hRule="exact" w:val="230"/>
        </w:trPr>
        <w:tc>
          <w:tcPr>
            <w:tcW w:w="305" w:type="dxa"/>
          </w:tcPr>
          <w:p w14:paraId="03620FFB" w14:textId="77777777" w:rsidR="004F2810" w:rsidRPr="00EB7BF0" w:rsidRDefault="004F2810" w:rsidP="007149CF">
            <w:pPr>
              <w:jc w:val="right"/>
              <w:rPr>
                <w:snapToGrid w:val="0"/>
                <w:color w:val="000000"/>
              </w:rPr>
            </w:pPr>
          </w:p>
        </w:tc>
        <w:tc>
          <w:tcPr>
            <w:tcW w:w="5815" w:type="dxa"/>
            <w:gridSpan w:val="2"/>
          </w:tcPr>
          <w:p w14:paraId="640BBCC4" w14:textId="77777777" w:rsidR="004F2810" w:rsidRPr="00E74795" w:rsidRDefault="004F2810" w:rsidP="007149CF">
            <w:pPr>
              <w:rPr>
                <w:snapToGrid w:val="0"/>
                <w:color w:val="000000"/>
              </w:rPr>
            </w:pPr>
            <w:r w:rsidRPr="00374FE3">
              <w:rPr>
                <w:snapToGrid w:val="0"/>
                <w:color w:val="000000"/>
              </w:rPr>
              <w:t>Common stock, $.001 par value:</w:t>
            </w:r>
          </w:p>
        </w:tc>
        <w:tc>
          <w:tcPr>
            <w:tcW w:w="90" w:type="dxa"/>
          </w:tcPr>
          <w:p w14:paraId="315587F7" w14:textId="77777777" w:rsidR="004F2810" w:rsidRPr="00E74795" w:rsidRDefault="004F2810" w:rsidP="007149CF">
            <w:pPr>
              <w:jc w:val="right"/>
              <w:rPr>
                <w:snapToGrid w:val="0"/>
                <w:color w:val="000000"/>
              </w:rPr>
            </w:pPr>
          </w:p>
        </w:tc>
        <w:tc>
          <w:tcPr>
            <w:tcW w:w="1710" w:type="dxa"/>
          </w:tcPr>
          <w:p w14:paraId="394DE3A0" w14:textId="77777777" w:rsidR="004F2810" w:rsidRPr="00E74795" w:rsidRDefault="004F2810" w:rsidP="007149CF">
            <w:pPr>
              <w:tabs>
                <w:tab w:val="decimal" w:pos="1320"/>
              </w:tabs>
              <w:jc w:val="right"/>
              <w:rPr>
                <w:snapToGrid w:val="0"/>
                <w:color w:val="000000"/>
              </w:rPr>
            </w:pPr>
          </w:p>
        </w:tc>
        <w:tc>
          <w:tcPr>
            <w:tcW w:w="270" w:type="dxa"/>
          </w:tcPr>
          <w:p w14:paraId="7C22433E" w14:textId="77777777" w:rsidR="004F2810" w:rsidRPr="00E74795" w:rsidRDefault="004F2810" w:rsidP="007149CF">
            <w:pPr>
              <w:jc w:val="right"/>
              <w:rPr>
                <w:snapToGrid w:val="0"/>
                <w:color w:val="000000"/>
              </w:rPr>
            </w:pPr>
          </w:p>
        </w:tc>
        <w:tc>
          <w:tcPr>
            <w:tcW w:w="1890" w:type="dxa"/>
          </w:tcPr>
          <w:p w14:paraId="497AA4B9" w14:textId="77777777" w:rsidR="004F2810" w:rsidRPr="00E74795" w:rsidRDefault="004F2810" w:rsidP="007149CF">
            <w:pPr>
              <w:tabs>
                <w:tab w:val="decimal" w:pos="1500"/>
              </w:tabs>
              <w:jc w:val="right"/>
              <w:rPr>
                <w:snapToGrid w:val="0"/>
                <w:color w:val="000000"/>
              </w:rPr>
            </w:pPr>
          </w:p>
        </w:tc>
      </w:tr>
      <w:tr w:rsidR="004F2810" w:rsidRPr="00EB7BF0" w14:paraId="15BCD648" w14:textId="77777777" w:rsidTr="007149CF">
        <w:trPr>
          <w:trHeight w:hRule="exact" w:val="230"/>
        </w:trPr>
        <w:tc>
          <w:tcPr>
            <w:tcW w:w="305" w:type="dxa"/>
          </w:tcPr>
          <w:p w14:paraId="174D456A" w14:textId="77777777" w:rsidR="004F2810" w:rsidRPr="00EB7BF0" w:rsidRDefault="004F2810" w:rsidP="007149CF">
            <w:pPr>
              <w:jc w:val="right"/>
              <w:rPr>
                <w:snapToGrid w:val="0"/>
                <w:color w:val="000000"/>
              </w:rPr>
            </w:pPr>
            <w:bookmarkStart w:id="7" w:name="_Hlk12541074"/>
          </w:p>
        </w:tc>
        <w:tc>
          <w:tcPr>
            <w:tcW w:w="302" w:type="dxa"/>
          </w:tcPr>
          <w:p w14:paraId="0A6CA63D" w14:textId="77777777" w:rsidR="004F2810" w:rsidRPr="00EB7BF0" w:rsidRDefault="004F2810" w:rsidP="007149CF">
            <w:pPr>
              <w:jc w:val="right"/>
              <w:rPr>
                <w:snapToGrid w:val="0"/>
                <w:color w:val="000000"/>
              </w:rPr>
            </w:pPr>
          </w:p>
        </w:tc>
        <w:tc>
          <w:tcPr>
            <w:tcW w:w="5513" w:type="dxa"/>
          </w:tcPr>
          <w:p w14:paraId="05323004" w14:textId="77777777" w:rsidR="004F2810" w:rsidRDefault="004F2810" w:rsidP="007149CF">
            <w:pPr>
              <w:tabs>
                <w:tab w:val="left" w:pos="203"/>
              </w:tabs>
              <w:rPr>
                <w:snapToGrid w:val="0"/>
                <w:color w:val="000000"/>
              </w:rPr>
            </w:pPr>
            <w:r w:rsidRPr="00374FE3">
              <w:rPr>
                <w:snapToGrid w:val="0"/>
                <w:color w:val="000000"/>
              </w:rPr>
              <w:t xml:space="preserve">Authorized shares – </w:t>
            </w:r>
            <w:r>
              <w:rPr>
                <w:snapToGrid w:val="0"/>
                <w:color w:val="000000"/>
              </w:rPr>
              <w:t>150</w:t>
            </w:r>
            <w:r w:rsidRPr="00374FE3">
              <w:rPr>
                <w:snapToGrid w:val="0"/>
                <w:color w:val="000000"/>
              </w:rPr>
              <w:t>,000,000</w:t>
            </w:r>
            <w:r>
              <w:rPr>
                <w:snapToGrid w:val="0"/>
                <w:color w:val="000000"/>
              </w:rPr>
              <w:t xml:space="preserve"> and 600,000,000 at</w:t>
            </w:r>
          </w:p>
          <w:p w14:paraId="7168CDF9" w14:textId="77777777" w:rsidR="004F2810" w:rsidRDefault="004F2810" w:rsidP="007149CF">
            <w:pPr>
              <w:tabs>
                <w:tab w:val="left" w:pos="203"/>
              </w:tabs>
              <w:rPr>
                <w:snapToGrid w:val="0"/>
                <w:color w:val="000000"/>
              </w:rPr>
            </w:pPr>
          </w:p>
          <w:p w14:paraId="5CB2BAB6" w14:textId="77777777" w:rsidR="004F2810" w:rsidRPr="00374FE3" w:rsidRDefault="004F2810" w:rsidP="007149CF">
            <w:pPr>
              <w:tabs>
                <w:tab w:val="left" w:pos="203"/>
              </w:tabs>
              <w:rPr>
                <w:snapToGrid w:val="0"/>
                <w:color w:val="000000"/>
              </w:rPr>
            </w:pPr>
          </w:p>
          <w:p w14:paraId="4FB1B3E7" w14:textId="77777777" w:rsidR="004F2810" w:rsidRPr="00E74795" w:rsidRDefault="004F2810" w:rsidP="007149CF">
            <w:pPr>
              <w:tabs>
                <w:tab w:val="left" w:pos="203"/>
              </w:tabs>
              <w:rPr>
                <w:snapToGrid w:val="0"/>
                <w:color w:val="000000"/>
              </w:rPr>
            </w:pPr>
          </w:p>
        </w:tc>
        <w:tc>
          <w:tcPr>
            <w:tcW w:w="90" w:type="dxa"/>
          </w:tcPr>
          <w:p w14:paraId="6F4F9250" w14:textId="77777777" w:rsidR="004F2810" w:rsidRPr="00E74795" w:rsidRDefault="004F2810" w:rsidP="007149CF">
            <w:pPr>
              <w:jc w:val="right"/>
              <w:rPr>
                <w:snapToGrid w:val="0"/>
                <w:color w:val="000000"/>
              </w:rPr>
            </w:pPr>
          </w:p>
        </w:tc>
        <w:tc>
          <w:tcPr>
            <w:tcW w:w="1710" w:type="dxa"/>
          </w:tcPr>
          <w:p w14:paraId="5AACE865" w14:textId="77777777" w:rsidR="004F2810" w:rsidRPr="00E74795" w:rsidRDefault="004F2810" w:rsidP="007149CF">
            <w:pPr>
              <w:tabs>
                <w:tab w:val="decimal" w:pos="1320"/>
              </w:tabs>
              <w:jc w:val="right"/>
              <w:rPr>
                <w:snapToGrid w:val="0"/>
                <w:color w:val="000000"/>
              </w:rPr>
            </w:pPr>
          </w:p>
        </w:tc>
        <w:tc>
          <w:tcPr>
            <w:tcW w:w="270" w:type="dxa"/>
          </w:tcPr>
          <w:p w14:paraId="365C42BC" w14:textId="77777777" w:rsidR="004F2810" w:rsidRPr="00E74795" w:rsidRDefault="004F2810" w:rsidP="007149CF">
            <w:pPr>
              <w:jc w:val="right"/>
              <w:rPr>
                <w:snapToGrid w:val="0"/>
                <w:color w:val="000000"/>
              </w:rPr>
            </w:pPr>
          </w:p>
        </w:tc>
        <w:tc>
          <w:tcPr>
            <w:tcW w:w="1890" w:type="dxa"/>
          </w:tcPr>
          <w:p w14:paraId="0C78EA2F" w14:textId="77777777" w:rsidR="004F2810" w:rsidRPr="00E74795" w:rsidRDefault="004F2810" w:rsidP="007149CF">
            <w:pPr>
              <w:tabs>
                <w:tab w:val="decimal" w:pos="1500"/>
              </w:tabs>
              <w:jc w:val="right"/>
              <w:rPr>
                <w:snapToGrid w:val="0"/>
                <w:color w:val="000000"/>
              </w:rPr>
            </w:pPr>
          </w:p>
        </w:tc>
      </w:tr>
      <w:tr w:rsidR="004F2810" w:rsidRPr="00EB7BF0" w14:paraId="7978269E" w14:textId="77777777" w:rsidTr="007149CF">
        <w:trPr>
          <w:trHeight w:hRule="exact" w:val="230"/>
        </w:trPr>
        <w:tc>
          <w:tcPr>
            <w:tcW w:w="305" w:type="dxa"/>
          </w:tcPr>
          <w:p w14:paraId="08754D65" w14:textId="77777777" w:rsidR="004F2810" w:rsidRPr="00EB7BF0" w:rsidRDefault="004F2810" w:rsidP="007149CF">
            <w:pPr>
              <w:jc w:val="right"/>
              <w:rPr>
                <w:snapToGrid w:val="0"/>
                <w:color w:val="000000"/>
              </w:rPr>
            </w:pPr>
          </w:p>
        </w:tc>
        <w:tc>
          <w:tcPr>
            <w:tcW w:w="302" w:type="dxa"/>
          </w:tcPr>
          <w:p w14:paraId="1726C8E0" w14:textId="77777777" w:rsidR="004F2810" w:rsidRPr="00EB7BF0" w:rsidRDefault="004F2810" w:rsidP="007149CF">
            <w:pPr>
              <w:jc w:val="right"/>
              <w:rPr>
                <w:snapToGrid w:val="0"/>
                <w:color w:val="000000"/>
              </w:rPr>
            </w:pPr>
          </w:p>
        </w:tc>
        <w:tc>
          <w:tcPr>
            <w:tcW w:w="5513" w:type="dxa"/>
          </w:tcPr>
          <w:p w14:paraId="45F50128" w14:textId="4F6C2BEB" w:rsidR="004F2810" w:rsidRPr="00374FE3" w:rsidRDefault="004F2810" w:rsidP="007149CF">
            <w:pPr>
              <w:tabs>
                <w:tab w:val="left" w:pos="203"/>
              </w:tabs>
              <w:rPr>
                <w:snapToGrid w:val="0"/>
                <w:color w:val="000000"/>
              </w:rPr>
            </w:pPr>
            <w:r>
              <w:rPr>
                <w:snapToGrid w:val="0"/>
                <w:color w:val="000000"/>
              </w:rPr>
              <w:tab/>
            </w:r>
            <w:r w:rsidR="00C719DC">
              <w:rPr>
                <w:snapToGrid w:val="0"/>
                <w:color w:val="000000"/>
              </w:rPr>
              <w:t>March</w:t>
            </w:r>
            <w:r>
              <w:rPr>
                <w:snapToGrid w:val="0"/>
                <w:color w:val="000000"/>
              </w:rPr>
              <w:t xml:space="preserve"> 3</w:t>
            </w:r>
            <w:r w:rsidR="00C719DC">
              <w:rPr>
                <w:snapToGrid w:val="0"/>
                <w:color w:val="000000"/>
              </w:rPr>
              <w:t>1</w:t>
            </w:r>
            <w:r>
              <w:rPr>
                <w:snapToGrid w:val="0"/>
                <w:color w:val="000000"/>
              </w:rPr>
              <w:t>, 202</w:t>
            </w:r>
            <w:r w:rsidR="00C719DC">
              <w:rPr>
                <w:snapToGrid w:val="0"/>
                <w:color w:val="000000"/>
              </w:rPr>
              <w:t>5</w:t>
            </w:r>
            <w:r>
              <w:rPr>
                <w:snapToGrid w:val="0"/>
                <w:color w:val="000000"/>
              </w:rPr>
              <w:t xml:space="preserve"> and December 31, 202</w:t>
            </w:r>
            <w:r w:rsidR="00C719DC">
              <w:rPr>
                <w:snapToGrid w:val="0"/>
                <w:color w:val="000000"/>
              </w:rPr>
              <w:t>4</w:t>
            </w:r>
            <w:r>
              <w:rPr>
                <w:snapToGrid w:val="0"/>
                <w:color w:val="000000"/>
              </w:rPr>
              <w:t>, respectively</w:t>
            </w:r>
          </w:p>
        </w:tc>
        <w:tc>
          <w:tcPr>
            <w:tcW w:w="90" w:type="dxa"/>
          </w:tcPr>
          <w:p w14:paraId="633A35D1" w14:textId="77777777" w:rsidR="004F2810" w:rsidRPr="00E74795" w:rsidRDefault="004F2810" w:rsidP="007149CF">
            <w:pPr>
              <w:jc w:val="right"/>
              <w:rPr>
                <w:snapToGrid w:val="0"/>
                <w:color w:val="000000"/>
              </w:rPr>
            </w:pPr>
          </w:p>
        </w:tc>
        <w:tc>
          <w:tcPr>
            <w:tcW w:w="1710" w:type="dxa"/>
          </w:tcPr>
          <w:p w14:paraId="4B2F8E68" w14:textId="77777777" w:rsidR="004F2810" w:rsidRPr="00E74795" w:rsidRDefault="004F2810" w:rsidP="007149CF">
            <w:pPr>
              <w:tabs>
                <w:tab w:val="decimal" w:pos="1320"/>
              </w:tabs>
              <w:jc w:val="right"/>
              <w:rPr>
                <w:snapToGrid w:val="0"/>
                <w:color w:val="000000"/>
              </w:rPr>
            </w:pPr>
          </w:p>
        </w:tc>
        <w:tc>
          <w:tcPr>
            <w:tcW w:w="270" w:type="dxa"/>
          </w:tcPr>
          <w:p w14:paraId="7A7712CE" w14:textId="77777777" w:rsidR="004F2810" w:rsidRPr="00E74795" w:rsidRDefault="004F2810" w:rsidP="007149CF">
            <w:pPr>
              <w:jc w:val="right"/>
              <w:rPr>
                <w:snapToGrid w:val="0"/>
                <w:color w:val="000000"/>
              </w:rPr>
            </w:pPr>
          </w:p>
        </w:tc>
        <w:tc>
          <w:tcPr>
            <w:tcW w:w="1890" w:type="dxa"/>
          </w:tcPr>
          <w:p w14:paraId="45195FAC" w14:textId="77777777" w:rsidR="004F2810" w:rsidRPr="00E74795" w:rsidRDefault="004F2810" w:rsidP="007149CF">
            <w:pPr>
              <w:tabs>
                <w:tab w:val="decimal" w:pos="1500"/>
              </w:tabs>
              <w:jc w:val="right"/>
              <w:rPr>
                <w:snapToGrid w:val="0"/>
                <w:color w:val="000000"/>
              </w:rPr>
            </w:pPr>
          </w:p>
        </w:tc>
      </w:tr>
      <w:tr w:rsidR="004F2810" w:rsidRPr="00EB7BF0" w14:paraId="2B63030A" w14:textId="77777777" w:rsidTr="007149CF">
        <w:trPr>
          <w:trHeight w:hRule="exact" w:val="230"/>
        </w:trPr>
        <w:tc>
          <w:tcPr>
            <w:tcW w:w="305" w:type="dxa"/>
          </w:tcPr>
          <w:p w14:paraId="116E7323" w14:textId="77777777" w:rsidR="004F2810" w:rsidRPr="00EB7BF0" w:rsidRDefault="004F2810" w:rsidP="007149CF">
            <w:pPr>
              <w:jc w:val="right"/>
              <w:rPr>
                <w:snapToGrid w:val="0"/>
                <w:color w:val="000000"/>
              </w:rPr>
            </w:pPr>
          </w:p>
        </w:tc>
        <w:tc>
          <w:tcPr>
            <w:tcW w:w="302" w:type="dxa"/>
          </w:tcPr>
          <w:p w14:paraId="5543C361" w14:textId="77777777" w:rsidR="004F2810" w:rsidRPr="00EB7BF0" w:rsidRDefault="004F2810" w:rsidP="007149CF">
            <w:pPr>
              <w:jc w:val="right"/>
              <w:rPr>
                <w:snapToGrid w:val="0"/>
                <w:color w:val="000000"/>
              </w:rPr>
            </w:pPr>
          </w:p>
        </w:tc>
        <w:tc>
          <w:tcPr>
            <w:tcW w:w="5513" w:type="dxa"/>
          </w:tcPr>
          <w:p w14:paraId="23AB4CE3" w14:textId="23F92945" w:rsidR="004F2810" w:rsidRPr="00E74795" w:rsidRDefault="004F2810" w:rsidP="007149CF">
            <w:pPr>
              <w:tabs>
                <w:tab w:val="left" w:pos="203"/>
              </w:tabs>
              <w:rPr>
                <w:snapToGrid w:val="0"/>
                <w:color w:val="000000"/>
              </w:rPr>
            </w:pPr>
            <w:r w:rsidRPr="00374FE3">
              <w:rPr>
                <w:snapToGrid w:val="0"/>
                <w:color w:val="000000"/>
              </w:rPr>
              <w:t xml:space="preserve">Issued and outstanding shares – </w:t>
            </w:r>
            <w:r w:rsidR="00A44671">
              <w:rPr>
                <w:snapToGrid w:val="0"/>
                <w:color w:val="000000"/>
              </w:rPr>
              <w:t>13,839,478</w:t>
            </w:r>
            <w:r>
              <w:rPr>
                <w:snapToGrid w:val="0"/>
                <w:color w:val="000000"/>
              </w:rPr>
              <w:t xml:space="preserve"> </w:t>
            </w:r>
            <w:r w:rsidRPr="00374FE3">
              <w:rPr>
                <w:snapToGrid w:val="0"/>
                <w:color w:val="000000"/>
              </w:rPr>
              <w:t xml:space="preserve">and </w:t>
            </w:r>
            <w:r w:rsidR="00C719DC">
              <w:rPr>
                <w:snapToGrid w:val="0"/>
                <w:color w:val="000000"/>
              </w:rPr>
              <w:t xml:space="preserve">10,536,875 </w:t>
            </w:r>
            <w:r w:rsidRPr="00374FE3">
              <w:rPr>
                <w:snapToGrid w:val="0"/>
                <w:color w:val="000000"/>
              </w:rPr>
              <w:t>at</w:t>
            </w:r>
          </w:p>
        </w:tc>
        <w:tc>
          <w:tcPr>
            <w:tcW w:w="90" w:type="dxa"/>
          </w:tcPr>
          <w:p w14:paraId="7DB16279" w14:textId="77777777" w:rsidR="004F2810" w:rsidRPr="00E74795" w:rsidRDefault="004F2810" w:rsidP="007149CF">
            <w:pPr>
              <w:jc w:val="right"/>
              <w:rPr>
                <w:snapToGrid w:val="0"/>
                <w:color w:val="000000"/>
              </w:rPr>
            </w:pPr>
          </w:p>
        </w:tc>
        <w:tc>
          <w:tcPr>
            <w:tcW w:w="1710" w:type="dxa"/>
          </w:tcPr>
          <w:p w14:paraId="191BBD23" w14:textId="77777777" w:rsidR="004F2810" w:rsidRPr="00E74795" w:rsidRDefault="004F2810" w:rsidP="007149CF">
            <w:pPr>
              <w:tabs>
                <w:tab w:val="decimal" w:pos="1320"/>
              </w:tabs>
              <w:jc w:val="right"/>
              <w:rPr>
                <w:snapToGrid w:val="0"/>
                <w:color w:val="000000"/>
              </w:rPr>
            </w:pPr>
          </w:p>
        </w:tc>
        <w:tc>
          <w:tcPr>
            <w:tcW w:w="270" w:type="dxa"/>
          </w:tcPr>
          <w:p w14:paraId="5833A0E2" w14:textId="77777777" w:rsidR="004F2810" w:rsidRPr="00E74795" w:rsidRDefault="004F2810" w:rsidP="007149CF">
            <w:pPr>
              <w:jc w:val="right"/>
              <w:rPr>
                <w:snapToGrid w:val="0"/>
                <w:color w:val="000000"/>
              </w:rPr>
            </w:pPr>
          </w:p>
        </w:tc>
        <w:tc>
          <w:tcPr>
            <w:tcW w:w="1890" w:type="dxa"/>
          </w:tcPr>
          <w:p w14:paraId="4FAFEEA5" w14:textId="77777777" w:rsidR="004F2810" w:rsidRPr="00E74795" w:rsidRDefault="004F2810" w:rsidP="007149CF">
            <w:pPr>
              <w:tabs>
                <w:tab w:val="decimal" w:pos="1500"/>
              </w:tabs>
              <w:jc w:val="right"/>
              <w:rPr>
                <w:snapToGrid w:val="0"/>
                <w:color w:val="000000"/>
              </w:rPr>
            </w:pPr>
          </w:p>
        </w:tc>
      </w:tr>
      <w:tr w:rsidR="004F2810" w:rsidRPr="00EB7BF0" w14:paraId="3F426412" w14:textId="77777777" w:rsidTr="007149CF">
        <w:trPr>
          <w:trHeight w:hRule="exact" w:val="230"/>
        </w:trPr>
        <w:tc>
          <w:tcPr>
            <w:tcW w:w="305" w:type="dxa"/>
          </w:tcPr>
          <w:p w14:paraId="10785AF8" w14:textId="77777777" w:rsidR="004F2810" w:rsidRPr="00EB7BF0" w:rsidRDefault="004F2810" w:rsidP="007149CF">
            <w:pPr>
              <w:jc w:val="right"/>
              <w:rPr>
                <w:snapToGrid w:val="0"/>
                <w:color w:val="000000"/>
              </w:rPr>
            </w:pPr>
          </w:p>
        </w:tc>
        <w:tc>
          <w:tcPr>
            <w:tcW w:w="302" w:type="dxa"/>
          </w:tcPr>
          <w:p w14:paraId="7446A8BE" w14:textId="77777777" w:rsidR="004F2810" w:rsidRPr="00EB7BF0" w:rsidRDefault="004F2810" w:rsidP="007149CF">
            <w:pPr>
              <w:jc w:val="right"/>
              <w:rPr>
                <w:snapToGrid w:val="0"/>
                <w:color w:val="000000"/>
              </w:rPr>
            </w:pPr>
          </w:p>
        </w:tc>
        <w:tc>
          <w:tcPr>
            <w:tcW w:w="5513" w:type="dxa"/>
          </w:tcPr>
          <w:p w14:paraId="55C47A42" w14:textId="0A0529A9" w:rsidR="004F2810" w:rsidRPr="00E74795" w:rsidRDefault="004F2810" w:rsidP="007149CF">
            <w:pPr>
              <w:tabs>
                <w:tab w:val="left" w:pos="203"/>
              </w:tabs>
              <w:rPr>
                <w:snapToGrid w:val="0"/>
                <w:color w:val="000000"/>
              </w:rPr>
            </w:pPr>
            <w:r w:rsidRPr="00374FE3">
              <w:rPr>
                <w:snapToGrid w:val="0"/>
                <w:color w:val="000000"/>
              </w:rPr>
              <w:tab/>
            </w:r>
            <w:r w:rsidR="00C719DC">
              <w:rPr>
                <w:snapToGrid w:val="0"/>
                <w:color w:val="000000"/>
              </w:rPr>
              <w:t>March</w:t>
            </w:r>
            <w:r w:rsidRPr="00374FE3">
              <w:rPr>
                <w:snapToGrid w:val="0"/>
                <w:color w:val="000000"/>
              </w:rPr>
              <w:t xml:space="preserve"> 3</w:t>
            </w:r>
            <w:r w:rsidR="00C719DC">
              <w:rPr>
                <w:snapToGrid w:val="0"/>
                <w:color w:val="000000"/>
              </w:rPr>
              <w:t>1</w:t>
            </w:r>
            <w:r w:rsidRPr="00374FE3">
              <w:rPr>
                <w:snapToGrid w:val="0"/>
                <w:color w:val="000000"/>
              </w:rPr>
              <w:t>, 20</w:t>
            </w:r>
            <w:r>
              <w:rPr>
                <w:snapToGrid w:val="0"/>
                <w:color w:val="000000"/>
              </w:rPr>
              <w:t>2</w:t>
            </w:r>
            <w:r w:rsidR="00C719DC">
              <w:rPr>
                <w:snapToGrid w:val="0"/>
                <w:color w:val="000000"/>
              </w:rPr>
              <w:t>5</w:t>
            </w:r>
            <w:r w:rsidRPr="00374FE3">
              <w:rPr>
                <w:snapToGrid w:val="0"/>
                <w:color w:val="000000"/>
              </w:rPr>
              <w:t xml:space="preserve"> and </w:t>
            </w:r>
            <w:r>
              <w:rPr>
                <w:snapToGrid w:val="0"/>
                <w:color w:val="000000"/>
              </w:rPr>
              <w:t xml:space="preserve">December 31, </w:t>
            </w:r>
            <w:r w:rsidRPr="00374FE3">
              <w:rPr>
                <w:snapToGrid w:val="0"/>
                <w:color w:val="000000"/>
              </w:rPr>
              <w:t>20</w:t>
            </w:r>
            <w:r>
              <w:rPr>
                <w:snapToGrid w:val="0"/>
                <w:color w:val="000000"/>
              </w:rPr>
              <w:t>2</w:t>
            </w:r>
            <w:r w:rsidR="00C719DC">
              <w:rPr>
                <w:snapToGrid w:val="0"/>
                <w:color w:val="000000"/>
              </w:rPr>
              <w:t>4</w:t>
            </w:r>
            <w:r w:rsidRPr="00374FE3">
              <w:rPr>
                <w:snapToGrid w:val="0"/>
                <w:color w:val="000000"/>
              </w:rPr>
              <w:t>, respectively</w:t>
            </w:r>
          </w:p>
        </w:tc>
        <w:tc>
          <w:tcPr>
            <w:tcW w:w="90" w:type="dxa"/>
          </w:tcPr>
          <w:p w14:paraId="6D930BEB" w14:textId="77777777" w:rsidR="004F2810" w:rsidRPr="00E74795" w:rsidRDefault="004F2810" w:rsidP="007149CF">
            <w:pPr>
              <w:jc w:val="right"/>
              <w:rPr>
                <w:snapToGrid w:val="0"/>
                <w:color w:val="000000"/>
              </w:rPr>
            </w:pPr>
          </w:p>
        </w:tc>
        <w:tc>
          <w:tcPr>
            <w:tcW w:w="1710" w:type="dxa"/>
          </w:tcPr>
          <w:p w14:paraId="3D3D1D53" w14:textId="4E8E3789" w:rsidR="004F2810" w:rsidRPr="00E74795" w:rsidRDefault="00A44671" w:rsidP="007149CF">
            <w:pPr>
              <w:tabs>
                <w:tab w:val="decimal" w:pos="1320"/>
              </w:tabs>
              <w:rPr>
                <w:snapToGrid w:val="0"/>
                <w:color w:val="000000"/>
              </w:rPr>
            </w:pPr>
            <w:r>
              <w:rPr>
                <w:snapToGrid w:val="0"/>
                <w:color w:val="000000"/>
              </w:rPr>
              <w:t>13,839</w:t>
            </w:r>
          </w:p>
        </w:tc>
        <w:tc>
          <w:tcPr>
            <w:tcW w:w="270" w:type="dxa"/>
          </w:tcPr>
          <w:p w14:paraId="6C9AC2CE" w14:textId="77777777" w:rsidR="004F2810" w:rsidRPr="00E74795" w:rsidRDefault="004F2810" w:rsidP="007149CF">
            <w:pPr>
              <w:jc w:val="right"/>
              <w:rPr>
                <w:snapToGrid w:val="0"/>
                <w:color w:val="000000"/>
              </w:rPr>
            </w:pPr>
          </w:p>
        </w:tc>
        <w:tc>
          <w:tcPr>
            <w:tcW w:w="1890" w:type="dxa"/>
          </w:tcPr>
          <w:p w14:paraId="083047E2" w14:textId="7A9BEA15" w:rsidR="004F2810" w:rsidRPr="00E74795" w:rsidRDefault="00C719DC" w:rsidP="007149CF">
            <w:pPr>
              <w:tabs>
                <w:tab w:val="decimal" w:pos="1500"/>
              </w:tabs>
              <w:rPr>
                <w:snapToGrid w:val="0"/>
                <w:color w:val="000000"/>
              </w:rPr>
            </w:pPr>
            <w:r>
              <w:rPr>
                <w:snapToGrid w:val="0"/>
                <w:color w:val="000000"/>
              </w:rPr>
              <w:t>10,537</w:t>
            </w:r>
          </w:p>
        </w:tc>
      </w:tr>
      <w:bookmarkEnd w:id="7"/>
      <w:tr w:rsidR="004F2810" w:rsidRPr="00EB7BF0" w14:paraId="5BB3D539" w14:textId="77777777" w:rsidTr="007149CF">
        <w:trPr>
          <w:trHeight w:hRule="exact" w:val="230"/>
        </w:trPr>
        <w:tc>
          <w:tcPr>
            <w:tcW w:w="305" w:type="dxa"/>
          </w:tcPr>
          <w:p w14:paraId="7105DE81" w14:textId="77777777" w:rsidR="004F2810" w:rsidRPr="00EB7BF0" w:rsidRDefault="004F2810" w:rsidP="007149CF">
            <w:pPr>
              <w:jc w:val="right"/>
              <w:rPr>
                <w:snapToGrid w:val="0"/>
                <w:color w:val="000000"/>
              </w:rPr>
            </w:pPr>
          </w:p>
        </w:tc>
        <w:tc>
          <w:tcPr>
            <w:tcW w:w="5815" w:type="dxa"/>
            <w:gridSpan w:val="2"/>
          </w:tcPr>
          <w:p w14:paraId="0935DE26" w14:textId="77777777" w:rsidR="004F2810" w:rsidRPr="00E74795" w:rsidRDefault="004F2810" w:rsidP="007149CF">
            <w:pPr>
              <w:rPr>
                <w:snapToGrid w:val="0"/>
                <w:color w:val="000000"/>
              </w:rPr>
            </w:pPr>
            <w:r w:rsidRPr="00374FE3">
              <w:rPr>
                <w:snapToGrid w:val="0"/>
                <w:color w:val="000000"/>
              </w:rPr>
              <w:t>Additional paid-in capital</w:t>
            </w:r>
          </w:p>
        </w:tc>
        <w:tc>
          <w:tcPr>
            <w:tcW w:w="90" w:type="dxa"/>
          </w:tcPr>
          <w:p w14:paraId="7297FED7" w14:textId="77777777" w:rsidR="004F2810" w:rsidRPr="00E74795" w:rsidRDefault="004F2810" w:rsidP="007149CF">
            <w:pPr>
              <w:jc w:val="right"/>
              <w:rPr>
                <w:snapToGrid w:val="0"/>
                <w:color w:val="000000"/>
              </w:rPr>
            </w:pPr>
          </w:p>
        </w:tc>
        <w:tc>
          <w:tcPr>
            <w:tcW w:w="1710" w:type="dxa"/>
          </w:tcPr>
          <w:p w14:paraId="4C18704C" w14:textId="7C614C50" w:rsidR="004F2810" w:rsidRPr="00E74795" w:rsidRDefault="00A44671" w:rsidP="007149CF">
            <w:pPr>
              <w:tabs>
                <w:tab w:val="decimal" w:pos="1320"/>
              </w:tabs>
              <w:rPr>
                <w:snapToGrid w:val="0"/>
                <w:color w:val="000000"/>
              </w:rPr>
            </w:pPr>
            <w:r>
              <w:rPr>
                <w:snapToGrid w:val="0"/>
                <w:color w:val="000000"/>
              </w:rPr>
              <w:t>142,597,923</w:t>
            </w:r>
          </w:p>
        </w:tc>
        <w:tc>
          <w:tcPr>
            <w:tcW w:w="270" w:type="dxa"/>
          </w:tcPr>
          <w:p w14:paraId="6098E68E" w14:textId="77777777" w:rsidR="004F2810" w:rsidRPr="00E74795" w:rsidRDefault="004F2810" w:rsidP="007149CF">
            <w:pPr>
              <w:jc w:val="right"/>
              <w:rPr>
                <w:snapToGrid w:val="0"/>
                <w:color w:val="000000"/>
              </w:rPr>
            </w:pPr>
          </w:p>
        </w:tc>
        <w:tc>
          <w:tcPr>
            <w:tcW w:w="1890" w:type="dxa"/>
          </w:tcPr>
          <w:p w14:paraId="64D1B258" w14:textId="328913A5" w:rsidR="004F2810" w:rsidRPr="00E74795" w:rsidRDefault="00C719DC" w:rsidP="007149CF">
            <w:pPr>
              <w:tabs>
                <w:tab w:val="decimal" w:pos="1500"/>
              </w:tabs>
              <w:rPr>
                <w:snapToGrid w:val="0"/>
                <w:color w:val="000000"/>
              </w:rPr>
            </w:pPr>
            <w:r>
              <w:rPr>
                <w:snapToGrid w:val="0"/>
                <w:color w:val="000000"/>
              </w:rPr>
              <w:t>134,394,079</w:t>
            </w:r>
          </w:p>
        </w:tc>
      </w:tr>
      <w:tr w:rsidR="004F2810" w:rsidRPr="00EB7BF0" w14:paraId="27FA1218" w14:textId="77777777" w:rsidTr="007149CF">
        <w:trPr>
          <w:trHeight w:hRule="exact" w:val="230"/>
        </w:trPr>
        <w:tc>
          <w:tcPr>
            <w:tcW w:w="305" w:type="dxa"/>
          </w:tcPr>
          <w:p w14:paraId="1D07E432" w14:textId="77777777" w:rsidR="004F2810" w:rsidRPr="00EB7BF0" w:rsidRDefault="004F2810" w:rsidP="007149CF">
            <w:pPr>
              <w:jc w:val="right"/>
              <w:rPr>
                <w:snapToGrid w:val="0"/>
                <w:color w:val="000000"/>
              </w:rPr>
            </w:pPr>
          </w:p>
        </w:tc>
        <w:tc>
          <w:tcPr>
            <w:tcW w:w="5815" w:type="dxa"/>
            <w:gridSpan w:val="2"/>
          </w:tcPr>
          <w:p w14:paraId="52CA08A3" w14:textId="77777777" w:rsidR="004F2810" w:rsidRPr="00E74795" w:rsidRDefault="004F2810" w:rsidP="007149CF">
            <w:pPr>
              <w:rPr>
                <w:snapToGrid w:val="0"/>
                <w:color w:val="000000"/>
              </w:rPr>
            </w:pPr>
            <w:r w:rsidRPr="00374FE3">
              <w:rPr>
                <w:snapToGrid w:val="0"/>
                <w:color w:val="000000"/>
              </w:rPr>
              <w:t>Accumulated deficit</w:t>
            </w:r>
          </w:p>
        </w:tc>
        <w:tc>
          <w:tcPr>
            <w:tcW w:w="90" w:type="dxa"/>
          </w:tcPr>
          <w:p w14:paraId="2BBA3114" w14:textId="77777777" w:rsidR="004F2810" w:rsidRPr="00E74795" w:rsidRDefault="004F2810" w:rsidP="007149CF">
            <w:pPr>
              <w:jc w:val="right"/>
              <w:rPr>
                <w:snapToGrid w:val="0"/>
                <w:color w:val="000000"/>
              </w:rPr>
            </w:pPr>
          </w:p>
        </w:tc>
        <w:tc>
          <w:tcPr>
            <w:tcW w:w="1710" w:type="dxa"/>
            <w:tcBorders>
              <w:bottom w:val="single" w:sz="4" w:space="0" w:color="auto"/>
            </w:tcBorders>
          </w:tcPr>
          <w:p w14:paraId="20F99A45" w14:textId="24D3C35A" w:rsidR="004F2810" w:rsidRPr="00E74795" w:rsidRDefault="00A44671" w:rsidP="007149CF">
            <w:pPr>
              <w:tabs>
                <w:tab w:val="decimal" w:pos="1320"/>
              </w:tabs>
              <w:rPr>
                <w:snapToGrid w:val="0"/>
                <w:color w:val="000000"/>
              </w:rPr>
            </w:pPr>
            <w:r>
              <w:rPr>
                <w:snapToGrid w:val="0"/>
                <w:color w:val="000000"/>
              </w:rPr>
              <w:t>(134,</w:t>
            </w:r>
            <w:r w:rsidR="00232ECE">
              <w:rPr>
                <w:snapToGrid w:val="0"/>
                <w:color w:val="000000"/>
              </w:rPr>
              <w:t>713,732</w:t>
            </w:r>
            <w:r>
              <w:rPr>
                <w:snapToGrid w:val="0"/>
                <w:color w:val="000000"/>
              </w:rPr>
              <w:t>)</w:t>
            </w:r>
          </w:p>
        </w:tc>
        <w:tc>
          <w:tcPr>
            <w:tcW w:w="270" w:type="dxa"/>
          </w:tcPr>
          <w:p w14:paraId="229FFFEB" w14:textId="77777777" w:rsidR="004F2810" w:rsidRPr="00E74795" w:rsidRDefault="004F2810" w:rsidP="007149CF">
            <w:pPr>
              <w:jc w:val="right"/>
              <w:rPr>
                <w:snapToGrid w:val="0"/>
                <w:color w:val="000000"/>
              </w:rPr>
            </w:pPr>
          </w:p>
        </w:tc>
        <w:tc>
          <w:tcPr>
            <w:tcW w:w="1890" w:type="dxa"/>
            <w:tcBorders>
              <w:bottom w:val="single" w:sz="4" w:space="0" w:color="auto"/>
            </w:tcBorders>
          </w:tcPr>
          <w:p w14:paraId="6F298C59" w14:textId="0590AE29" w:rsidR="004F2810" w:rsidRPr="00E74795" w:rsidRDefault="004F2810" w:rsidP="007149CF">
            <w:pPr>
              <w:tabs>
                <w:tab w:val="decimal" w:pos="1500"/>
              </w:tabs>
              <w:rPr>
                <w:snapToGrid w:val="0"/>
                <w:color w:val="000000"/>
              </w:rPr>
            </w:pPr>
            <w:r w:rsidRPr="00E74795">
              <w:rPr>
                <w:snapToGrid w:val="0"/>
                <w:color w:val="000000"/>
              </w:rPr>
              <w:t>(</w:t>
            </w:r>
            <w:r w:rsidR="00C719DC">
              <w:rPr>
                <w:snapToGrid w:val="0"/>
                <w:color w:val="000000"/>
              </w:rPr>
              <w:t>129,356,081</w:t>
            </w:r>
            <w:r w:rsidRPr="00E74795">
              <w:rPr>
                <w:snapToGrid w:val="0"/>
                <w:color w:val="000000"/>
              </w:rPr>
              <w:t>)</w:t>
            </w:r>
          </w:p>
        </w:tc>
      </w:tr>
      <w:tr w:rsidR="004F2810" w:rsidRPr="00EB7BF0" w14:paraId="2C31CA8F" w14:textId="77777777" w:rsidTr="007149CF">
        <w:trPr>
          <w:trHeight w:hRule="exact" w:val="230"/>
        </w:trPr>
        <w:tc>
          <w:tcPr>
            <w:tcW w:w="6120" w:type="dxa"/>
            <w:gridSpan w:val="3"/>
          </w:tcPr>
          <w:p w14:paraId="3F94DB97" w14:textId="012B0C8D" w:rsidR="004F2810" w:rsidRPr="00E74795" w:rsidRDefault="004F2810" w:rsidP="007149CF">
            <w:pPr>
              <w:rPr>
                <w:snapToGrid w:val="0"/>
                <w:color w:val="000000"/>
              </w:rPr>
            </w:pPr>
            <w:r w:rsidRPr="00374FE3">
              <w:rPr>
                <w:snapToGrid w:val="0"/>
                <w:color w:val="000000"/>
              </w:rPr>
              <w:t>Total stockholders’ equity</w:t>
            </w:r>
          </w:p>
        </w:tc>
        <w:tc>
          <w:tcPr>
            <w:tcW w:w="90" w:type="dxa"/>
          </w:tcPr>
          <w:p w14:paraId="4CB90486" w14:textId="77777777" w:rsidR="004F2810" w:rsidRPr="00E74795" w:rsidRDefault="004F2810" w:rsidP="007149CF">
            <w:pPr>
              <w:jc w:val="right"/>
              <w:rPr>
                <w:snapToGrid w:val="0"/>
                <w:color w:val="000000"/>
              </w:rPr>
            </w:pPr>
          </w:p>
        </w:tc>
        <w:tc>
          <w:tcPr>
            <w:tcW w:w="1710" w:type="dxa"/>
            <w:tcBorders>
              <w:bottom w:val="single" w:sz="4" w:space="0" w:color="auto"/>
            </w:tcBorders>
          </w:tcPr>
          <w:p w14:paraId="70EF6C42" w14:textId="414E40DF" w:rsidR="004F2810" w:rsidRPr="00E74795" w:rsidRDefault="00232ECE" w:rsidP="007149CF">
            <w:pPr>
              <w:tabs>
                <w:tab w:val="decimal" w:pos="1320"/>
              </w:tabs>
              <w:rPr>
                <w:snapToGrid w:val="0"/>
                <w:color w:val="000000"/>
              </w:rPr>
            </w:pPr>
            <w:r>
              <w:rPr>
                <w:snapToGrid w:val="0"/>
                <w:color w:val="000000"/>
              </w:rPr>
              <w:t>7,898,030</w:t>
            </w:r>
          </w:p>
        </w:tc>
        <w:tc>
          <w:tcPr>
            <w:tcW w:w="270" w:type="dxa"/>
          </w:tcPr>
          <w:p w14:paraId="2C19092D" w14:textId="77777777" w:rsidR="004F2810" w:rsidRPr="00E74795" w:rsidRDefault="004F2810" w:rsidP="007149CF">
            <w:pPr>
              <w:jc w:val="right"/>
              <w:rPr>
                <w:snapToGrid w:val="0"/>
                <w:color w:val="000000"/>
              </w:rPr>
            </w:pPr>
          </w:p>
        </w:tc>
        <w:tc>
          <w:tcPr>
            <w:tcW w:w="1890" w:type="dxa"/>
            <w:tcBorders>
              <w:bottom w:val="single" w:sz="4" w:space="0" w:color="auto"/>
            </w:tcBorders>
          </w:tcPr>
          <w:p w14:paraId="5781DE16" w14:textId="1102AC21" w:rsidR="004F2810" w:rsidRPr="00E74795" w:rsidRDefault="00C719DC" w:rsidP="007149CF">
            <w:pPr>
              <w:tabs>
                <w:tab w:val="decimal" w:pos="1500"/>
              </w:tabs>
              <w:rPr>
                <w:snapToGrid w:val="0"/>
                <w:color w:val="000000"/>
              </w:rPr>
            </w:pPr>
            <w:r>
              <w:rPr>
                <w:snapToGrid w:val="0"/>
                <w:color w:val="000000"/>
              </w:rPr>
              <w:t>5,048,535</w:t>
            </w:r>
          </w:p>
        </w:tc>
      </w:tr>
      <w:tr w:rsidR="004F2810" w:rsidRPr="00EB7BF0" w14:paraId="47396AD1" w14:textId="77777777" w:rsidTr="007149CF">
        <w:trPr>
          <w:trHeight w:hRule="exact" w:val="230"/>
        </w:trPr>
        <w:tc>
          <w:tcPr>
            <w:tcW w:w="305" w:type="dxa"/>
          </w:tcPr>
          <w:p w14:paraId="0D349E41" w14:textId="77777777" w:rsidR="004F2810" w:rsidRPr="00EB7BF0" w:rsidRDefault="004F2810" w:rsidP="007149CF">
            <w:pPr>
              <w:jc w:val="right"/>
              <w:rPr>
                <w:snapToGrid w:val="0"/>
                <w:color w:val="000000"/>
              </w:rPr>
            </w:pPr>
          </w:p>
        </w:tc>
        <w:tc>
          <w:tcPr>
            <w:tcW w:w="302" w:type="dxa"/>
          </w:tcPr>
          <w:p w14:paraId="36A7CFF9" w14:textId="77777777" w:rsidR="004F2810" w:rsidRPr="00EB7BF0" w:rsidRDefault="004F2810" w:rsidP="007149CF">
            <w:pPr>
              <w:jc w:val="right"/>
              <w:rPr>
                <w:snapToGrid w:val="0"/>
                <w:color w:val="000000"/>
              </w:rPr>
            </w:pPr>
          </w:p>
        </w:tc>
        <w:tc>
          <w:tcPr>
            <w:tcW w:w="5513" w:type="dxa"/>
          </w:tcPr>
          <w:p w14:paraId="5EE24B50" w14:textId="77777777" w:rsidR="004F2810" w:rsidRPr="00E74795" w:rsidRDefault="004F2810" w:rsidP="007149CF">
            <w:pPr>
              <w:jc w:val="right"/>
              <w:rPr>
                <w:snapToGrid w:val="0"/>
                <w:color w:val="000000"/>
              </w:rPr>
            </w:pPr>
          </w:p>
        </w:tc>
        <w:tc>
          <w:tcPr>
            <w:tcW w:w="90" w:type="dxa"/>
          </w:tcPr>
          <w:p w14:paraId="2A701D52" w14:textId="77777777" w:rsidR="004F2810" w:rsidRPr="00E74795" w:rsidRDefault="004F2810" w:rsidP="007149CF">
            <w:pPr>
              <w:jc w:val="right"/>
              <w:rPr>
                <w:snapToGrid w:val="0"/>
                <w:color w:val="000000"/>
              </w:rPr>
            </w:pPr>
          </w:p>
        </w:tc>
        <w:tc>
          <w:tcPr>
            <w:tcW w:w="1710" w:type="dxa"/>
            <w:tcBorders>
              <w:top w:val="single" w:sz="4" w:space="0" w:color="auto"/>
            </w:tcBorders>
          </w:tcPr>
          <w:p w14:paraId="2A21A3CA" w14:textId="77777777" w:rsidR="004F2810" w:rsidRPr="00E74795" w:rsidRDefault="004F2810" w:rsidP="007149CF">
            <w:pPr>
              <w:tabs>
                <w:tab w:val="decimal" w:pos="1320"/>
              </w:tabs>
              <w:rPr>
                <w:snapToGrid w:val="0"/>
                <w:color w:val="000000"/>
              </w:rPr>
            </w:pPr>
          </w:p>
        </w:tc>
        <w:tc>
          <w:tcPr>
            <w:tcW w:w="270" w:type="dxa"/>
          </w:tcPr>
          <w:p w14:paraId="67953D6B" w14:textId="77777777" w:rsidR="004F2810" w:rsidRPr="00E74795" w:rsidRDefault="004F2810" w:rsidP="007149CF">
            <w:pPr>
              <w:jc w:val="right"/>
              <w:rPr>
                <w:snapToGrid w:val="0"/>
                <w:color w:val="000000"/>
              </w:rPr>
            </w:pPr>
          </w:p>
        </w:tc>
        <w:tc>
          <w:tcPr>
            <w:tcW w:w="1890" w:type="dxa"/>
            <w:tcBorders>
              <w:top w:val="single" w:sz="4" w:space="0" w:color="auto"/>
            </w:tcBorders>
          </w:tcPr>
          <w:p w14:paraId="6362252F" w14:textId="77777777" w:rsidR="004F2810" w:rsidRPr="00E74795" w:rsidRDefault="004F2810" w:rsidP="007149CF">
            <w:pPr>
              <w:tabs>
                <w:tab w:val="decimal" w:pos="1195"/>
              </w:tabs>
              <w:jc w:val="center"/>
              <w:rPr>
                <w:snapToGrid w:val="0"/>
                <w:color w:val="000000"/>
              </w:rPr>
            </w:pPr>
          </w:p>
        </w:tc>
      </w:tr>
      <w:tr w:rsidR="004F2810" w:rsidRPr="00EB7BF0" w14:paraId="390C143F" w14:textId="77777777" w:rsidTr="007149CF">
        <w:trPr>
          <w:trHeight w:hRule="exact" w:val="230"/>
        </w:trPr>
        <w:tc>
          <w:tcPr>
            <w:tcW w:w="6120" w:type="dxa"/>
            <w:gridSpan w:val="3"/>
          </w:tcPr>
          <w:p w14:paraId="00C3BF9A" w14:textId="1D2A111E" w:rsidR="004F2810" w:rsidRPr="00E74795" w:rsidRDefault="004F2810" w:rsidP="007149CF">
            <w:pPr>
              <w:rPr>
                <w:snapToGrid w:val="0"/>
                <w:color w:val="000000"/>
              </w:rPr>
            </w:pPr>
            <w:r w:rsidRPr="00374FE3">
              <w:rPr>
                <w:snapToGrid w:val="0"/>
                <w:color w:val="000000"/>
              </w:rPr>
              <w:t>Total liabilities and stockholders’ equity</w:t>
            </w:r>
          </w:p>
        </w:tc>
        <w:tc>
          <w:tcPr>
            <w:tcW w:w="90" w:type="dxa"/>
          </w:tcPr>
          <w:p w14:paraId="709A2B18" w14:textId="77777777" w:rsidR="004F2810" w:rsidRPr="00E74795" w:rsidRDefault="004F2810" w:rsidP="007149CF">
            <w:pPr>
              <w:jc w:val="right"/>
              <w:rPr>
                <w:snapToGrid w:val="0"/>
                <w:color w:val="000000"/>
              </w:rPr>
            </w:pPr>
          </w:p>
        </w:tc>
        <w:tc>
          <w:tcPr>
            <w:tcW w:w="1710" w:type="dxa"/>
          </w:tcPr>
          <w:p w14:paraId="657421BE" w14:textId="430125E6" w:rsidR="004F2810" w:rsidRPr="00E74795" w:rsidRDefault="004F2810" w:rsidP="007149CF">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A44671">
              <w:rPr>
                <w:snapToGrid w:val="0"/>
                <w:color w:val="000000"/>
              </w:rPr>
              <w:t>10,833,364</w:t>
            </w:r>
          </w:p>
        </w:tc>
        <w:tc>
          <w:tcPr>
            <w:tcW w:w="270" w:type="dxa"/>
          </w:tcPr>
          <w:p w14:paraId="333F5C4D" w14:textId="77777777" w:rsidR="004F2810" w:rsidRPr="00E74795" w:rsidRDefault="004F2810" w:rsidP="007149CF">
            <w:pPr>
              <w:jc w:val="right"/>
              <w:rPr>
                <w:snapToGrid w:val="0"/>
                <w:color w:val="000000"/>
              </w:rPr>
            </w:pPr>
          </w:p>
        </w:tc>
        <w:tc>
          <w:tcPr>
            <w:tcW w:w="1890" w:type="dxa"/>
          </w:tcPr>
          <w:p w14:paraId="20C4CD7E" w14:textId="183ACEF5" w:rsidR="004F2810" w:rsidRPr="00E74795" w:rsidRDefault="004F2810" w:rsidP="007149CF">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C719DC">
              <w:rPr>
                <w:snapToGrid w:val="0"/>
                <w:color w:val="000000"/>
              </w:rPr>
              <w:t>8,155,867</w:t>
            </w:r>
          </w:p>
        </w:tc>
      </w:tr>
      <w:tr w:rsidR="004F2810" w:rsidRPr="00EB7BF0" w14:paraId="4BED8A80" w14:textId="77777777" w:rsidTr="007149CF">
        <w:trPr>
          <w:trHeight w:hRule="exact" w:val="230"/>
        </w:trPr>
        <w:tc>
          <w:tcPr>
            <w:tcW w:w="305" w:type="dxa"/>
          </w:tcPr>
          <w:p w14:paraId="1F717494" w14:textId="77777777" w:rsidR="004F2810" w:rsidRPr="00EB7BF0" w:rsidRDefault="004F2810" w:rsidP="007149CF">
            <w:pPr>
              <w:jc w:val="right"/>
              <w:rPr>
                <w:snapToGrid w:val="0"/>
                <w:color w:val="000000"/>
              </w:rPr>
            </w:pPr>
          </w:p>
        </w:tc>
        <w:tc>
          <w:tcPr>
            <w:tcW w:w="302" w:type="dxa"/>
          </w:tcPr>
          <w:p w14:paraId="5E921460" w14:textId="77777777" w:rsidR="004F2810" w:rsidRPr="00EB7BF0" w:rsidRDefault="004F2810" w:rsidP="007149CF">
            <w:pPr>
              <w:jc w:val="right"/>
              <w:rPr>
                <w:snapToGrid w:val="0"/>
                <w:color w:val="000000"/>
              </w:rPr>
            </w:pPr>
          </w:p>
        </w:tc>
        <w:tc>
          <w:tcPr>
            <w:tcW w:w="5513" w:type="dxa"/>
          </w:tcPr>
          <w:p w14:paraId="25249313" w14:textId="77777777" w:rsidR="004F2810" w:rsidRPr="00EB7BF0" w:rsidRDefault="004F2810" w:rsidP="007149CF">
            <w:pPr>
              <w:jc w:val="right"/>
              <w:rPr>
                <w:snapToGrid w:val="0"/>
                <w:color w:val="000000"/>
              </w:rPr>
            </w:pPr>
          </w:p>
        </w:tc>
        <w:tc>
          <w:tcPr>
            <w:tcW w:w="90" w:type="dxa"/>
          </w:tcPr>
          <w:p w14:paraId="072AFE79" w14:textId="77777777" w:rsidR="004F2810" w:rsidRPr="00EB7BF0" w:rsidRDefault="004F2810" w:rsidP="007149CF">
            <w:pPr>
              <w:jc w:val="right"/>
              <w:rPr>
                <w:snapToGrid w:val="0"/>
                <w:color w:val="000000"/>
              </w:rPr>
            </w:pPr>
          </w:p>
        </w:tc>
        <w:tc>
          <w:tcPr>
            <w:tcW w:w="1710" w:type="dxa"/>
            <w:tcBorders>
              <w:top w:val="double" w:sz="6" w:space="0" w:color="auto"/>
            </w:tcBorders>
          </w:tcPr>
          <w:p w14:paraId="17710EC6" w14:textId="77777777" w:rsidR="004F2810" w:rsidRPr="00EB7BF0" w:rsidRDefault="004F2810" w:rsidP="007149CF">
            <w:pPr>
              <w:jc w:val="right"/>
              <w:rPr>
                <w:snapToGrid w:val="0"/>
                <w:color w:val="000000"/>
              </w:rPr>
            </w:pPr>
          </w:p>
        </w:tc>
        <w:tc>
          <w:tcPr>
            <w:tcW w:w="270" w:type="dxa"/>
          </w:tcPr>
          <w:p w14:paraId="675078DA" w14:textId="77777777" w:rsidR="004F2810" w:rsidRPr="00EB7BF0" w:rsidRDefault="004F2810" w:rsidP="007149CF">
            <w:pPr>
              <w:jc w:val="right"/>
              <w:rPr>
                <w:snapToGrid w:val="0"/>
                <w:color w:val="000000"/>
              </w:rPr>
            </w:pPr>
          </w:p>
        </w:tc>
        <w:tc>
          <w:tcPr>
            <w:tcW w:w="1890" w:type="dxa"/>
            <w:tcBorders>
              <w:top w:val="double" w:sz="6" w:space="0" w:color="auto"/>
            </w:tcBorders>
          </w:tcPr>
          <w:p w14:paraId="15392282" w14:textId="77777777" w:rsidR="004F2810" w:rsidRPr="00EB7BF0" w:rsidRDefault="004F2810" w:rsidP="007149CF">
            <w:pPr>
              <w:jc w:val="right"/>
              <w:rPr>
                <w:snapToGrid w:val="0"/>
                <w:color w:val="000000"/>
              </w:rPr>
            </w:pPr>
          </w:p>
        </w:tc>
      </w:tr>
    </w:tbl>
    <w:p w14:paraId="72E72FF5" w14:textId="77777777" w:rsidR="004F2810" w:rsidRDefault="004F2810" w:rsidP="004F2810">
      <w:pPr>
        <w:tabs>
          <w:tab w:val="left" w:pos="1080"/>
          <w:tab w:val="left" w:pos="1260"/>
          <w:tab w:val="left" w:pos="2340"/>
          <w:tab w:val="right" w:pos="9180"/>
        </w:tabs>
        <w:ind w:right="54"/>
        <w:jc w:val="center"/>
        <w:rPr>
          <w:snapToGrid w:val="0"/>
          <w:color w:val="000000"/>
        </w:rPr>
      </w:pPr>
    </w:p>
    <w:p w14:paraId="740FB73F" w14:textId="77777777" w:rsidR="00F06223" w:rsidRDefault="00F06223" w:rsidP="00315051">
      <w:pPr>
        <w:tabs>
          <w:tab w:val="left" w:pos="1080"/>
          <w:tab w:val="left" w:pos="1260"/>
          <w:tab w:val="left" w:pos="2340"/>
          <w:tab w:val="right" w:pos="9180"/>
        </w:tabs>
        <w:ind w:right="54"/>
        <w:jc w:val="center"/>
        <w:rPr>
          <w:snapToGrid w:val="0"/>
          <w:color w:val="000000"/>
        </w:rPr>
      </w:pPr>
    </w:p>
    <w:p w14:paraId="604DF39D" w14:textId="39470175"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47DD6E7F"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GEOVAX LABS, INC.</w:t>
      </w:r>
    </w:p>
    <w:p w14:paraId="14E4CB2A"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CONDENSED CONSOLIDATED STATEMENTS OF OPERATIONS</w:t>
      </w:r>
    </w:p>
    <w:p w14:paraId="2852D99C"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(Unaudited)</w:t>
      </w:r>
    </w:p>
    <w:p w14:paraId="5C6EE3B2" w14:textId="77777777" w:rsidR="002D627A" w:rsidRPr="00BA4187" w:rsidRDefault="002D627A" w:rsidP="002D627A">
      <w:pPr>
        <w:tabs>
          <w:tab w:val="left" w:pos="1080"/>
          <w:tab w:val="left" w:pos="1260"/>
          <w:tab w:val="left" w:pos="2340"/>
          <w:tab w:val="right" w:pos="9180"/>
        </w:tabs>
        <w:ind w:right="-360"/>
        <w:jc w:val="center"/>
      </w:pPr>
    </w:p>
    <w:p w14:paraId="35B7A67C" w14:textId="77777777" w:rsidR="002D627A" w:rsidRDefault="002D627A" w:rsidP="00643C84">
      <w:pPr>
        <w:tabs>
          <w:tab w:val="left" w:pos="1080"/>
          <w:tab w:val="left" w:pos="1260"/>
          <w:tab w:val="left" w:pos="2340"/>
          <w:tab w:val="right" w:pos="9180"/>
        </w:tabs>
        <w:ind w:right="-360"/>
      </w:pPr>
    </w:p>
    <w:p w14:paraId="29E02944" w14:textId="77777777" w:rsidR="00C719DC" w:rsidRDefault="00C719DC" w:rsidP="00C719DC">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5"/>
        <w:gridCol w:w="448"/>
        <w:gridCol w:w="448"/>
        <w:gridCol w:w="1960"/>
        <w:gridCol w:w="537"/>
        <w:gridCol w:w="537"/>
        <w:gridCol w:w="1960"/>
        <w:gridCol w:w="1782"/>
        <w:gridCol w:w="359"/>
        <w:gridCol w:w="1782"/>
      </w:tblGrid>
      <w:tr w:rsidR="00C719DC" w:rsidRPr="00212F30" w14:paraId="7317D097" w14:textId="77777777" w:rsidTr="00471707">
        <w:trPr>
          <w:trHeight w:val="230"/>
        </w:trPr>
        <w:tc>
          <w:tcPr>
            <w:tcW w:w="3231" w:type="dxa"/>
            <w:gridSpan w:val="4"/>
          </w:tcPr>
          <w:p w14:paraId="179BE282" w14:textId="77777777" w:rsidR="00C719DC" w:rsidRDefault="00C719DC" w:rsidP="00471707">
            <w:pPr>
              <w:tabs>
                <w:tab w:val="right" w:pos="9180"/>
              </w:tabs>
              <w:ind w:right="-360"/>
            </w:pPr>
          </w:p>
        </w:tc>
        <w:tc>
          <w:tcPr>
            <w:tcW w:w="537" w:type="dxa"/>
          </w:tcPr>
          <w:p w14:paraId="524D4FAB" w14:textId="77777777" w:rsidR="00C719DC" w:rsidRPr="00212F30" w:rsidRDefault="00C719DC" w:rsidP="00471707">
            <w:pPr>
              <w:tabs>
                <w:tab w:val="right" w:pos="9180"/>
              </w:tabs>
              <w:ind w:right="-18"/>
            </w:pPr>
          </w:p>
        </w:tc>
        <w:tc>
          <w:tcPr>
            <w:tcW w:w="537" w:type="dxa"/>
          </w:tcPr>
          <w:p w14:paraId="7AF64708" w14:textId="77777777" w:rsidR="00C719DC" w:rsidRPr="00212F30" w:rsidRDefault="00C719DC" w:rsidP="00471707">
            <w:pPr>
              <w:tabs>
                <w:tab w:val="right" w:pos="9180"/>
              </w:tabs>
              <w:ind w:right="-360"/>
            </w:pPr>
          </w:p>
        </w:tc>
        <w:tc>
          <w:tcPr>
            <w:tcW w:w="1960" w:type="dxa"/>
          </w:tcPr>
          <w:p w14:paraId="550FFE08" w14:textId="77777777" w:rsidR="00C719DC" w:rsidRPr="00212F30" w:rsidRDefault="00C719DC" w:rsidP="00471707">
            <w:pPr>
              <w:tabs>
                <w:tab w:val="right" w:pos="9180"/>
              </w:tabs>
              <w:ind w:right="-360"/>
            </w:pPr>
          </w:p>
        </w:tc>
        <w:tc>
          <w:tcPr>
            <w:tcW w:w="1782" w:type="dxa"/>
          </w:tcPr>
          <w:p w14:paraId="61916A1F" w14:textId="77777777" w:rsidR="00C719DC" w:rsidRDefault="00C719DC" w:rsidP="00471707">
            <w:pPr>
              <w:tabs>
                <w:tab w:val="decimal" w:pos="1295"/>
                <w:tab w:val="right" w:pos="9180"/>
              </w:tabs>
              <w:ind w:right="-18"/>
            </w:pPr>
          </w:p>
        </w:tc>
        <w:tc>
          <w:tcPr>
            <w:tcW w:w="359" w:type="dxa"/>
          </w:tcPr>
          <w:p w14:paraId="22A112B6" w14:textId="77777777" w:rsidR="00C719DC" w:rsidRPr="00212F30" w:rsidRDefault="00C719DC" w:rsidP="00471707">
            <w:pPr>
              <w:tabs>
                <w:tab w:val="right" w:pos="9180"/>
              </w:tabs>
              <w:ind w:right="-360"/>
            </w:pPr>
          </w:p>
        </w:tc>
        <w:tc>
          <w:tcPr>
            <w:tcW w:w="1782" w:type="dxa"/>
          </w:tcPr>
          <w:p w14:paraId="185795BA" w14:textId="77777777" w:rsidR="00C719DC" w:rsidRDefault="00C719DC" w:rsidP="00471707">
            <w:pPr>
              <w:tabs>
                <w:tab w:val="decimal" w:pos="1314"/>
                <w:tab w:val="right" w:pos="9180"/>
              </w:tabs>
              <w:ind w:right="-18"/>
            </w:pPr>
          </w:p>
        </w:tc>
      </w:tr>
      <w:tr w:rsidR="00C719DC" w:rsidRPr="00212F30" w14:paraId="7D7E3F93" w14:textId="77777777" w:rsidTr="00AC0782">
        <w:trPr>
          <w:trHeight w:val="230"/>
        </w:trPr>
        <w:tc>
          <w:tcPr>
            <w:tcW w:w="3231" w:type="dxa"/>
            <w:gridSpan w:val="4"/>
          </w:tcPr>
          <w:p w14:paraId="73AA30C1" w14:textId="77777777" w:rsidR="00C719DC" w:rsidRDefault="00C719DC" w:rsidP="00471707">
            <w:pPr>
              <w:tabs>
                <w:tab w:val="right" w:pos="9180"/>
              </w:tabs>
              <w:ind w:right="-360"/>
            </w:pPr>
          </w:p>
        </w:tc>
        <w:tc>
          <w:tcPr>
            <w:tcW w:w="537" w:type="dxa"/>
          </w:tcPr>
          <w:p w14:paraId="631D5EB6" w14:textId="77777777" w:rsidR="00C719DC" w:rsidRPr="00212F30" w:rsidRDefault="00C719DC" w:rsidP="00471707">
            <w:pPr>
              <w:tabs>
                <w:tab w:val="right" w:pos="9180"/>
              </w:tabs>
              <w:ind w:right="-18"/>
            </w:pPr>
          </w:p>
        </w:tc>
        <w:tc>
          <w:tcPr>
            <w:tcW w:w="537" w:type="dxa"/>
          </w:tcPr>
          <w:p w14:paraId="78C75D08" w14:textId="77777777" w:rsidR="00C719DC" w:rsidRPr="00212F30" w:rsidRDefault="00C719DC" w:rsidP="00471707">
            <w:pPr>
              <w:tabs>
                <w:tab w:val="right" w:pos="9180"/>
              </w:tabs>
              <w:ind w:right="-360"/>
            </w:pPr>
          </w:p>
        </w:tc>
        <w:tc>
          <w:tcPr>
            <w:tcW w:w="1960" w:type="dxa"/>
          </w:tcPr>
          <w:p w14:paraId="1348F1D9" w14:textId="77777777" w:rsidR="00C719DC" w:rsidRPr="00212F30" w:rsidRDefault="00C719DC" w:rsidP="00471707">
            <w:pPr>
              <w:tabs>
                <w:tab w:val="right" w:pos="9180"/>
              </w:tabs>
              <w:ind w:right="-360"/>
            </w:pPr>
          </w:p>
        </w:tc>
        <w:tc>
          <w:tcPr>
            <w:tcW w:w="3923" w:type="dxa"/>
            <w:gridSpan w:val="3"/>
            <w:tcBorders>
              <w:bottom w:val="single" w:sz="4" w:space="0" w:color="auto"/>
            </w:tcBorders>
          </w:tcPr>
          <w:p w14:paraId="7072C1B5" w14:textId="77777777" w:rsidR="00C719DC" w:rsidRDefault="00C719DC" w:rsidP="00471707">
            <w:pPr>
              <w:tabs>
                <w:tab w:val="decimal" w:pos="1314"/>
                <w:tab w:val="right" w:pos="9180"/>
              </w:tabs>
              <w:ind w:right="-18"/>
              <w:jc w:val="center"/>
            </w:pPr>
            <w:r>
              <w:t>Three Months Ended March 31,</w:t>
            </w:r>
          </w:p>
        </w:tc>
      </w:tr>
      <w:tr w:rsidR="00C719DC" w:rsidRPr="00212F30" w14:paraId="6EF13ABE" w14:textId="77777777" w:rsidTr="00AC0782">
        <w:trPr>
          <w:trHeight w:val="230"/>
        </w:trPr>
        <w:tc>
          <w:tcPr>
            <w:tcW w:w="3231" w:type="dxa"/>
            <w:gridSpan w:val="4"/>
          </w:tcPr>
          <w:p w14:paraId="6F59F04C" w14:textId="77777777" w:rsidR="00C719DC" w:rsidRDefault="00C719DC" w:rsidP="00471707">
            <w:pPr>
              <w:tabs>
                <w:tab w:val="right" w:pos="9180"/>
              </w:tabs>
              <w:ind w:right="-360"/>
            </w:pPr>
          </w:p>
        </w:tc>
        <w:tc>
          <w:tcPr>
            <w:tcW w:w="537" w:type="dxa"/>
          </w:tcPr>
          <w:p w14:paraId="68648439" w14:textId="77777777" w:rsidR="00C719DC" w:rsidRPr="00212F30" w:rsidRDefault="00C719DC" w:rsidP="00471707">
            <w:pPr>
              <w:tabs>
                <w:tab w:val="right" w:pos="9180"/>
              </w:tabs>
              <w:ind w:right="-18"/>
            </w:pPr>
          </w:p>
        </w:tc>
        <w:tc>
          <w:tcPr>
            <w:tcW w:w="537" w:type="dxa"/>
          </w:tcPr>
          <w:p w14:paraId="73317F35" w14:textId="77777777" w:rsidR="00C719DC" w:rsidRPr="00212F30" w:rsidRDefault="00C719DC" w:rsidP="00471707">
            <w:pPr>
              <w:tabs>
                <w:tab w:val="right" w:pos="9180"/>
              </w:tabs>
              <w:ind w:right="-360"/>
            </w:pPr>
          </w:p>
        </w:tc>
        <w:tc>
          <w:tcPr>
            <w:tcW w:w="1960" w:type="dxa"/>
          </w:tcPr>
          <w:p w14:paraId="4CEA01CC" w14:textId="77777777" w:rsidR="00C719DC" w:rsidRPr="00212F30" w:rsidRDefault="00C719DC" w:rsidP="00471707">
            <w:pPr>
              <w:tabs>
                <w:tab w:val="right" w:pos="9180"/>
              </w:tabs>
              <w:ind w:right="-360"/>
            </w:pPr>
          </w:p>
        </w:tc>
        <w:tc>
          <w:tcPr>
            <w:tcW w:w="1782" w:type="dxa"/>
            <w:tcBorders>
              <w:top w:val="single" w:sz="4" w:space="0" w:color="auto"/>
              <w:bottom w:val="single" w:sz="4" w:space="0" w:color="auto"/>
            </w:tcBorders>
          </w:tcPr>
          <w:p w14:paraId="4853DE87" w14:textId="6C23BA02" w:rsidR="00C719DC" w:rsidRDefault="00C719DC" w:rsidP="00471707">
            <w:pPr>
              <w:tabs>
                <w:tab w:val="decimal" w:pos="1295"/>
                <w:tab w:val="right" w:pos="9180"/>
              </w:tabs>
              <w:ind w:right="-18"/>
              <w:jc w:val="center"/>
            </w:pPr>
            <w:r>
              <w:t>202</w:t>
            </w:r>
            <w:r w:rsidR="00AC0782">
              <w:t>5</w:t>
            </w:r>
          </w:p>
        </w:tc>
        <w:tc>
          <w:tcPr>
            <w:tcW w:w="359" w:type="dxa"/>
          </w:tcPr>
          <w:p w14:paraId="548CBEB4" w14:textId="77777777" w:rsidR="00C719DC" w:rsidRPr="00212F30" w:rsidRDefault="00C719DC" w:rsidP="00471707">
            <w:pPr>
              <w:tabs>
                <w:tab w:val="right" w:pos="9180"/>
              </w:tabs>
              <w:ind w:right="-360"/>
              <w:jc w:val="center"/>
            </w:pPr>
          </w:p>
        </w:tc>
        <w:tc>
          <w:tcPr>
            <w:tcW w:w="1782" w:type="dxa"/>
            <w:tcBorders>
              <w:top w:val="single" w:sz="4" w:space="0" w:color="auto"/>
              <w:bottom w:val="single" w:sz="4" w:space="0" w:color="auto"/>
            </w:tcBorders>
          </w:tcPr>
          <w:p w14:paraId="367CDB2E" w14:textId="3DD4BBD6" w:rsidR="00C719DC" w:rsidRDefault="00C719DC" w:rsidP="00471707">
            <w:pPr>
              <w:tabs>
                <w:tab w:val="decimal" w:pos="1314"/>
                <w:tab w:val="right" w:pos="9180"/>
              </w:tabs>
              <w:ind w:right="-18"/>
              <w:jc w:val="center"/>
            </w:pPr>
            <w:r>
              <w:t>2024</w:t>
            </w:r>
          </w:p>
        </w:tc>
      </w:tr>
      <w:tr w:rsidR="00AC0782" w:rsidRPr="008C287F" w14:paraId="0FBFCD6E" w14:textId="77777777" w:rsidTr="00AC0782">
        <w:trPr>
          <w:trHeight w:val="230"/>
        </w:trPr>
        <w:tc>
          <w:tcPr>
            <w:tcW w:w="3231" w:type="dxa"/>
            <w:gridSpan w:val="4"/>
          </w:tcPr>
          <w:p w14:paraId="42F452A0" w14:textId="6932133F" w:rsidR="00AC0782" w:rsidRPr="008C287F" w:rsidRDefault="00AC0782" w:rsidP="00471707">
            <w:pPr>
              <w:tabs>
                <w:tab w:val="right" w:pos="9180"/>
              </w:tabs>
              <w:ind w:right="-360"/>
            </w:pPr>
            <w:r>
              <w:t>Revenue from government contract</w:t>
            </w:r>
          </w:p>
        </w:tc>
        <w:tc>
          <w:tcPr>
            <w:tcW w:w="537" w:type="dxa"/>
          </w:tcPr>
          <w:p w14:paraId="3212925A" w14:textId="77777777" w:rsidR="00AC0782" w:rsidRPr="008C287F" w:rsidRDefault="00AC0782" w:rsidP="00471707">
            <w:pPr>
              <w:tabs>
                <w:tab w:val="decimal" w:pos="1062"/>
                <w:tab w:val="right" w:pos="9180"/>
              </w:tabs>
              <w:ind w:right="-18"/>
            </w:pPr>
          </w:p>
        </w:tc>
        <w:tc>
          <w:tcPr>
            <w:tcW w:w="537" w:type="dxa"/>
          </w:tcPr>
          <w:p w14:paraId="0D855274" w14:textId="77777777" w:rsidR="00AC0782" w:rsidRPr="008C287F" w:rsidRDefault="00AC0782" w:rsidP="00471707">
            <w:pPr>
              <w:tabs>
                <w:tab w:val="right" w:pos="9180"/>
              </w:tabs>
              <w:ind w:right="-360"/>
            </w:pPr>
          </w:p>
        </w:tc>
        <w:tc>
          <w:tcPr>
            <w:tcW w:w="1960" w:type="dxa"/>
          </w:tcPr>
          <w:p w14:paraId="4EB8D1C1" w14:textId="77777777" w:rsidR="00AC0782" w:rsidRPr="008C287F" w:rsidRDefault="00AC0782" w:rsidP="00471707">
            <w:pPr>
              <w:tabs>
                <w:tab w:val="right" w:pos="9180"/>
              </w:tabs>
              <w:ind w:right="-360"/>
            </w:pPr>
          </w:p>
        </w:tc>
        <w:tc>
          <w:tcPr>
            <w:tcW w:w="1782" w:type="dxa"/>
          </w:tcPr>
          <w:p w14:paraId="2353B9FF" w14:textId="45E58A38" w:rsidR="00AC0782" w:rsidRPr="008C287F" w:rsidRDefault="00AC0782" w:rsidP="00471707">
            <w:pPr>
              <w:tabs>
                <w:tab w:val="decimal" w:pos="1295"/>
                <w:tab w:val="right" w:pos="9180"/>
              </w:tabs>
              <w:ind w:right="-18"/>
            </w:pPr>
            <w:r w:rsidRPr="008C287F">
              <w:t>$</w:t>
            </w:r>
            <w:r w:rsidRPr="008C287F">
              <w:tab/>
            </w:r>
            <w:bookmarkStart w:id="8" w:name="_Hlk195341462"/>
            <w:r w:rsidR="004514BA">
              <w:t>1,636,863</w:t>
            </w:r>
            <w:bookmarkEnd w:id="8"/>
          </w:p>
        </w:tc>
        <w:tc>
          <w:tcPr>
            <w:tcW w:w="359" w:type="dxa"/>
          </w:tcPr>
          <w:p w14:paraId="5E134028" w14:textId="77777777" w:rsidR="00AC0782" w:rsidRPr="008C287F" w:rsidRDefault="00AC0782" w:rsidP="00471707">
            <w:pPr>
              <w:tabs>
                <w:tab w:val="right" w:pos="9180"/>
              </w:tabs>
              <w:ind w:right="-360"/>
            </w:pPr>
          </w:p>
        </w:tc>
        <w:tc>
          <w:tcPr>
            <w:tcW w:w="1782" w:type="dxa"/>
            <w:tcBorders>
              <w:top w:val="single" w:sz="4" w:space="0" w:color="auto"/>
            </w:tcBorders>
          </w:tcPr>
          <w:p w14:paraId="2391142D" w14:textId="5DDE6D3B" w:rsidR="00AC0782" w:rsidRPr="008C287F" w:rsidRDefault="00AC0782" w:rsidP="00471707">
            <w:pPr>
              <w:tabs>
                <w:tab w:val="decimal" w:pos="1314"/>
                <w:tab w:val="right" w:pos="9180"/>
              </w:tabs>
              <w:ind w:right="-18"/>
            </w:pPr>
            <w:r w:rsidRPr="008C287F">
              <w:t>$</w:t>
            </w:r>
            <w:r w:rsidRPr="008C287F">
              <w:tab/>
            </w:r>
            <w:r>
              <w:t>-</w:t>
            </w:r>
          </w:p>
        </w:tc>
      </w:tr>
      <w:tr w:rsidR="00C719DC" w:rsidRPr="00212F30" w14:paraId="40D76446" w14:textId="77777777" w:rsidTr="00C719DC">
        <w:trPr>
          <w:trHeight w:val="230"/>
        </w:trPr>
        <w:tc>
          <w:tcPr>
            <w:tcW w:w="3231" w:type="dxa"/>
            <w:gridSpan w:val="4"/>
          </w:tcPr>
          <w:p w14:paraId="1F04448D" w14:textId="77777777" w:rsidR="00C719DC" w:rsidRDefault="00C719DC" w:rsidP="00471707">
            <w:pPr>
              <w:tabs>
                <w:tab w:val="right" w:pos="9180"/>
              </w:tabs>
              <w:ind w:right="-360"/>
            </w:pPr>
          </w:p>
        </w:tc>
        <w:tc>
          <w:tcPr>
            <w:tcW w:w="537" w:type="dxa"/>
          </w:tcPr>
          <w:p w14:paraId="01C69A50" w14:textId="77777777" w:rsidR="00C719DC" w:rsidRPr="00212F30" w:rsidRDefault="00C719DC" w:rsidP="00471707">
            <w:pPr>
              <w:tabs>
                <w:tab w:val="right" w:pos="9180"/>
              </w:tabs>
              <w:ind w:right="-18"/>
            </w:pPr>
          </w:p>
        </w:tc>
        <w:tc>
          <w:tcPr>
            <w:tcW w:w="537" w:type="dxa"/>
          </w:tcPr>
          <w:p w14:paraId="3B1A8E4F" w14:textId="77777777" w:rsidR="00C719DC" w:rsidRPr="00212F30" w:rsidRDefault="00C719DC" w:rsidP="00471707">
            <w:pPr>
              <w:tabs>
                <w:tab w:val="right" w:pos="9180"/>
              </w:tabs>
              <w:ind w:right="-360"/>
            </w:pPr>
          </w:p>
        </w:tc>
        <w:tc>
          <w:tcPr>
            <w:tcW w:w="1960" w:type="dxa"/>
          </w:tcPr>
          <w:p w14:paraId="04D23CBB" w14:textId="77777777" w:rsidR="00C719DC" w:rsidRPr="00212F30" w:rsidRDefault="00C719DC" w:rsidP="00471707">
            <w:pPr>
              <w:tabs>
                <w:tab w:val="right" w:pos="9180"/>
              </w:tabs>
              <w:ind w:right="-360"/>
            </w:pPr>
          </w:p>
        </w:tc>
        <w:tc>
          <w:tcPr>
            <w:tcW w:w="1782" w:type="dxa"/>
          </w:tcPr>
          <w:p w14:paraId="107075C1" w14:textId="77777777" w:rsidR="00C719DC" w:rsidRDefault="00C719DC" w:rsidP="00471707">
            <w:pPr>
              <w:tabs>
                <w:tab w:val="decimal" w:pos="1295"/>
                <w:tab w:val="right" w:pos="9180"/>
              </w:tabs>
              <w:ind w:right="-18"/>
              <w:jc w:val="center"/>
            </w:pPr>
          </w:p>
        </w:tc>
        <w:tc>
          <w:tcPr>
            <w:tcW w:w="359" w:type="dxa"/>
          </w:tcPr>
          <w:p w14:paraId="456219D8" w14:textId="77777777" w:rsidR="00C719DC" w:rsidRPr="00212F30" w:rsidRDefault="00C719DC" w:rsidP="00471707">
            <w:pPr>
              <w:tabs>
                <w:tab w:val="right" w:pos="9180"/>
              </w:tabs>
              <w:ind w:right="-360"/>
              <w:jc w:val="center"/>
            </w:pPr>
          </w:p>
        </w:tc>
        <w:tc>
          <w:tcPr>
            <w:tcW w:w="1782" w:type="dxa"/>
          </w:tcPr>
          <w:p w14:paraId="5F865E2A" w14:textId="77777777" w:rsidR="00C719DC" w:rsidRDefault="00C719DC" w:rsidP="00471707">
            <w:pPr>
              <w:tabs>
                <w:tab w:val="decimal" w:pos="1314"/>
                <w:tab w:val="right" w:pos="9180"/>
              </w:tabs>
              <w:ind w:right="-18"/>
              <w:jc w:val="center"/>
            </w:pPr>
          </w:p>
        </w:tc>
      </w:tr>
      <w:tr w:rsidR="00C719DC" w:rsidRPr="00212F30" w14:paraId="6E3FF2FF" w14:textId="77777777" w:rsidTr="00C719DC">
        <w:trPr>
          <w:trHeight w:val="230"/>
        </w:trPr>
        <w:tc>
          <w:tcPr>
            <w:tcW w:w="3231" w:type="dxa"/>
            <w:gridSpan w:val="4"/>
          </w:tcPr>
          <w:p w14:paraId="37676C5B" w14:textId="77777777" w:rsidR="00C719DC" w:rsidRPr="00212F30" w:rsidRDefault="00C719DC" w:rsidP="00471707">
            <w:pPr>
              <w:tabs>
                <w:tab w:val="right" w:pos="9180"/>
              </w:tabs>
              <w:ind w:right="-360"/>
            </w:pPr>
            <w:r w:rsidRPr="00212F30">
              <w:t>Operating expenses:</w:t>
            </w:r>
          </w:p>
        </w:tc>
        <w:tc>
          <w:tcPr>
            <w:tcW w:w="537" w:type="dxa"/>
          </w:tcPr>
          <w:p w14:paraId="15B4B71A" w14:textId="77777777" w:rsidR="00C719DC" w:rsidRPr="00212F30" w:rsidRDefault="00C719DC" w:rsidP="00471707">
            <w:pPr>
              <w:tabs>
                <w:tab w:val="right" w:pos="9180"/>
              </w:tabs>
              <w:ind w:right="-18"/>
            </w:pPr>
          </w:p>
        </w:tc>
        <w:tc>
          <w:tcPr>
            <w:tcW w:w="537" w:type="dxa"/>
          </w:tcPr>
          <w:p w14:paraId="50E12454" w14:textId="77777777" w:rsidR="00C719DC" w:rsidRPr="00212F30" w:rsidRDefault="00C719DC" w:rsidP="00471707">
            <w:pPr>
              <w:tabs>
                <w:tab w:val="right" w:pos="9180"/>
              </w:tabs>
              <w:ind w:right="-360"/>
            </w:pPr>
          </w:p>
        </w:tc>
        <w:tc>
          <w:tcPr>
            <w:tcW w:w="1960" w:type="dxa"/>
          </w:tcPr>
          <w:p w14:paraId="683B9A15" w14:textId="77777777" w:rsidR="00C719DC" w:rsidRPr="00212F30" w:rsidRDefault="00C719DC" w:rsidP="00471707">
            <w:pPr>
              <w:tabs>
                <w:tab w:val="right" w:pos="9180"/>
              </w:tabs>
              <w:ind w:right="-360"/>
            </w:pPr>
          </w:p>
        </w:tc>
        <w:tc>
          <w:tcPr>
            <w:tcW w:w="1782" w:type="dxa"/>
          </w:tcPr>
          <w:p w14:paraId="5193033A" w14:textId="77777777" w:rsidR="00C719DC" w:rsidRPr="00212F30" w:rsidRDefault="00C719DC" w:rsidP="00471707">
            <w:pPr>
              <w:tabs>
                <w:tab w:val="decimal" w:pos="1062"/>
                <w:tab w:val="right" w:pos="9180"/>
              </w:tabs>
              <w:ind w:right="-18"/>
            </w:pPr>
          </w:p>
        </w:tc>
        <w:tc>
          <w:tcPr>
            <w:tcW w:w="359" w:type="dxa"/>
          </w:tcPr>
          <w:p w14:paraId="0FEF9B9E" w14:textId="77777777" w:rsidR="00C719DC" w:rsidRPr="00212F30" w:rsidRDefault="00C719DC" w:rsidP="00471707">
            <w:pPr>
              <w:tabs>
                <w:tab w:val="right" w:pos="9180"/>
              </w:tabs>
              <w:ind w:right="-360"/>
            </w:pPr>
          </w:p>
        </w:tc>
        <w:tc>
          <w:tcPr>
            <w:tcW w:w="1782" w:type="dxa"/>
          </w:tcPr>
          <w:p w14:paraId="7631C42D" w14:textId="77777777" w:rsidR="00C719DC" w:rsidRPr="00212F30" w:rsidRDefault="00C719DC" w:rsidP="00471707">
            <w:pPr>
              <w:tabs>
                <w:tab w:val="decimal" w:pos="972"/>
                <w:tab w:val="right" w:pos="9180"/>
              </w:tabs>
              <w:ind w:right="-18"/>
            </w:pPr>
          </w:p>
        </w:tc>
      </w:tr>
      <w:tr w:rsidR="00C719DC" w:rsidRPr="00212F30" w14:paraId="77619069" w14:textId="77777777" w:rsidTr="00471707">
        <w:trPr>
          <w:trHeight w:val="230"/>
        </w:trPr>
        <w:tc>
          <w:tcPr>
            <w:tcW w:w="375" w:type="dxa"/>
          </w:tcPr>
          <w:p w14:paraId="265A1C32" w14:textId="77777777" w:rsidR="00C719DC" w:rsidRPr="00212F30" w:rsidRDefault="00C719DC" w:rsidP="00471707">
            <w:pPr>
              <w:ind w:right="-360"/>
            </w:pPr>
          </w:p>
        </w:tc>
        <w:tc>
          <w:tcPr>
            <w:tcW w:w="2856" w:type="dxa"/>
            <w:gridSpan w:val="3"/>
          </w:tcPr>
          <w:p w14:paraId="69F871DE" w14:textId="77777777" w:rsidR="00C719DC" w:rsidRPr="00212F30" w:rsidRDefault="00C719DC" w:rsidP="00471707">
            <w:pPr>
              <w:tabs>
                <w:tab w:val="right" w:pos="9180"/>
              </w:tabs>
              <w:ind w:right="-360"/>
            </w:pPr>
            <w:r w:rsidRPr="00212F30">
              <w:t>Research and development</w:t>
            </w:r>
          </w:p>
        </w:tc>
        <w:tc>
          <w:tcPr>
            <w:tcW w:w="537" w:type="dxa"/>
          </w:tcPr>
          <w:p w14:paraId="7B354B54" w14:textId="77777777" w:rsidR="00C719DC" w:rsidRPr="00212F30" w:rsidRDefault="00C719DC" w:rsidP="00471707">
            <w:pPr>
              <w:tabs>
                <w:tab w:val="decimal" w:pos="1062"/>
                <w:tab w:val="right" w:pos="9180"/>
              </w:tabs>
              <w:ind w:right="-18"/>
            </w:pPr>
          </w:p>
        </w:tc>
        <w:tc>
          <w:tcPr>
            <w:tcW w:w="537" w:type="dxa"/>
          </w:tcPr>
          <w:p w14:paraId="4697D51E" w14:textId="77777777" w:rsidR="00C719DC" w:rsidRPr="00212F30" w:rsidRDefault="00C719DC" w:rsidP="00471707">
            <w:pPr>
              <w:tabs>
                <w:tab w:val="right" w:pos="9180"/>
              </w:tabs>
              <w:ind w:right="-360"/>
            </w:pPr>
          </w:p>
        </w:tc>
        <w:tc>
          <w:tcPr>
            <w:tcW w:w="1960" w:type="dxa"/>
          </w:tcPr>
          <w:p w14:paraId="49D7C6A0" w14:textId="77777777" w:rsidR="00C719DC" w:rsidRPr="00212F30" w:rsidRDefault="00C719DC" w:rsidP="00471707">
            <w:pPr>
              <w:tabs>
                <w:tab w:val="right" w:pos="9180"/>
              </w:tabs>
              <w:ind w:right="-360"/>
            </w:pPr>
          </w:p>
        </w:tc>
        <w:tc>
          <w:tcPr>
            <w:tcW w:w="1782" w:type="dxa"/>
          </w:tcPr>
          <w:p w14:paraId="75EBC316" w14:textId="5D44200B" w:rsidR="00C719DC" w:rsidRPr="00212F30" w:rsidRDefault="00C719DC" w:rsidP="00471707">
            <w:pPr>
              <w:tabs>
                <w:tab w:val="decimal" w:pos="1295"/>
                <w:tab w:val="right" w:pos="9180"/>
              </w:tabs>
              <w:ind w:right="-18"/>
            </w:pPr>
            <w:r w:rsidRPr="00212F30">
              <w:tab/>
            </w:r>
            <w:r w:rsidR="004514BA" w:rsidRPr="00232ECE">
              <w:t>5,</w:t>
            </w:r>
            <w:r w:rsidR="00232ECE">
              <w:t>354,588</w:t>
            </w:r>
          </w:p>
        </w:tc>
        <w:tc>
          <w:tcPr>
            <w:tcW w:w="359" w:type="dxa"/>
          </w:tcPr>
          <w:p w14:paraId="70A81076" w14:textId="77777777" w:rsidR="00C719DC" w:rsidRPr="00212F30" w:rsidRDefault="00C719DC" w:rsidP="00471707">
            <w:pPr>
              <w:tabs>
                <w:tab w:val="right" w:pos="9180"/>
              </w:tabs>
              <w:ind w:right="-360"/>
            </w:pPr>
          </w:p>
        </w:tc>
        <w:tc>
          <w:tcPr>
            <w:tcW w:w="1782" w:type="dxa"/>
          </w:tcPr>
          <w:p w14:paraId="7A8C673D" w14:textId="388996ED" w:rsidR="00C719DC" w:rsidRPr="00212F30" w:rsidRDefault="00C719DC" w:rsidP="00471707">
            <w:pPr>
              <w:tabs>
                <w:tab w:val="decimal" w:pos="1314"/>
                <w:tab w:val="right" w:pos="9180"/>
              </w:tabs>
              <w:ind w:right="-18"/>
            </w:pPr>
            <w:r>
              <w:tab/>
              <w:t>4,425,728</w:t>
            </w:r>
          </w:p>
        </w:tc>
      </w:tr>
      <w:tr w:rsidR="00C719DC" w:rsidRPr="00212F30" w14:paraId="21725ED2" w14:textId="77777777" w:rsidTr="00471707">
        <w:trPr>
          <w:trHeight w:val="230"/>
        </w:trPr>
        <w:tc>
          <w:tcPr>
            <w:tcW w:w="375" w:type="dxa"/>
          </w:tcPr>
          <w:p w14:paraId="74EDF2B8" w14:textId="77777777" w:rsidR="00C719DC" w:rsidRPr="00212F30" w:rsidRDefault="00C719DC" w:rsidP="00471707">
            <w:pPr>
              <w:ind w:right="-360"/>
            </w:pPr>
          </w:p>
        </w:tc>
        <w:tc>
          <w:tcPr>
            <w:tcW w:w="2856" w:type="dxa"/>
            <w:gridSpan w:val="3"/>
          </w:tcPr>
          <w:p w14:paraId="6785704E" w14:textId="77777777" w:rsidR="00C719DC" w:rsidRPr="00212F30" w:rsidRDefault="00C719DC" w:rsidP="00471707">
            <w:pPr>
              <w:tabs>
                <w:tab w:val="right" w:pos="9180"/>
              </w:tabs>
              <w:ind w:right="-360"/>
            </w:pPr>
            <w:r w:rsidRPr="00212F30">
              <w:t>General and administrative</w:t>
            </w:r>
          </w:p>
        </w:tc>
        <w:tc>
          <w:tcPr>
            <w:tcW w:w="537" w:type="dxa"/>
          </w:tcPr>
          <w:p w14:paraId="05325D18" w14:textId="77777777" w:rsidR="00C719DC" w:rsidRPr="00212F30" w:rsidRDefault="00C719DC" w:rsidP="00471707">
            <w:pPr>
              <w:tabs>
                <w:tab w:val="decimal" w:pos="1062"/>
                <w:tab w:val="right" w:pos="9180"/>
              </w:tabs>
              <w:ind w:right="-18"/>
            </w:pPr>
          </w:p>
        </w:tc>
        <w:tc>
          <w:tcPr>
            <w:tcW w:w="537" w:type="dxa"/>
          </w:tcPr>
          <w:p w14:paraId="782A25C0" w14:textId="77777777" w:rsidR="00C719DC" w:rsidRPr="00212F30" w:rsidRDefault="00C719DC" w:rsidP="00471707">
            <w:pPr>
              <w:tabs>
                <w:tab w:val="right" w:pos="9180"/>
              </w:tabs>
              <w:ind w:right="-360"/>
            </w:pPr>
          </w:p>
        </w:tc>
        <w:tc>
          <w:tcPr>
            <w:tcW w:w="1960" w:type="dxa"/>
          </w:tcPr>
          <w:p w14:paraId="03F73442" w14:textId="77777777" w:rsidR="00C719DC" w:rsidRPr="00212F30" w:rsidRDefault="00C719DC" w:rsidP="00471707">
            <w:pPr>
              <w:tabs>
                <w:tab w:val="right" w:pos="9180"/>
              </w:tabs>
              <w:ind w:right="-360"/>
            </w:pPr>
          </w:p>
        </w:tc>
        <w:tc>
          <w:tcPr>
            <w:tcW w:w="1782" w:type="dxa"/>
            <w:tcBorders>
              <w:bottom w:val="single" w:sz="4" w:space="0" w:color="auto"/>
            </w:tcBorders>
          </w:tcPr>
          <w:p w14:paraId="3D9C850B" w14:textId="3CA2EBFF" w:rsidR="00C719DC" w:rsidRPr="00212F30" w:rsidRDefault="00C719DC" w:rsidP="00471707">
            <w:pPr>
              <w:tabs>
                <w:tab w:val="decimal" w:pos="1295"/>
                <w:tab w:val="right" w:pos="9180"/>
              </w:tabs>
              <w:ind w:right="-18"/>
            </w:pPr>
            <w:r w:rsidRPr="00212F30">
              <w:tab/>
            </w:r>
            <w:r w:rsidR="005A60F4">
              <w:t>1,687,445</w:t>
            </w:r>
          </w:p>
        </w:tc>
        <w:tc>
          <w:tcPr>
            <w:tcW w:w="359" w:type="dxa"/>
          </w:tcPr>
          <w:p w14:paraId="38A8D242" w14:textId="77777777" w:rsidR="00C719DC" w:rsidRPr="00212F30" w:rsidRDefault="00C719DC" w:rsidP="00471707">
            <w:pPr>
              <w:tabs>
                <w:tab w:val="right" w:pos="9180"/>
              </w:tabs>
              <w:ind w:right="-360"/>
            </w:pPr>
          </w:p>
        </w:tc>
        <w:tc>
          <w:tcPr>
            <w:tcW w:w="1782" w:type="dxa"/>
            <w:tcBorders>
              <w:bottom w:val="single" w:sz="4" w:space="0" w:color="auto"/>
            </w:tcBorders>
          </w:tcPr>
          <w:p w14:paraId="3F9710F5" w14:textId="66A51E4B" w:rsidR="00C719DC" w:rsidRPr="00212F30" w:rsidRDefault="00C719DC" w:rsidP="00471707">
            <w:pPr>
              <w:tabs>
                <w:tab w:val="decimal" w:pos="1314"/>
                <w:tab w:val="right" w:pos="9180"/>
              </w:tabs>
              <w:ind w:right="-18"/>
            </w:pPr>
            <w:r>
              <w:tab/>
              <w:t>1,457,353</w:t>
            </w:r>
          </w:p>
        </w:tc>
      </w:tr>
      <w:tr w:rsidR="00C719DC" w:rsidRPr="00212F30" w14:paraId="07914D50" w14:textId="77777777" w:rsidTr="00471707">
        <w:trPr>
          <w:trHeight w:val="230"/>
        </w:trPr>
        <w:tc>
          <w:tcPr>
            <w:tcW w:w="375" w:type="dxa"/>
          </w:tcPr>
          <w:p w14:paraId="3BAC73A2" w14:textId="77777777" w:rsidR="00C719DC" w:rsidRPr="00212F30" w:rsidRDefault="00C719DC" w:rsidP="00471707">
            <w:pPr>
              <w:ind w:right="-360"/>
            </w:pPr>
          </w:p>
        </w:tc>
        <w:tc>
          <w:tcPr>
            <w:tcW w:w="2856" w:type="dxa"/>
            <w:gridSpan w:val="3"/>
          </w:tcPr>
          <w:p w14:paraId="61DCE36B" w14:textId="77777777" w:rsidR="00C719DC" w:rsidRPr="00212F30" w:rsidRDefault="00C719DC" w:rsidP="00471707">
            <w:pPr>
              <w:tabs>
                <w:tab w:val="right" w:pos="9180"/>
              </w:tabs>
              <w:ind w:right="-360"/>
            </w:pPr>
            <w:r>
              <w:t>Total operating expenses</w:t>
            </w:r>
          </w:p>
        </w:tc>
        <w:tc>
          <w:tcPr>
            <w:tcW w:w="537" w:type="dxa"/>
          </w:tcPr>
          <w:p w14:paraId="720D6A57" w14:textId="77777777" w:rsidR="00C719DC" w:rsidRPr="00212F30" w:rsidRDefault="00C719DC" w:rsidP="00471707">
            <w:pPr>
              <w:tabs>
                <w:tab w:val="decimal" w:pos="1062"/>
                <w:tab w:val="right" w:pos="9180"/>
              </w:tabs>
              <w:ind w:right="-18"/>
            </w:pPr>
          </w:p>
        </w:tc>
        <w:tc>
          <w:tcPr>
            <w:tcW w:w="537" w:type="dxa"/>
          </w:tcPr>
          <w:p w14:paraId="07B59015" w14:textId="77777777" w:rsidR="00C719DC" w:rsidRPr="00212F30" w:rsidRDefault="00C719DC" w:rsidP="00471707">
            <w:pPr>
              <w:tabs>
                <w:tab w:val="right" w:pos="9180"/>
              </w:tabs>
              <w:ind w:right="-360"/>
            </w:pPr>
          </w:p>
        </w:tc>
        <w:tc>
          <w:tcPr>
            <w:tcW w:w="1960" w:type="dxa"/>
          </w:tcPr>
          <w:p w14:paraId="5B652E80" w14:textId="77777777" w:rsidR="00C719DC" w:rsidRPr="00212F30" w:rsidRDefault="00C719DC" w:rsidP="00471707">
            <w:pPr>
              <w:tabs>
                <w:tab w:val="right" w:pos="9180"/>
              </w:tabs>
              <w:ind w:right="-360"/>
            </w:pPr>
          </w:p>
        </w:tc>
        <w:tc>
          <w:tcPr>
            <w:tcW w:w="1782" w:type="dxa"/>
            <w:tcBorders>
              <w:top w:val="single" w:sz="4" w:space="0" w:color="auto"/>
              <w:bottom w:val="single" w:sz="4" w:space="0" w:color="auto"/>
            </w:tcBorders>
          </w:tcPr>
          <w:p w14:paraId="53B5B92B" w14:textId="7BCF8616" w:rsidR="00C719DC" w:rsidRPr="00212F30" w:rsidRDefault="00C719DC" w:rsidP="00471707">
            <w:pPr>
              <w:tabs>
                <w:tab w:val="decimal" w:pos="1295"/>
                <w:tab w:val="right" w:pos="9180"/>
              </w:tabs>
              <w:ind w:right="-18"/>
            </w:pPr>
            <w:r>
              <w:tab/>
            </w:r>
            <w:r w:rsidR="00232ECE">
              <w:t>7,042,033</w:t>
            </w:r>
          </w:p>
        </w:tc>
        <w:tc>
          <w:tcPr>
            <w:tcW w:w="359" w:type="dxa"/>
          </w:tcPr>
          <w:p w14:paraId="7D8D8A33" w14:textId="77777777" w:rsidR="00C719DC" w:rsidRPr="00212F30" w:rsidRDefault="00C719DC" w:rsidP="00471707">
            <w:pPr>
              <w:tabs>
                <w:tab w:val="right" w:pos="9180"/>
              </w:tabs>
              <w:ind w:right="-360"/>
            </w:pPr>
          </w:p>
        </w:tc>
        <w:tc>
          <w:tcPr>
            <w:tcW w:w="1782" w:type="dxa"/>
            <w:tcBorders>
              <w:top w:val="single" w:sz="4" w:space="0" w:color="auto"/>
              <w:bottom w:val="single" w:sz="4" w:space="0" w:color="auto"/>
            </w:tcBorders>
          </w:tcPr>
          <w:p w14:paraId="39FBAFBA" w14:textId="1CC73AAF" w:rsidR="00C719DC" w:rsidRDefault="00C719DC" w:rsidP="00471707">
            <w:pPr>
              <w:tabs>
                <w:tab w:val="decimal" w:pos="1314"/>
                <w:tab w:val="right" w:pos="9180"/>
              </w:tabs>
              <w:ind w:right="-18"/>
            </w:pPr>
            <w:r>
              <w:tab/>
              <w:t>5,883,081</w:t>
            </w:r>
          </w:p>
        </w:tc>
      </w:tr>
      <w:tr w:rsidR="00C719DC" w:rsidRPr="00212F30" w14:paraId="42665DBE" w14:textId="77777777" w:rsidTr="00471707">
        <w:trPr>
          <w:trHeight w:val="230"/>
        </w:trPr>
        <w:tc>
          <w:tcPr>
            <w:tcW w:w="375" w:type="dxa"/>
          </w:tcPr>
          <w:p w14:paraId="6C4FA843" w14:textId="77777777" w:rsidR="00C719DC" w:rsidRPr="00212F30" w:rsidRDefault="00C719DC" w:rsidP="00471707">
            <w:pPr>
              <w:ind w:right="-360"/>
            </w:pPr>
          </w:p>
        </w:tc>
        <w:tc>
          <w:tcPr>
            <w:tcW w:w="448" w:type="dxa"/>
          </w:tcPr>
          <w:p w14:paraId="46F70701" w14:textId="77777777" w:rsidR="00C719DC" w:rsidRPr="00212F30" w:rsidRDefault="00C719DC" w:rsidP="00471707">
            <w:pPr>
              <w:ind w:right="-360"/>
            </w:pPr>
          </w:p>
        </w:tc>
        <w:tc>
          <w:tcPr>
            <w:tcW w:w="448" w:type="dxa"/>
          </w:tcPr>
          <w:p w14:paraId="0DD4842A" w14:textId="77777777" w:rsidR="00C719DC" w:rsidRPr="00212F30" w:rsidRDefault="00C719DC" w:rsidP="00471707">
            <w:pPr>
              <w:ind w:right="-360"/>
            </w:pPr>
          </w:p>
        </w:tc>
        <w:tc>
          <w:tcPr>
            <w:tcW w:w="1960" w:type="dxa"/>
          </w:tcPr>
          <w:p w14:paraId="2CDEE7B8" w14:textId="77777777" w:rsidR="00C719DC" w:rsidRPr="00212F30" w:rsidRDefault="00C719DC" w:rsidP="00471707">
            <w:pPr>
              <w:tabs>
                <w:tab w:val="right" w:pos="9180"/>
              </w:tabs>
              <w:ind w:right="-360"/>
            </w:pPr>
          </w:p>
        </w:tc>
        <w:tc>
          <w:tcPr>
            <w:tcW w:w="537" w:type="dxa"/>
          </w:tcPr>
          <w:p w14:paraId="7E6C5AFA" w14:textId="77777777" w:rsidR="00C719DC" w:rsidRPr="00212F30" w:rsidRDefault="00C719DC" w:rsidP="00471707">
            <w:pPr>
              <w:tabs>
                <w:tab w:val="right" w:pos="9180"/>
              </w:tabs>
              <w:ind w:right="-18"/>
            </w:pPr>
          </w:p>
        </w:tc>
        <w:tc>
          <w:tcPr>
            <w:tcW w:w="537" w:type="dxa"/>
          </w:tcPr>
          <w:p w14:paraId="1DEB208F" w14:textId="77777777" w:rsidR="00C719DC" w:rsidRPr="00212F30" w:rsidRDefault="00C719DC" w:rsidP="00471707">
            <w:pPr>
              <w:tabs>
                <w:tab w:val="right" w:pos="9180"/>
              </w:tabs>
              <w:ind w:right="-360"/>
            </w:pPr>
          </w:p>
        </w:tc>
        <w:tc>
          <w:tcPr>
            <w:tcW w:w="1960" w:type="dxa"/>
          </w:tcPr>
          <w:p w14:paraId="604CCB9D" w14:textId="77777777" w:rsidR="00C719DC" w:rsidRPr="00212F30" w:rsidRDefault="00C719DC" w:rsidP="00471707">
            <w:pPr>
              <w:tabs>
                <w:tab w:val="right" w:pos="9180"/>
              </w:tabs>
              <w:ind w:right="-360"/>
            </w:pPr>
          </w:p>
        </w:tc>
        <w:tc>
          <w:tcPr>
            <w:tcW w:w="1782" w:type="dxa"/>
            <w:tcBorders>
              <w:top w:val="single" w:sz="4" w:space="0" w:color="auto"/>
            </w:tcBorders>
          </w:tcPr>
          <w:p w14:paraId="7D2C32AE" w14:textId="77777777" w:rsidR="00C719DC" w:rsidRPr="00212F30" w:rsidRDefault="00C719DC" w:rsidP="00471707">
            <w:pPr>
              <w:tabs>
                <w:tab w:val="decimal" w:pos="1062"/>
                <w:tab w:val="right" w:pos="9180"/>
              </w:tabs>
              <w:ind w:right="-18"/>
            </w:pPr>
          </w:p>
        </w:tc>
        <w:tc>
          <w:tcPr>
            <w:tcW w:w="359" w:type="dxa"/>
          </w:tcPr>
          <w:p w14:paraId="23A12597" w14:textId="77777777" w:rsidR="00C719DC" w:rsidRPr="00212F30" w:rsidRDefault="00C719DC" w:rsidP="00471707">
            <w:pPr>
              <w:tabs>
                <w:tab w:val="right" w:pos="9180"/>
              </w:tabs>
              <w:ind w:right="-360"/>
            </w:pPr>
          </w:p>
        </w:tc>
        <w:tc>
          <w:tcPr>
            <w:tcW w:w="1782" w:type="dxa"/>
            <w:tcBorders>
              <w:top w:val="single" w:sz="4" w:space="0" w:color="auto"/>
            </w:tcBorders>
          </w:tcPr>
          <w:p w14:paraId="782BC661" w14:textId="77777777" w:rsidR="00C719DC" w:rsidRPr="00212F30" w:rsidRDefault="00C719DC" w:rsidP="00471707">
            <w:pPr>
              <w:tabs>
                <w:tab w:val="decimal" w:pos="972"/>
                <w:tab w:val="right" w:pos="9180"/>
              </w:tabs>
              <w:ind w:right="-18"/>
            </w:pPr>
          </w:p>
        </w:tc>
      </w:tr>
      <w:tr w:rsidR="00C719DC" w:rsidRPr="00212F30" w14:paraId="0551D816" w14:textId="77777777" w:rsidTr="00471707">
        <w:trPr>
          <w:trHeight w:val="230"/>
        </w:trPr>
        <w:tc>
          <w:tcPr>
            <w:tcW w:w="3231" w:type="dxa"/>
            <w:gridSpan w:val="4"/>
          </w:tcPr>
          <w:p w14:paraId="6C270814" w14:textId="77777777" w:rsidR="00C719DC" w:rsidRPr="00212F30" w:rsidRDefault="00C719DC" w:rsidP="00471707">
            <w:pPr>
              <w:tabs>
                <w:tab w:val="right" w:pos="9180"/>
              </w:tabs>
              <w:ind w:right="-360"/>
            </w:pPr>
            <w:r w:rsidRPr="00212F30">
              <w:t>Loss from operations</w:t>
            </w:r>
          </w:p>
        </w:tc>
        <w:tc>
          <w:tcPr>
            <w:tcW w:w="537" w:type="dxa"/>
          </w:tcPr>
          <w:p w14:paraId="306DE11A" w14:textId="77777777" w:rsidR="00C719DC" w:rsidRPr="00212F30" w:rsidRDefault="00C719DC" w:rsidP="00471707">
            <w:pPr>
              <w:tabs>
                <w:tab w:val="decimal" w:pos="1062"/>
                <w:tab w:val="right" w:pos="9180"/>
              </w:tabs>
              <w:ind w:right="-18"/>
            </w:pPr>
          </w:p>
        </w:tc>
        <w:tc>
          <w:tcPr>
            <w:tcW w:w="537" w:type="dxa"/>
          </w:tcPr>
          <w:p w14:paraId="0261636A" w14:textId="77777777" w:rsidR="00C719DC" w:rsidRPr="00212F30" w:rsidRDefault="00C719DC" w:rsidP="00471707">
            <w:pPr>
              <w:tabs>
                <w:tab w:val="right" w:pos="9180"/>
              </w:tabs>
              <w:ind w:right="-360"/>
            </w:pPr>
          </w:p>
        </w:tc>
        <w:tc>
          <w:tcPr>
            <w:tcW w:w="1960" w:type="dxa"/>
          </w:tcPr>
          <w:p w14:paraId="6D2F7920" w14:textId="77777777" w:rsidR="00C719DC" w:rsidRPr="00212F30" w:rsidRDefault="00C719DC" w:rsidP="00471707">
            <w:pPr>
              <w:tabs>
                <w:tab w:val="right" w:pos="9180"/>
              </w:tabs>
              <w:ind w:right="-360"/>
            </w:pPr>
          </w:p>
        </w:tc>
        <w:tc>
          <w:tcPr>
            <w:tcW w:w="1782" w:type="dxa"/>
          </w:tcPr>
          <w:p w14:paraId="5146B37E" w14:textId="3F71E157" w:rsidR="00C719DC" w:rsidRPr="00212F30" w:rsidRDefault="00C719DC" w:rsidP="00471707">
            <w:pPr>
              <w:tabs>
                <w:tab w:val="decimal" w:pos="1295"/>
                <w:tab w:val="right" w:pos="9180"/>
              </w:tabs>
              <w:ind w:right="-18"/>
            </w:pPr>
            <w:r w:rsidRPr="00212F30">
              <w:tab/>
            </w:r>
            <w:r w:rsidR="004514BA">
              <w:t>(5,</w:t>
            </w:r>
            <w:r w:rsidR="00232ECE">
              <w:t>405,170</w:t>
            </w:r>
            <w:r w:rsidR="004514BA">
              <w:t>)</w:t>
            </w:r>
          </w:p>
        </w:tc>
        <w:tc>
          <w:tcPr>
            <w:tcW w:w="359" w:type="dxa"/>
          </w:tcPr>
          <w:p w14:paraId="2060C4B6" w14:textId="77777777" w:rsidR="00C719DC" w:rsidRPr="00212F30" w:rsidRDefault="00C719DC" w:rsidP="00471707">
            <w:pPr>
              <w:tabs>
                <w:tab w:val="right" w:pos="9180"/>
              </w:tabs>
              <w:ind w:right="-360"/>
            </w:pPr>
          </w:p>
        </w:tc>
        <w:tc>
          <w:tcPr>
            <w:tcW w:w="1782" w:type="dxa"/>
          </w:tcPr>
          <w:p w14:paraId="3B674F16" w14:textId="3C7DB1A5" w:rsidR="00C719DC" w:rsidRPr="00212F30" w:rsidRDefault="00C719DC" w:rsidP="00471707">
            <w:pPr>
              <w:tabs>
                <w:tab w:val="decimal" w:pos="1314"/>
                <w:tab w:val="right" w:pos="9180"/>
              </w:tabs>
              <w:ind w:right="-18"/>
            </w:pPr>
            <w:r>
              <w:tab/>
              <w:t>(5,883,081</w:t>
            </w:r>
            <w:r w:rsidRPr="00212F30">
              <w:t>)</w:t>
            </w:r>
          </w:p>
        </w:tc>
      </w:tr>
      <w:tr w:rsidR="00C719DC" w:rsidRPr="00212F30" w14:paraId="3660BC1E" w14:textId="77777777" w:rsidTr="00471707">
        <w:trPr>
          <w:trHeight w:val="230"/>
        </w:trPr>
        <w:tc>
          <w:tcPr>
            <w:tcW w:w="375" w:type="dxa"/>
          </w:tcPr>
          <w:p w14:paraId="2FDB7658" w14:textId="77777777" w:rsidR="00C719DC" w:rsidRPr="00212F30" w:rsidRDefault="00C719DC" w:rsidP="00471707">
            <w:pPr>
              <w:ind w:right="-360"/>
            </w:pPr>
          </w:p>
        </w:tc>
        <w:tc>
          <w:tcPr>
            <w:tcW w:w="448" w:type="dxa"/>
          </w:tcPr>
          <w:p w14:paraId="1157EA35" w14:textId="77777777" w:rsidR="00C719DC" w:rsidRPr="00212F30" w:rsidRDefault="00C719DC" w:rsidP="00471707">
            <w:pPr>
              <w:ind w:right="-360"/>
            </w:pPr>
          </w:p>
        </w:tc>
        <w:tc>
          <w:tcPr>
            <w:tcW w:w="448" w:type="dxa"/>
          </w:tcPr>
          <w:p w14:paraId="74C0BDBB" w14:textId="77777777" w:rsidR="00C719DC" w:rsidRPr="00212F30" w:rsidRDefault="00C719DC" w:rsidP="00471707">
            <w:pPr>
              <w:ind w:right="-360"/>
            </w:pPr>
          </w:p>
        </w:tc>
        <w:tc>
          <w:tcPr>
            <w:tcW w:w="1960" w:type="dxa"/>
          </w:tcPr>
          <w:p w14:paraId="213B9DE8" w14:textId="77777777" w:rsidR="00C719DC" w:rsidRPr="00212F30" w:rsidRDefault="00C719DC" w:rsidP="00471707">
            <w:pPr>
              <w:tabs>
                <w:tab w:val="right" w:pos="9180"/>
              </w:tabs>
              <w:ind w:right="-360"/>
            </w:pPr>
          </w:p>
        </w:tc>
        <w:tc>
          <w:tcPr>
            <w:tcW w:w="537" w:type="dxa"/>
          </w:tcPr>
          <w:p w14:paraId="07258136" w14:textId="77777777" w:rsidR="00C719DC" w:rsidRPr="00212F30" w:rsidRDefault="00C719DC" w:rsidP="00471707">
            <w:pPr>
              <w:tabs>
                <w:tab w:val="right" w:pos="9180"/>
              </w:tabs>
              <w:ind w:right="-18"/>
            </w:pPr>
          </w:p>
        </w:tc>
        <w:tc>
          <w:tcPr>
            <w:tcW w:w="537" w:type="dxa"/>
          </w:tcPr>
          <w:p w14:paraId="44DAA35F" w14:textId="77777777" w:rsidR="00C719DC" w:rsidRPr="00212F30" w:rsidRDefault="00C719DC" w:rsidP="00471707">
            <w:pPr>
              <w:tabs>
                <w:tab w:val="right" w:pos="9180"/>
              </w:tabs>
              <w:ind w:right="-360"/>
            </w:pPr>
          </w:p>
        </w:tc>
        <w:tc>
          <w:tcPr>
            <w:tcW w:w="1960" w:type="dxa"/>
          </w:tcPr>
          <w:p w14:paraId="12BA5A8B" w14:textId="77777777" w:rsidR="00C719DC" w:rsidRPr="00212F30" w:rsidRDefault="00C719DC" w:rsidP="00471707">
            <w:pPr>
              <w:tabs>
                <w:tab w:val="right" w:pos="9180"/>
              </w:tabs>
              <w:ind w:right="-360"/>
            </w:pPr>
          </w:p>
        </w:tc>
        <w:tc>
          <w:tcPr>
            <w:tcW w:w="1782" w:type="dxa"/>
          </w:tcPr>
          <w:p w14:paraId="1230309C" w14:textId="77777777" w:rsidR="00C719DC" w:rsidRPr="00212F30" w:rsidRDefault="00C719DC" w:rsidP="00471707">
            <w:pPr>
              <w:tabs>
                <w:tab w:val="decimal" w:pos="1295"/>
                <w:tab w:val="right" w:pos="9180"/>
              </w:tabs>
              <w:ind w:right="-18"/>
            </w:pPr>
          </w:p>
        </w:tc>
        <w:tc>
          <w:tcPr>
            <w:tcW w:w="359" w:type="dxa"/>
          </w:tcPr>
          <w:p w14:paraId="5DC5874B" w14:textId="77777777" w:rsidR="00C719DC" w:rsidRPr="00212F30" w:rsidRDefault="00C719DC" w:rsidP="00471707">
            <w:pPr>
              <w:tabs>
                <w:tab w:val="right" w:pos="9180"/>
              </w:tabs>
              <w:ind w:right="-360"/>
            </w:pPr>
          </w:p>
        </w:tc>
        <w:tc>
          <w:tcPr>
            <w:tcW w:w="1782" w:type="dxa"/>
          </w:tcPr>
          <w:p w14:paraId="7DE4320B" w14:textId="77777777" w:rsidR="00C719DC" w:rsidRPr="00212F30" w:rsidRDefault="00C719DC" w:rsidP="00471707">
            <w:pPr>
              <w:tabs>
                <w:tab w:val="decimal" w:pos="1314"/>
                <w:tab w:val="right" w:pos="9180"/>
              </w:tabs>
              <w:ind w:right="-18"/>
            </w:pPr>
          </w:p>
        </w:tc>
      </w:tr>
      <w:tr w:rsidR="00C719DC" w:rsidRPr="00212F30" w14:paraId="6DC7D486" w14:textId="77777777" w:rsidTr="00471707">
        <w:trPr>
          <w:trHeight w:val="230"/>
        </w:trPr>
        <w:tc>
          <w:tcPr>
            <w:tcW w:w="3231" w:type="dxa"/>
            <w:gridSpan w:val="4"/>
          </w:tcPr>
          <w:p w14:paraId="381DA8EF" w14:textId="77777777" w:rsidR="00C719DC" w:rsidRPr="00212F30" w:rsidRDefault="00C719DC" w:rsidP="00471707">
            <w:pPr>
              <w:tabs>
                <w:tab w:val="right" w:pos="9180"/>
              </w:tabs>
              <w:ind w:right="-360"/>
            </w:pPr>
            <w:r>
              <w:t>Other income</w:t>
            </w:r>
            <w:r w:rsidRPr="00212F30">
              <w:t>:</w:t>
            </w:r>
          </w:p>
        </w:tc>
        <w:tc>
          <w:tcPr>
            <w:tcW w:w="537" w:type="dxa"/>
          </w:tcPr>
          <w:p w14:paraId="64E6B116" w14:textId="77777777" w:rsidR="00C719DC" w:rsidRPr="00212F30" w:rsidRDefault="00C719DC" w:rsidP="00471707">
            <w:pPr>
              <w:tabs>
                <w:tab w:val="decimal" w:pos="1062"/>
                <w:tab w:val="right" w:pos="9180"/>
              </w:tabs>
              <w:ind w:right="-18"/>
            </w:pPr>
          </w:p>
        </w:tc>
        <w:tc>
          <w:tcPr>
            <w:tcW w:w="537" w:type="dxa"/>
          </w:tcPr>
          <w:p w14:paraId="01249826" w14:textId="77777777" w:rsidR="00C719DC" w:rsidRPr="00212F30" w:rsidRDefault="00C719DC" w:rsidP="00471707">
            <w:pPr>
              <w:tabs>
                <w:tab w:val="right" w:pos="9180"/>
              </w:tabs>
              <w:ind w:right="-360"/>
            </w:pPr>
          </w:p>
        </w:tc>
        <w:tc>
          <w:tcPr>
            <w:tcW w:w="1960" w:type="dxa"/>
          </w:tcPr>
          <w:p w14:paraId="73EDA6A5" w14:textId="77777777" w:rsidR="00C719DC" w:rsidRPr="00212F30" w:rsidRDefault="00C719DC" w:rsidP="00471707">
            <w:pPr>
              <w:tabs>
                <w:tab w:val="right" w:pos="9180"/>
              </w:tabs>
              <w:ind w:right="-360"/>
            </w:pPr>
          </w:p>
        </w:tc>
        <w:tc>
          <w:tcPr>
            <w:tcW w:w="1782" w:type="dxa"/>
          </w:tcPr>
          <w:p w14:paraId="7F1EF4A9" w14:textId="77777777" w:rsidR="00C719DC" w:rsidRPr="00212F30" w:rsidRDefault="00C719DC" w:rsidP="00471707">
            <w:pPr>
              <w:tabs>
                <w:tab w:val="decimal" w:pos="1295"/>
                <w:tab w:val="right" w:pos="9180"/>
              </w:tabs>
              <w:ind w:right="-18"/>
            </w:pPr>
          </w:p>
        </w:tc>
        <w:tc>
          <w:tcPr>
            <w:tcW w:w="359" w:type="dxa"/>
          </w:tcPr>
          <w:p w14:paraId="619CF25A" w14:textId="77777777" w:rsidR="00C719DC" w:rsidRPr="00212F30" w:rsidRDefault="00C719DC" w:rsidP="00471707">
            <w:pPr>
              <w:tabs>
                <w:tab w:val="right" w:pos="9180"/>
              </w:tabs>
              <w:ind w:right="-360"/>
            </w:pPr>
          </w:p>
        </w:tc>
        <w:tc>
          <w:tcPr>
            <w:tcW w:w="1782" w:type="dxa"/>
          </w:tcPr>
          <w:p w14:paraId="5D0A4361" w14:textId="77777777" w:rsidR="00C719DC" w:rsidRPr="00212F30" w:rsidRDefault="00C719DC" w:rsidP="00471707">
            <w:pPr>
              <w:tabs>
                <w:tab w:val="decimal" w:pos="1314"/>
                <w:tab w:val="right" w:pos="9180"/>
              </w:tabs>
              <w:ind w:right="-18"/>
            </w:pPr>
          </w:p>
        </w:tc>
      </w:tr>
      <w:tr w:rsidR="00C719DC" w:rsidRPr="00212F30" w14:paraId="1E20B130" w14:textId="77777777" w:rsidTr="00471707">
        <w:trPr>
          <w:trHeight w:val="230"/>
        </w:trPr>
        <w:tc>
          <w:tcPr>
            <w:tcW w:w="375" w:type="dxa"/>
          </w:tcPr>
          <w:p w14:paraId="2631154A" w14:textId="77777777" w:rsidR="00C719DC" w:rsidRPr="00212F30" w:rsidRDefault="00C719DC" w:rsidP="00471707">
            <w:pPr>
              <w:ind w:right="-360"/>
            </w:pPr>
          </w:p>
        </w:tc>
        <w:tc>
          <w:tcPr>
            <w:tcW w:w="2856" w:type="dxa"/>
            <w:gridSpan w:val="3"/>
          </w:tcPr>
          <w:p w14:paraId="440A6E0E" w14:textId="77777777" w:rsidR="00C719DC" w:rsidRPr="00212F30" w:rsidRDefault="00C719DC" w:rsidP="00471707">
            <w:pPr>
              <w:tabs>
                <w:tab w:val="right" w:pos="9180"/>
              </w:tabs>
              <w:ind w:right="-360"/>
            </w:pPr>
            <w:r w:rsidRPr="00212F30">
              <w:t>Interest income</w:t>
            </w:r>
          </w:p>
        </w:tc>
        <w:tc>
          <w:tcPr>
            <w:tcW w:w="537" w:type="dxa"/>
          </w:tcPr>
          <w:p w14:paraId="5F2CF570" w14:textId="77777777" w:rsidR="00C719DC" w:rsidRPr="00212F30" w:rsidRDefault="00C719DC" w:rsidP="00471707">
            <w:pPr>
              <w:tabs>
                <w:tab w:val="decimal" w:pos="1062"/>
                <w:tab w:val="right" w:pos="9180"/>
              </w:tabs>
              <w:ind w:right="-18"/>
            </w:pPr>
          </w:p>
        </w:tc>
        <w:tc>
          <w:tcPr>
            <w:tcW w:w="537" w:type="dxa"/>
          </w:tcPr>
          <w:p w14:paraId="5AD0A82C" w14:textId="77777777" w:rsidR="00C719DC" w:rsidRPr="00212F30" w:rsidRDefault="00C719DC" w:rsidP="00471707">
            <w:pPr>
              <w:tabs>
                <w:tab w:val="right" w:pos="9180"/>
              </w:tabs>
              <w:ind w:right="-360"/>
            </w:pPr>
          </w:p>
        </w:tc>
        <w:tc>
          <w:tcPr>
            <w:tcW w:w="1960" w:type="dxa"/>
          </w:tcPr>
          <w:p w14:paraId="11D07BB3" w14:textId="77777777" w:rsidR="00C719DC" w:rsidRPr="00212F30" w:rsidRDefault="00C719DC" w:rsidP="00471707">
            <w:pPr>
              <w:tabs>
                <w:tab w:val="right" w:pos="9180"/>
              </w:tabs>
              <w:ind w:right="-360"/>
            </w:pPr>
          </w:p>
        </w:tc>
        <w:tc>
          <w:tcPr>
            <w:tcW w:w="1782" w:type="dxa"/>
          </w:tcPr>
          <w:p w14:paraId="06264218" w14:textId="2D7C1EBB" w:rsidR="00C719DC" w:rsidRPr="00212F30" w:rsidRDefault="00C719DC" w:rsidP="00471707">
            <w:pPr>
              <w:tabs>
                <w:tab w:val="decimal" w:pos="1295"/>
                <w:tab w:val="right" w:pos="9180"/>
              </w:tabs>
              <w:ind w:right="-18"/>
            </w:pPr>
            <w:r>
              <w:tab/>
            </w:r>
            <w:r w:rsidR="004514BA">
              <w:t>47,519</w:t>
            </w:r>
          </w:p>
        </w:tc>
        <w:tc>
          <w:tcPr>
            <w:tcW w:w="359" w:type="dxa"/>
          </w:tcPr>
          <w:p w14:paraId="04C251D0" w14:textId="77777777" w:rsidR="00C719DC" w:rsidRPr="00212F30" w:rsidRDefault="00C719DC" w:rsidP="00471707">
            <w:pPr>
              <w:tabs>
                <w:tab w:val="right" w:pos="9180"/>
              </w:tabs>
              <w:ind w:right="-360"/>
            </w:pPr>
          </w:p>
        </w:tc>
        <w:tc>
          <w:tcPr>
            <w:tcW w:w="1782" w:type="dxa"/>
          </w:tcPr>
          <w:p w14:paraId="2DC949CB" w14:textId="1E2C6B3C" w:rsidR="00C719DC" w:rsidRPr="00212F30" w:rsidRDefault="00C719DC" w:rsidP="00471707">
            <w:pPr>
              <w:tabs>
                <w:tab w:val="decimal" w:pos="1314"/>
                <w:tab w:val="right" w:pos="9180"/>
              </w:tabs>
              <w:ind w:right="-18"/>
            </w:pPr>
            <w:r>
              <w:tab/>
              <w:t>32,949</w:t>
            </w:r>
          </w:p>
        </w:tc>
      </w:tr>
      <w:tr w:rsidR="00C719DC" w:rsidRPr="00212F30" w14:paraId="637C6EA0" w14:textId="77777777" w:rsidTr="00471707">
        <w:trPr>
          <w:trHeight w:val="230"/>
        </w:trPr>
        <w:tc>
          <w:tcPr>
            <w:tcW w:w="375" w:type="dxa"/>
          </w:tcPr>
          <w:p w14:paraId="673A3A01" w14:textId="77777777" w:rsidR="00C719DC" w:rsidRPr="00212F30" w:rsidRDefault="00C719DC" w:rsidP="00471707">
            <w:pPr>
              <w:ind w:right="-360"/>
            </w:pPr>
          </w:p>
        </w:tc>
        <w:tc>
          <w:tcPr>
            <w:tcW w:w="448" w:type="dxa"/>
          </w:tcPr>
          <w:p w14:paraId="3FD021B6" w14:textId="77777777" w:rsidR="00C719DC" w:rsidRPr="00212F30" w:rsidRDefault="00C719DC" w:rsidP="00471707">
            <w:pPr>
              <w:ind w:right="-360"/>
            </w:pPr>
          </w:p>
        </w:tc>
        <w:tc>
          <w:tcPr>
            <w:tcW w:w="448" w:type="dxa"/>
          </w:tcPr>
          <w:p w14:paraId="2EAA2BCB" w14:textId="77777777" w:rsidR="00C719DC" w:rsidRPr="00212F30" w:rsidRDefault="00C719DC" w:rsidP="00471707">
            <w:pPr>
              <w:ind w:right="-360"/>
            </w:pPr>
          </w:p>
        </w:tc>
        <w:tc>
          <w:tcPr>
            <w:tcW w:w="1960" w:type="dxa"/>
          </w:tcPr>
          <w:p w14:paraId="515EDB12" w14:textId="77777777" w:rsidR="00C719DC" w:rsidRPr="00212F30" w:rsidRDefault="00C719DC" w:rsidP="00471707">
            <w:pPr>
              <w:tabs>
                <w:tab w:val="right" w:pos="9180"/>
              </w:tabs>
              <w:ind w:right="-360"/>
            </w:pPr>
          </w:p>
        </w:tc>
        <w:tc>
          <w:tcPr>
            <w:tcW w:w="537" w:type="dxa"/>
          </w:tcPr>
          <w:p w14:paraId="3F071097" w14:textId="77777777" w:rsidR="00C719DC" w:rsidRPr="00212F30" w:rsidRDefault="00C719DC" w:rsidP="00471707">
            <w:pPr>
              <w:tabs>
                <w:tab w:val="right" w:pos="9180"/>
              </w:tabs>
              <w:ind w:right="-18"/>
            </w:pPr>
          </w:p>
        </w:tc>
        <w:tc>
          <w:tcPr>
            <w:tcW w:w="537" w:type="dxa"/>
          </w:tcPr>
          <w:p w14:paraId="0D143C89" w14:textId="77777777" w:rsidR="00C719DC" w:rsidRPr="00212F30" w:rsidRDefault="00C719DC" w:rsidP="00471707">
            <w:pPr>
              <w:tabs>
                <w:tab w:val="right" w:pos="9180"/>
              </w:tabs>
              <w:ind w:right="-360"/>
            </w:pPr>
          </w:p>
        </w:tc>
        <w:tc>
          <w:tcPr>
            <w:tcW w:w="1960" w:type="dxa"/>
          </w:tcPr>
          <w:p w14:paraId="5C6318C7" w14:textId="77777777" w:rsidR="00C719DC" w:rsidRPr="00212F30" w:rsidRDefault="00C719DC" w:rsidP="00471707">
            <w:pPr>
              <w:tabs>
                <w:tab w:val="right" w:pos="9180"/>
              </w:tabs>
              <w:ind w:right="-360"/>
            </w:pPr>
          </w:p>
        </w:tc>
        <w:tc>
          <w:tcPr>
            <w:tcW w:w="1782" w:type="dxa"/>
            <w:tcBorders>
              <w:top w:val="single" w:sz="4" w:space="0" w:color="auto"/>
            </w:tcBorders>
          </w:tcPr>
          <w:p w14:paraId="60BA6F4B" w14:textId="77777777" w:rsidR="00C719DC" w:rsidRPr="00212F30" w:rsidRDefault="00C719DC" w:rsidP="00471707">
            <w:pPr>
              <w:tabs>
                <w:tab w:val="decimal" w:pos="1295"/>
                <w:tab w:val="right" w:pos="9180"/>
              </w:tabs>
              <w:ind w:right="-18"/>
            </w:pPr>
          </w:p>
        </w:tc>
        <w:tc>
          <w:tcPr>
            <w:tcW w:w="359" w:type="dxa"/>
          </w:tcPr>
          <w:p w14:paraId="6B4C8AC0" w14:textId="77777777" w:rsidR="00C719DC" w:rsidRPr="00212F30" w:rsidRDefault="00C719DC" w:rsidP="00471707">
            <w:pPr>
              <w:tabs>
                <w:tab w:val="right" w:pos="9180"/>
              </w:tabs>
              <w:ind w:right="-360"/>
            </w:pPr>
          </w:p>
        </w:tc>
        <w:tc>
          <w:tcPr>
            <w:tcW w:w="1782" w:type="dxa"/>
            <w:tcBorders>
              <w:top w:val="single" w:sz="4" w:space="0" w:color="auto"/>
            </w:tcBorders>
          </w:tcPr>
          <w:p w14:paraId="7273E746" w14:textId="77777777" w:rsidR="00C719DC" w:rsidRPr="00212F30" w:rsidRDefault="00C719DC" w:rsidP="00471707">
            <w:pPr>
              <w:tabs>
                <w:tab w:val="decimal" w:pos="1314"/>
                <w:tab w:val="right" w:pos="9180"/>
              </w:tabs>
              <w:ind w:right="-18"/>
            </w:pPr>
          </w:p>
        </w:tc>
      </w:tr>
      <w:tr w:rsidR="00C719DC" w:rsidRPr="008C287F" w14:paraId="649B966C" w14:textId="77777777" w:rsidTr="00471707">
        <w:trPr>
          <w:trHeight w:val="230"/>
        </w:trPr>
        <w:tc>
          <w:tcPr>
            <w:tcW w:w="3231" w:type="dxa"/>
            <w:gridSpan w:val="4"/>
          </w:tcPr>
          <w:p w14:paraId="37ACD641" w14:textId="77777777" w:rsidR="00C719DC" w:rsidRPr="008C287F" w:rsidRDefault="00C719DC" w:rsidP="00471707">
            <w:pPr>
              <w:tabs>
                <w:tab w:val="right" w:pos="9180"/>
              </w:tabs>
              <w:ind w:right="-360"/>
            </w:pPr>
            <w:bookmarkStart w:id="9" w:name="_Hlk194572413"/>
            <w:r w:rsidRPr="008C287F">
              <w:t>Net loss</w:t>
            </w:r>
          </w:p>
        </w:tc>
        <w:tc>
          <w:tcPr>
            <w:tcW w:w="537" w:type="dxa"/>
          </w:tcPr>
          <w:p w14:paraId="7CA44531" w14:textId="77777777" w:rsidR="00C719DC" w:rsidRPr="008C287F" w:rsidRDefault="00C719DC" w:rsidP="00471707">
            <w:pPr>
              <w:tabs>
                <w:tab w:val="decimal" w:pos="1062"/>
                <w:tab w:val="right" w:pos="9180"/>
              </w:tabs>
              <w:ind w:right="-18"/>
            </w:pPr>
          </w:p>
        </w:tc>
        <w:tc>
          <w:tcPr>
            <w:tcW w:w="537" w:type="dxa"/>
          </w:tcPr>
          <w:p w14:paraId="44FF50E0" w14:textId="77777777" w:rsidR="00C719DC" w:rsidRPr="008C287F" w:rsidRDefault="00C719DC" w:rsidP="00471707">
            <w:pPr>
              <w:tabs>
                <w:tab w:val="right" w:pos="9180"/>
              </w:tabs>
              <w:ind w:right="-360"/>
            </w:pPr>
          </w:p>
        </w:tc>
        <w:tc>
          <w:tcPr>
            <w:tcW w:w="1960" w:type="dxa"/>
          </w:tcPr>
          <w:p w14:paraId="11CE86C2" w14:textId="77777777" w:rsidR="00C719DC" w:rsidRPr="008C287F" w:rsidRDefault="00C719DC" w:rsidP="00471707">
            <w:pPr>
              <w:tabs>
                <w:tab w:val="right" w:pos="9180"/>
              </w:tabs>
              <w:ind w:right="-360"/>
            </w:pPr>
          </w:p>
        </w:tc>
        <w:tc>
          <w:tcPr>
            <w:tcW w:w="1782" w:type="dxa"/>
            <w:tcBorders>
              <w:bottom w:val="double" w:sz="4" w:space="0" w:color="auto"/>
            </w:tcBorders>
          </w:tcPr>
          <w:p w14:paraId="3B146ABD" w14:textId="48F452A3" w:rsidR="00C719DC" w:rsidRPr="008C287F" w:rsidRDefault="00C719DC" w:rsidP="00471707">
            <w:pPr>
              <w:tabs>
                <w:tab w:val="decimal" w:pos="1295"/>
                <w:tab w:val="right" w:pos="9180"/>
              </w:tabs>
              <w:ind w:right="-18"/>
            </w:pPr>
            <w:r w:rsidRPr="008C287F">
              <w:t>$</w:t>
            </w:r>
            <w:r w:rsidRPr="008C287F">
              <w:tab/>
            </w:r>
            <w:r w:rsidR="004514BA">
              <w:t>(5,</w:t>
            </w:r>
            <w:r w:rsidR="00232ECE">
              <w:t>357,651</w:t>
            </w:r>
            <w:r w:rsidR="004514BA">
              <w:t>)</w:t>
            </w:r>
          </w:p>
        </w:tc>
        <w:tc>
          <w:tcPr>
            <w:tcW w:w="359" w:type="dxa"/>
          </w:tcPr>
          <w:p w14:paraId="194F9939" w14:textId="77777777" w:rsidR="00C719DC" w:rsidRPr="008C287F" w:rsidRDefault="00C719DC" w:rsidP="00471707">
            <w:pPr>
              <w:tabs>
                <w:tab w:val="right" w:pos="9180"/>
              </w:tabs>
              <w:ind w:right="-360"/>
            </w:pPr>
          </w:p>
        </w:tc>
        <w:tc>
          <w:tcPr>
            <w:tcW w:w="1782" w:type="dxa"/>
            <w:tcBorders>
              <w:bottom w:val="double" w:sz="4" w:space="0" w:color="auto"/>
            </w:tcBorders>
          </w:tcPr>
          <w:p w14:paraId="1DB5DAE7" w14:textId="11C49526" w:rsidR="00C719DC" w:rsidRPr="008C287F" w:rsidRDefault="00C719DC" w:rsidP="00471707">
            <w:pPr>
              <w:tabs>
                <w:tab w:val="decimal" w:pos="1314"/>
                <w:tab w:val="right" w:pos="9180"/>
              </w:tabs>
              <w:ind w:right="-18"/>
            </w:pPr>
            <w:r w:rsidRPr="008C287F">
              <w:t>$</w:t>
            </w:r>
            <w:r w:rsidRPr="008C287F">
              <w:tab/>
              <w:t>(</w:t>
            </w:r>
            <w:r>
              <w:t>5,850,132</w:t>
            </w:r>
            <w:r w:rsidRPr="008C287F">
              <w:t>)</w:t>
            </w:r>
          </w:p>
        </w:tc>
      </w:tr>
      <w:bookmarkEnd w:id="9"/>
      <w:tr w:rsidR="00C719DC" w:rsidRPr="008C287F" w14:paraId="7DBCE78B" w14:textId="77777777" w:rsidTr="00471707">
        <w:trPr>
          <w:trHeight w:val="230"/>
        </w:trPr>
        <w:tc>
          <w:tcPr>
            <w:tcW w:w="375" w:type="dxa"/>
          </w:tcPr>
          <w:p w14:paraId="3FE6AA84" w14:textId="77777777" w:rsidR="00C719DC" w:rsidRPr="008C287F" w:rsidRDefault="00C719DC" w:rsidP="00471707">
            <w:pPr>
              <w:ind w:right="-360"/>
            </w:pPr>
          </w:p>
        </w:tc>
        <w:tc>
          <w:tcPr>
            <w:tcW w:w="448" w:type="dxa"/>
          </w:tcPr>
          <w:p w14:paraId="0F285868" w14:textId="77777777" w:rsidR="00C719DC" w:rsidRPr="008C287F" w:rsidRDefault="00C719DC" w:rsidP="00471707">
            <w:pPr>
              <w:ind w:right="-360"/>
            </w:pPr>
          </w:p>
        </w:tc>
        <w:tc>
          <w:tcPr>
            <w:tcW w:w="448" w:type="dxa"/>
          </w:tcPr>
          <w:p w14:paraId="19D44814" w14:textId="77777777" w:rsidR="00C719DC" w:rsidRPr="008C287F" w:rsidRDefault="00C719DC" w:rsidP="00471707">
            <w:pPr>
              <w:ind w:right="-360"/>
            </w:pPr>
          </w:p>
        </w:tc>
        <w:tc>
          <w:tcPr>
            <w:tcW w:w="1960" w:type="dxa"/>
          </w:tcPr>
          <w:p w14:paraId="7FDDE6E0" w14:textId="77777777" w:rsidR="00C719DC" w:rsidRPr="008C287F" w:rsidRDefault="00C719DC" w:rsidP="00471707">
            <w:pPr>
              <w:tabs>
                <w:tab w:val="right" w:pos="9180"/>
              </w:tabs>
              <w:ind w:right="-360"/>
            </w:pPr>
          </w:p>
        </w:tc>
        <w:tc>
          <w:tcPr>
            <w:tcW w:w="537" w:type="dxa"/>
          </w:tcPr>
          <w:p w14:paraId="7EEF27BE" w14:textId="77777777" w:rsidR="00C719DC" w:rsidRPr="008C287F" w:rsidRDefault="00C719DC" w:rsidP="00471707">
            <w:pPr>
              <w:tabs>
                <w:tab w:val="right" w:pos="9180"/>
              </w:tabs>
              <w:ind w:right="-18"/>
            </w:pPr>
          </w:p>
        </w:tc>
        <w:tc>
          <w:tcPr>
            <w:tcW w:w="537" w:type="dxa"/>
          </w:tcPr>
          <w:p w14:paraId="37D49457" w14:textId="77777777" w:rsidR="00C719DC" w:rsidRPr="008C287F" w:rsidRDefault="00C719DC" w:rsidP="00471707">
            <w:pPr>
              <w:tabs>
                <w:tab w:val="right" w:pos="9180"/>
              </w:tabs>
              <w:ind w:right="-360"/>
            </w:pPr>
          </w:p>
        </w:tc>
        <w:tc>
          <w:tcPr>
            <w:tcW w:w="1960" w:type="dxa"/>
          </w:tcPr>
          <w:p w14:paraId="714BB23B" w14:textId="77777777" w:rsidR="00C719DC" w:rsidRPr="008C287F" w:rsidRDefault="00C719DC" w:rsidP="00471707">
            <w:pPr>
              <w:tabs>
                <w:tab w:val="right" w:pos="9180"/>
              </w:tabs>
              <w:ind w:right="-360"/>
            </w:pPr>
          </w:p>
        </w:tc>
        <w:tc>
          <w:tcPr>
            <w:tcW w:w="1782" w:type="dxa"/>
          </w:tcPr>
          <w:p w14:paraId="00017F78" w14:textId="77777777" w:rsidR="00C719DC" w:rsidRPr="008C287F" w:rsidRDefault="00C719DC" w:rsidP="00471707">
            <w:pPr>
              <w:tabs>
                <w:tab w:val="right" w:pos="9180"/>
              </w:tabs>
              <w:ind w:right="-18"/>
            </w:pPr>
          </w:p>
        </w:tc>
        <w:tc>
          <w:tcPr>
            <w:tcW w:w="359" w:type="dxa"/>
          </w:tcPr>
          <w:p w14:paraId="5483BFC9" w14:textId="77777777" w:rsidR="00C719DC" w:rsidRPr="008C287F" w:rsidRDefault="00C719DC" w:rsidP="00471707">
            <w:pPr>
              <w:tabs>
                <w:tab w:val="right" w:pos="9180"/>
              </w:tabs>
              <w:ind w:right="-360"/>
            </w:pPr>
          </w:p>
        </w:tc>
        <w:tc>
          <w:tcPr>
            <w:tcW w:w="1782" w:type="dxa"/>
          </w:tcPr>
          <w:p w14:paraId="5D616DC4" w14:textId="77777777" w:rsidR="00C719DC" w:rsidRPr="008C287F" w:rsidRDefault="00C719DC" w:rsidP="00471707">
            <w:pPr>
              <w:tabs>
                <w:tab w:val="right" w:pos="9180"/>
              </w:tabs>
              <w:ind w:right="-18"/>
            </w:pPr>
          </w:p>
        </w:tc>
      </w:tr>
      <w:tr w:rsidR="00C719DC" w:rsidRPr="008C287F" w14:paraId="559E5941" w14:textId="77777777" w:rsidTr="00471707">
        <w:trPr>
          <w:trHeight w:val="230"/>
        </w:trPr>
        <w:tc>
          <w:tcPr>
            <w:tcW w:w="3231" w:type="dxa"/>
            <w:gridSpan w:val="4"/>
          </w:tcPr>
          <w:p w14:paraId="530BBC8D" w14:textId="77777777" w:rsidR="00C719DC" w:rsidRPr="008C287F" w:rsidRDefault="00C719DC" w:rsidP="00471707">
            <w:pPr>
              <w:tabs>
                <w:tab w:val="right" w:pos="9180"/>
              </w:tabs>
              <w:ind w:right="-360"/>
            </w:pPr>
            <w:r w:rsidRPr="008C287F">
              <w:t>Basic and diluted:</w:t>
            </w:r>
          </w:p>
        </w:tc>
        <w:tc>
          <w:tcPr>
            <w:tcW w:w="537" w:type="dxa"/>
          </w:tcPr>
          <w:p w14:paraId="044D4D36" w14:textId="77777777" w:rsidR="00C719DC" w:rsidRPr="008C287F" w:rsidRDefault="00C719DC" w:rsidP="00471707">
            <w:pPr>
              <w:tabs>
                <w:tab w:val="right" w:pos="9180"/>
              </w:tabs>
              <w:ind w:right="-18"/>
            </w:pPr>
          </w:p>
        </w:tc>
        <w:tc>
          <w:tcPr>
            <w:tcW w:w="537" w:type="dxa"/>
          </w:tcPr>
          <w:p w14:paraId="2497B7E2" w14:textId="77777777" w:rsidR="00C719DC" w:rsidRPr="008C287F" w:rsidRDefault="00C719DC" w:rsidP="00471707">
            <w:pPr>
              <w:tabs>
                <w:tab w:val="right" w:pos="9180"/>
              </w:tabs>
              <w:ind w:right="-360"/>
            </w:pPr>
          </w:p>
        </w:tc>
        <w:tc>
          <w:tcPr>
            <w:tcW w:w="1960" w:type="dxa"/>
          </w:tcPr>
          <w:p w14:paraId="6B761378" w14:textId="77777777" w:rsidR="00C719DC" w:rsidRPr="008C287F" w:rsidRDefault="00C719DC" w:rsidP="00471707">
            <w:pPr>
              <w:tabs>
                <w:tab w:val="right" w:pos="9180"/>
              </w:tabs>
              <w:ind w:right="-360"/>
            </w:pPr>
          </w:p>
        </w:tc>
        <w:tc>
          <w:tcPr>
            <w:tcW w:w="1782" w:type="dxa"/>
          </w:tcPr>
          <w:p w14:paraId="2BD5CF8B" w14:textId="77777777" w:rsidR="00C719DC" w:rsidRPr="008C287F" w:rsidRDefault="00C719DC" w:rsidP="00471707">
            <w:pPr>
              <w:tabs>
                <w:tab w:val="right" w:pos="9180"/>
              </w:tabs>
              <w:ind w:right="-18"/>
            </w:pPr>
          </w:p>
        </w:tc>
        <w:tc>
          <w:tcPr>
            <w:tcW w:w="359" w:type="dxa"/>
          </w:tcPr>
          <w:p w14:paraId="4487BF2B" w14:textId="77777777" w:rsidR="00C719DC" w:rsidRPr="008C287F" w:rsidRDefault="00C719DC" w:rsidP="00471707">
            <w:pPr>
              <w:tabs>
                <w:tab w:val="right" w:pos="9180"/>
              </w:tabs>
              <w:ind w:right="-360"/>
            </w:pPr>
          </w:p>
        </w:tc>
        <w:tc>
          <w:tcPr>
            <w:tcW w:w="1782" w:type="dxa"/>
          </w:tcPr>
          <w:p w14:paraId="26BDACE3" w14:textId="77777777" w:rsidR="00C719DC" w:rsidRPr="00912408" w:rsidRDefault="00C719DC" w:rsidP="00471707">
            <w:pPr>
              <w:tabs>
                <w:tab w:val="right" w:pos="9180"/>
              </w:tabs>
              <w:ind w:right="-18"/>
            </w:pPr>
          </w:p>
        </w:tc>
      </w:tr>
      <w:tr w:rsidR="00C719DC" w:rsidRPr="00A43281" w14:paraId="090CB7B4" w14:textId="77777777" w:rsidTr="00471707">
        <w:trPr>
          <w:trHeight w:val="230"/>
        </w:trPr>
        <w:tc>
          <w:tcPr>
            <w:tcW w:w="375" w:type="dxa"/>
          </w:tcPr>
          <w:p w14:paraId="36D2F5D2" w14:textId="77777777" w:rsidR="00C719DC" w:rsidRPr="008C287F" w:rsidRDefault="00C719DC" w:rsidP="00471707">
            <w:pPr>
              <w:ind w:right="-360"/>
            </w:pPr>
          </w:p>
        </w:tc>
        <w:tc>
          <w:tcPr>
            <w:tcW w:w="5890" w:type="dxa"/>
            <w:gridSpan w:val="6"/>
          </w:tcPr>
          <w:p w14:paraId="562D3FA5" w14:textId="77777777" w:rsidR="00C719DC" w:rsidRPr="00A43281" w:rsidRDefault="00C719DC" w:rsidP="00471707">
            <w:pPr>
              <w:tabs>
                <w:tab w:val="right" w:pos="9180"/>
              </w:tabs>
              <w:ind w:right="-360"/>
            </w:pPr>
            <w:r w:rsidRPr="00A43281">
              <w:t>Net loss per common share</w:t>
            </w:r>
          </w:p>
        </w:tc>
        <w:tc>
          <w:tcPr>
            <w:tcW w:w="1782" w:type="dxa"/>
            <w:tcBorders>
              <w:bottom w:val="double" w:sz="4" w:space="0" w:color="auto"/>
            </w:tcBorders>
          </w:tcPr>
          <w:p w14:paraId="20EF8C49" w14:textId="57A74A91" w:rsidR="00C719DC" w:rsidRPr="00A43281" w:rsidRDefault="00C719DC" w:rsidP="00471707">
            <w:pPr>
              <w:tabs>
                <w:tab w:val="decimal" w:pos="1025"/>
                <w:tab w:val="right" w:pos="9180"/>
              </w:tabs>
              <w:ind w:right="-18"/>
            </w:pPr>
            <w:r w:rsidRPr="00A43281">
              <w:t>$</w:t>
            </w:r>
            <w:r w:rsidRPr="00A43281">
              <w:tab/>
            </w:r>
            <w:r w:rsidR="004514BA">
              <w:t>(0.4</w:t>
            </w:r>
            <w:r w:rsidR="00232ECE">
              <w:t>5</w:t>
            </w:r>
            <w:r w:rsidR="004514BA">
              <w:t>)</w:t>
            </w:r>
          </w:p>
        </w:tc>
        <w:tc>
          <w:tcPr>
            <w:tcW w:w="359" w:type="dxa"/>
          </w:tcPr>
          <w:p w14:paraId="20E5A337" w14:textId="77777777" w:rsidR="00C719DC" w:rsidRPr="00A43281" w:rsidRDefault="00C719DC" w:rsidP="00471707">
            <w:pPr>
              <w:tabs>
                <w:tab w:val="right" w:pos="9180"/>
              </w:tabs>
              <w:ind w:right="-360"/>
            </w:pPr>
          </w:p>
        </w:tc>
        <w:tc>
          <w:tcPr>
            <w:tcW w:w="1782" w:type="dxa"/>
            <w:tcBorders>
              <w:bottom w:val="double" w:sz="4" w:space="0" w:color="auto"/>
            </w:tcBorders>
          </w:tcPr>
          <w:p w14:paraId="24B32E87" w14:textId="000A2667" w:rsidR="00C719DC" w:rsidRPr="00912408" w:rsidRDefault="00C719DC" w:rsidP="00471707">
            <w:pPr>
              <w:tabs>
                <w:tab w:val="decimal" w:pos="1044"/>
                <w:tab w:val="right" w:pos="9180"/>
              </w:tabs>
              <w:ind w:right="-18"/>
            </w:pPr>
            <w:r w:rsidRPr="00912408">
              <w:t>$</w:t>
            </w:r>
            <w:r w:rsidRPr="00912408">
              <w:tab/>
              <w:t>(2.</w:t>
            </w:r>
            <w:r>
              <w:t>47</w:t>
            </w:r>
            <w:r w:rsidRPr="00912408">
              <w:t>)</w:t>
            </w:r>
          </w:p>
        </w:tc>
      </w:tr>
      <w:tr w:rsidR="00C719DC" w:rsidRPr="00212F30" w14:paraId="73F1404F" w14:textId="77777777" w:rsidTr="00471707">
        <w:trPr>
          <w:trHeight w:val="230"/>
        </w:trPr>
        <w:tc>
          <w:tcPr>
            <w:tcW w:w="375" w:type="dxa"/>
          </w:tcPr>
          <w:p w14:paraId="47F032E1" w14:textId="77777777" w:rsidR="00C719DC" w:rsidRPr="00A43281" w:rsidRDefault="00C719DC" w:rsidP="00471707">
            <w:pPr>
              <w:ind w:right="-360"/>
            </w:pPr>
          </w:p>
        </w:tc>
        <w:tc>
          <w:tcPr>
            <w:tcW w:w="3393" w:type="dxa"/>
            <w:gridSpan w:val="4"/>
          </w:tcPr>
          <w:p w14:paraId="64DCCE4F" w14:textId="77777777" w:rsidR="00C719DC" w:rsidRPr="00A43281" w:rsidRDefault="00C719DC" w:rsidP="00471707">
            <w:pPr>
              <w:tabs>
                <w:tab w:val="right" w:pos="9180"/>
              </w:tabs>
              <w:ind w:right="-18"/>
            </w:pPr>
            <w:r w:rsidRPr="00A43281">
              <w:t>Weighted average shares outstanding</w:t>
            </w:r>
          </w:p>
        </w:tc>
        <w:tc>
          <w:tcPr>
            <w:tcW w:w="537" w:type="dxa"/>
          </w:tcPr>
          <w:p w14:paraId="05E38E1C" w14:textId="77777777" w:rsidR="00C719DC" w:rsidRPr="00A43281" w:rsidRDefault="00C719DC" w:rsidP="00471707">
            <w:pPr>
              <w:tabs>
                <w:tab w:val="right" w:pos="9180"/>
              </w:tabs>
              <w:ind w:right="-360"/>
            </w:pPr>
          </w:p>
        </w:tc>
        <w:tc>
          <w:tcPr>
            <w:tcW w:w="1960" w:type="dxa"/>
          </w:tcPr>
          <w:p w14:paraId="05CF80BF" w14:textId="77777777" w:rsidR="00C719DC" w:rsidRPr="00A43281" w:rsidRDefault="00C719DC" w:rsidP="00471707">
            <w:pPr>
              <w:tabs>
                <w:tab w:val="right" w:pos="9180"/>
              </w:tabs>
              <w:ind w:right="-360"/>
            </w:pPr>
          </w:p>
        </w:tc>
        <w:tc>
          <w:tcPr>
            <w:tcW w:w="1782" w:type="dxa"/>
            <w:tcBorders>
              <w:top w:val="double" w:sz="4" w:space="0" w:color="auto"/>
              <w:bottom w:val="double" w:sz="4" w:space="0" w:color="auto"/>
            </w:tcBorders>
          </w:tcPr>
          <w:p w14:paraId="048AD830" w14:textId="41DDD635" w:rsidR="00C719DC" w:rsidRPr="00A43281" w:rsidRDefault="00C719DC" w:rsidP="00471707">
            <w:pPr>
              <w:tabs>
                <w:tab w:val="decimal" w:pos="1295"/>
                <w:tab w:val="right" w:pos="9180"/>
              </w:tabs>
              <w:ind w:right="-18"/>
            </w:pPr>
            <w:r w:rsidRPr="00A43281">
              <w:tab/>
            </w:r>
            <w:r w:rsidR="004514BA">
              <w:t>11,954,797</w:t>
            </w:r>
          </w:p>
        </w:tc>
        <w:tc>
          <w:tcPr>
            <w:tcW w:w="359" w:type="dxa"/>
          </w:tcPr>
          <w:p w14:paraId="5D9450C6" w14:textId="77777777" w:rsidR="00C719DC" w:rsidRPr="00A43281" w:rsidRDefault="00C719DC" w:rsidP="00471707">
            <w:pPr>
              <w:tabs>
                <w:tab w:val="right" w:pos="9180"/>
              </w:tabs>
              <w:ind w:right="-360"/>
            </w:pPr>
          </w:p>
        </w:tc>
        <w:tc>
          <w:tcPr>
            <w:tcW w:w="1782" w:type="dxa"/>
            <w:tcBorders>
              <w:top w:val="double" w:sz="4" w:space="0" w:color="auto"/>
              <w:bottom w:val="double" w:sz="4" w:space="0" w:color="auto"/>
            </w:tcBorders>
          </w:tcPr>
          <w:p w14:paraId="1DEBA3A2" w14:textId="4016A422" w:rsidR="00C719DC" w:rsidRPr="00912408" w:rsidRDefault="00C719DC" w:rsidP="00471707">
            <w:pPr>
              <w:tabs>
                <w:tab w:val="decimal" w:pos="1314"/>
                <w:tab w:val="right" w:pos="9180"/>
              </w:tabs>
              <w:ind w:right="-18"/>
            </w:pPr>
            <w:r w:rsidRPr="00912408">
              <w:tab/>
            </w:r>
            <w:r>
              <w:t>2,367,050</w:t>
            </w:r>
          </w:p>
        </w:tc>
      </w:tr>
      <w:tr w:rsidR="00C719DC" w:rsidRPr="00212F30" w14:paraId="2B4AB221" w14:textId="77777777" w:rsidTr="00471707">
        <w:trPr>
          <w:trHeight w:val="230"/>
        </w:trPr>
        <w:tc>
          <w:tcPr>
            <w:tcW w:w="3231" w:type="dxa"/>
            <w:gridSpan w:val="4"/>
          </w:tcPr>
          <w:p w14:paraId="093D1B53" w14:textId="77777777" w:rsidR="00C719DC" w:rsidRPr="00212F30" w:rsidRDefault="00C719DC" w:rsidP="00471707">
            <w:pPr>
              <w:tabs>
                <w:tab w:val="right" w:pos="9180"/>
              </w:tabs>
              <w:ind w:right="-360"/>
            </w:pPr>
          </w:p>
        </w:tc>
        <w:tc>
          <w:tcPr>
            <w:tcW w:w="537" w:type="dxa"/>
          </w:tcPr>
          <w:p w14:paraId="084E061D" w14:textId="77777777" w:rsidR="00C719DC" w:rsidRPr="00212F30" w:rsidRDefault="00C719DC" w:rsidP="00471707">
            <w:pPr>
              <w:tabs>
                <w:tab w:val="decimal" w:pos="882"/>
                <w:tab w:val="right" w:pos="9180"/>
              </w:tabs>
              <w:ind w:right="-18"/>
            </w:pPr>
          </w:p>
        </w:tc>
        <w:tc>
          <w:tcPr>
            <w:tcW w:w="537" w:type="dxa"/>
          </w:tcPr>
          <w:p w14:paraId="344D3A89" w14:textId="77777777" w:rsidR="00C719DC" w:rsidRPr="00212F30" w:rsidRDefault="00C719DC" w:rsidP="00471707">
            <w:pPr>
              <w:tabs>
                <w:tab w:val="right" w:pos="9180"/>
              </w:tabs>
              <w:ind w:right="-360"/>
            </w:pPr>
          </w:p>
        </w:tc>
        <w:tc>
          <w:tcPr>
            <w:tcW w:w="1960" w:type="dxa"/>
          </w:tcPr>
          <w:p w14:paraId="11CB75DC" w14:textId="77777777" w:rsidR="00C719DC" w:rsidRPr="00212F30" w:rsidRDefault="00C719DC" w:rsidP="00471707">
            <w:pPr>
              <w:tabs>
                <w:tab w:val="right" w:pos="9180"/>
              </w:tabs>
              <w:ind w:right="-360"/>
            </w:pPr>
          </w:p>
        </w:tc>
        <w:tc>
          <w:tcPr>
            <w:tcW w:w="1782" w:type="dxa"/>
          </w:tcPr>
          <w:p w14:paraId="45753577" w14:textId="77777777" w:rsidR="00C719DC" w:rsidRPr="00212F30" w:rsidRDefault="00C719DC" w:rsidP="00471707">
            <w:pPr>
              <w:tabs>
                <w:tab w:val="decimal" w:pos="792"/>
                <w:tab w:val="right" w:pos="9180"/>
              </w:tabs>
              <w:ind w:right="-18"/>
            </w:pPr>
          </w:p>
        </w:tc>
        <w:tc>
          <w:tcPr>
            <w:tcW w:w="359" w:type="dxa"/>
          </w:tcPr>
          <w:p w14:paraId="3C90E714" w14:textId="77777777" w:rsidR="00C719DC" w:rsidRPr="00212F30" w:rsidRDefault="00C719DC" w:rsidP="00471707">
            <w:pPr>
              <w:tabs>
                <w:tab w:val="right" w:pos="9180"/>
              </w:tabs>
              <w:ind w:right="-360"/>
            </w:pPr>
          </w:p>
        </w:tc>
        <w:tc>
          <w:tcPr>
            <w:tcW w:w="1782" w:type="dxa"/>
          </w:tcPr>
          <w:p w14:paraId="1DFDC3BB" w14:textId="77777777" w:rsidR="00C719DC" w:rsidRPr="00912408" w:rsidRDefault="00C719DC" w:rsidP="00471707">
            <w:pPr>
              <w:tabs>
                <w:tab w:val="decimal" w:pos="702"/>
                <w:tab w:val="right" w:pos="9180"/>
              </w:tabs>
              <w:ind w:right="-18"/>
            </w:pPr>
          </w:p>
        </w:tc>
      </w:tr>
    </w:tbl>
    <w:p w14:paraId="3267369A" w14:textId="77777777" w:rsidR="00C719DC" w:rsidRDefault="00C719DC" w:rsidP="00C719DC">
      <w:pPr>
        <w:tabs>
          <w:tab w:val="left" w:pos="1080"/>
          <w:tab w:val="left" w:pos="1260"/>
          <w:tab w:val="left" w:pos="2340"/>
          <w:tab w:val="right" w:pos="9180"/>
        </w:tabs>
        <w:ind w:right="-360"/>
      </w:pPr>
    </w:p>
    <w:p w14:paraId="3CA67395" w14:textId="77777777" w:rsidR="00C719DC" w:rsidRDefault="00C719DC" w:rsidP="00C719DC">
      <w:pPr>
        <w:tabs>
          <w:tab w:val="left" w:pos="1080"/>
          <w:tab w:val="left" w:pos="1260"/>
          <w:tab w:val="left" w:pos="2340"/>
          <w:tab w:val="right" w:pos="9180"/>
        </w:tabs>
        <w:ind w:right="-360"/>
      </w:pPr>
    </w:p>
    <w:p w14:paraId="58ACF976" w14:textId="77777777" w:rsidR="00C719DC" w:rsidRDefault="00C719DC" w:rsidP="00C719DC">
      <w:pPr>
        <w:tabs>
          <w:tab w:val="left" w:pos="1080"/>
          <w:tab w:val="left" w:pos="1260"/>
          <w:tab w:val="left" w:pos="2340"/>
          <w:tab w:val="right" w:pos="9180"/>
        </w:tabs>
        <w:ind w:right="-360"/>
      </w:pPr>
    </w:p>
    <w:p w14:paraId="07D7E0CF" w14:textId="7802D935" w:rsidR="006E7CF8" w:rsidRDefault="006E7CF8" w:rsidP="00643C84">
      <w:pPr>
        <w:tabs>
          <w:tab w:val="left" w:pos="1080"/>
          <w:tab w:val="left" w:pos="1260"/>
          <w:tab w:val="left" w:pos="2340"/>
          <w:tab w:val="right" w:pos="9180"/>
        </w:tabs>
        <w:ind w:right="-360"/>
      </w:pPr>
    </w:p>
    <w:p w14:paraId="16883843" w14:textId="77777777" w:rsidR="00034E07" w:rsidRDefault="00034E07" w:rsidP="00643C84">
      <w:pPr>
        <w:tabs>
          <w:tab w:val="left" w:pos="1080"/>
          <w:tab w:val="left" w:pos="1260"/>
          <w:tab w:val="left" w:pos="2340"/>
          <w:tab w:val="right" w:pos="9180"/>
        </w:tabs>
        <w:ind w:right="-360"/>
      </w:pPr>
    </w:p>
    <w:p w14:paraId="5ECB4D72" w14:textId="77777777" w:rsidR="00034E07" w:rsidRDefault="00034E07"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r w:rsidRPr="00487CAB">
        <w:rPr>
          <w:b/>
        </w:rPr>
        <w:lastRenderedPageBreak/>
        <w:t>GEOVAX LABS, INC.</w:t>
      </w:r>
    </w:p>
    <w:p w14:paraId="5AB7F194" w14:textId="0BEB0153" w:rsidR="00487CAB" w:rsidRPr="00487CAB" w:rsidRDefault="00487CAB" w:rsidP="00487CAB">
      <w:pPr>
        <w:jc w:val="center"/>
        <w:rPr>
          <w:b/>
        </w:rPr>
      </w:pPr>
      <w:r w:rsidRPr="00487CAB">
        <w:rPr>
          <w:b/>
        </w:rPr>
        <w:t>CONDENSED CONSOLIDATED STATEMENTS OF CHANGES IN STOCKHOLDERS’ EQUITY</w:t>
      </w:r>
    </w:p>
    <w:p w14:paraId="5DBBABFB" w14:textId="77777777" w:rsidR="00487CAB" w:rsidRPr="00487CAB" w:rsidRDefault="00487CAB" w:rsidP="00487CAB">
      <w:pPr>
        <w:jc w:val="center"/>
        <w:rPr>
          <w:b/>
        </w:rPr>
      </w:pPr>
      <w:r w:rsidRPr="00487CAB">
        <w:rPr>
          <w:b/>
        </w:rPr>
        <w:t>(Unaudited)</w:t>
      </w:r>
    </w:p>
    <w:p w14:paraId="370EBB1C" w14:textId="77777777" w:rsidR="004F2810" w:rsidRDefault="004F2810" w:rsidP="00487CAB">
      <w:pPr>
        <w:tabs>
          <w:tab w:val="decimal" w:pos="1152"/>
          <w:tab w:val="left" w:pos="2340"/>
          <w:tab w:val="right" w:pos="9180"/>
        </w:tabs>
        <w:rPr>
          <w:snapToGrid w:val="0"/>
          <w:color w:val="000000"/>
        </w:rPr>
      </w:pPr>
    </w:p>
    <w:p w14:paraId="6EE0A0B5" w14:textId="77777777" w:rsidR="001D1BD8" w:rsidRDefault="001D1BD8" w:rsidP="001D1BD8">
      <w:pPr>
        <w:tabs>
          <w:tab w:val="decimal" w:pos="1152"/>
          <w:tab w:val="left" w:pos="2340"/>
          <w:tab w:val="right" w:pos="9180"/>
        </w:tabs>
        <w:rPr>
          <w:snapToGrid w:val="0"/>
          <w:color w:val="000000"/>
        </w:rPr>
      </w:pPr>
      <w:bookmarkStart w:id="10" w:name="_Hlk36562604"/>
    </w:p>
    <w:p w14:paraId="652B3693" w14:textId="77777777" w:rsidR="001D1BD8" w:rsidRDefault="001D1BD8" w:rsidP="001D1BD8">
      <w:pPr>
        <w:tabs>
          <w:tab w:val="decimal" w:pos="1152"/>
          <w:tab w:val="left" w:pos="2340"/>
          <w:tab w:val="right" w:pos="9180"/>
        </w:tabs>
        <w:rPr>
          <w:snapToGrid w:val="0"/>
          <w:color w:val="000000"/>
        </w:rPr>
      </w:pPr>
    </w:p>
    <w:tbl>
      <w:tblPr>
        <w:tblStyle w:val="TableGrid2"/>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720"/>
        <w:gridCol w:w="1440"/>
        <w:gridCol w:w="1170"/>
        <w:gridCol w:w="1440"/>
        <w:gridCol w:w="1440"/>
        <w:gridCol w:w="1710"/>
        <w:gridCol w:w="90"/>
      </w:tblGrid>
      <w:tr w:rsidR="001D1BD8" w:rsidRPr="00487CAB" w14:paraId="7E0F9ED1" w14:textId="77777777" w:rsidTr="00471707">
        <w:trPr>
          <w:gridAfter w:val="1"/>
          <w:wAfter w:w="90" w:type="dxa"/>
        </w:trPr>
        <w:tc>
          <w:tcPr>
            <w:tcW w:w="4410" w:type="dxa"/>
          </w:tcPr>
          <w:p w14:paraId="5A8D07C0"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6F6F45C9" w14:textId="77777777" w:rsidR="001D1BD8" w:rsidRPr="00487CAB" w:rsidRDefault="001D1BD8" w:rsidP="00471707">
            <w:pPr>
              <w:tabs>
                <w:tab w:val="decimal" w:pos="1148"/>
                <w:tab w:val="right" w:pos="9180"/>
              </w:tabs>
              <w:jc w:val="center"/>
              <w:rPr>
                <w:snapToGrid w:val="0"/>
                <w:color w:val="000000"/>
                <w:sz w:val="19"/>
                <w:szCs w:val="19"/>
              </w:rPr>
            </w:pPr>
          </w:p>
        </w:tc>
        <w:tc>
          <w:tcPr>
            <w:tcW w:w="7200" w:type="dxa"/>
            <w:gridSpan w:val="5"/>
            <w:tcBorders>
              <w:bottom w:val="single" w:sz="4" w:space="0" w:color="auto"/>
            </w:tcBorders>
          </w:tcPr>
          <w:p w14:paraId="1AD52596" w14:textId="5A752C2C"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Three Months Ended March 31, 2025</w:t>
            </w:r>
          </w:p>
        </w:tc>
      </w:tr>
      <w:tr w:rsidR="001D1BD8" w:rsidRPr="00487CAB" w14:paraId="0CC1C169" w14:textId="77777777" w:rsidTr="00471707">
        <w:tc>
          <w:tcPr>
            <w:tcW w:w="4410" w:type="dxa"/>
          </w:tcPr>
          <w:p w14:paraId="384CA206"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6EF0A1CF"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207C760A" w14:textId="77777777" w:rsidR="001D1BD8" w:rsidRPr="00487CAB" w:rsidRDefault="001D1BD8" w:rsidP="00471707">
            <w:pPr>
              <w:tabs>
                <w:tab w:val="decimal" w:pos="1148"/>
                <w:tab w:val="right" w:pos="9180"/>
              </w:tabs>
              <w:jc w:val="center"/>
              <w:rPr>
                <w:snapToGrid w:val="0"/>
                <w:color w:val="000000"/>
                <w:sz w:val="19"/>
                <w:szCs w:val="19"/>
              </w:rPr>
            </w:pPr>
          </w:p>
        </w:tc>
        <w:tc>
          <w:tcPr>
            <w:tcW w:w="1170" w:type="dxa"/>
            <w:tcBorders>
              <w:top w:val="single" w:sz="4" w:space="0" w:color="auto"/>
            </w:tcBorders>
          </w:tcPr>
          <w:p w14:paraId="61C93094"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7E597A86"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49BE61F0" w14:textId="77777777" w:rsidR="001D1BD8" w:rsidRPr="00487CAB" w:rsidRDefault="001D1BD8" w:rsidP="00471707">
            <w:pPr>
              <w:tabs>
                <w:tab w:val="right" w:pos="9180"/>
              </w:tabs>
              <w:jc w:val="center"/>
              <w:rPr>
                <w:snapToGrid w:val="0"/>
                <w:color w:val="000000"/>
                <w:sz w:val="19"/>
                <w:szCs w:val="19"/>
              </w:rPr>
            </w:pPr>
          </w:p>
        </w:tc>
        <w:tc>
          <w:tcPr>
            <w:tcW w:w="1800" w:type="dxa"/>
            <w:gridSpan w:val="2"/>
            <w:tcBorders>
              <w:top w:val="single" w:sz="4" w:space="0" w:color="auto"/>
            </w:tcBorders>
          </w:tcPr>
          <w:p w14:paraId="27C00663" w14:textId="77777777"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Total</w:t>
            </w:r>
          </w:p>
        </w:tc>
      </w:tr>
      <w:tr w:rsidR="001D1BD8" w:rsidRPr="00487CAB" w14:paraId="77511687" w14:textId="77777777" w:rsidTr="00471707">
        <w:tc>
          <w:tcPr>
            <w:tcW w:w="4410" w:type="dxa"/>
          </w:tcPr>
          <w:p w14:paraId="00258A87"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3B40050E" w14:textId="77777777" w:rsidR="001D1BD8" w:rsidRPr="00487CAB" w:rsidRDefault="001D1BD8" w:rsidP="00471707">
            <w:pPr>
              <w:tabs>
                <w:tab w:val="decimal" w:pos="1148"/>
                <w:tab w:val="right" w:pos="9180"/>
              </w:tabs>
              <w:jc w:val="center"/>
              <w:rPr>
                <w:snapToGrid w:val="0"/>
                <w:color w:val="000000"/>
                <w:sz w:val="19"/>
                <w:szCs w:val="19"/>
              </w:rPr>
            </w:pPr>
          </w:p>
        </w:tc>
        <w:tc>
          <w:tcPr>
            <w:tcW w:w="2610" w:type="dxa"/>
            <w:gridSpan w:val="2"/>
            <w:tcBorders>
              <w:bottom w:val="single" w:sz="4" w:space="0" w:color="auto"/>
            </w:tcBorders>
          </w:tcPr>
          <w:p w14:paraId="220EC3C7" w14:textId="77777777" w:rsidR="001D1BD8" w:rsidRPr="00487CAB" w:rsidRDefault="001D1BD8" w:rsidP="00471707">
            <w:pPr>
              <w:tabs>
                <w:tab w:val="decimal" w:pos="1148"/>
                <w:tab w:val="right" w:pos="9180"/>
              </w:tabs>
              <w:jc w:val="center"/>
              <w:rPr>
                <w:snapToGrid w:val="0"/>
                <w:color w:val="000000"/>
                <w:sz w:val="19"/>
                <w:szCs w:val="19"/>
              </w:rPr>
            </w:pPr>
            <w:r>
              <w:rPr>
                <w:snapToGrid w:val="0"/>
                <w:color w:val="000000"/>
                <w:sz w:val="19"/>
                <w:szCs w:val="19"/>
              </w:rPr>
              <w:t>Common Stock</w:t>
            </w:r>
          </w:p>
        </w:tc>
        <w:tc>
          <w:tcPr>
            <w:tcW w:w="1440" w:type="dxa"/>
          </w:tcPr>
          <w:p w14:paraId="2B797B6A" w14:textId="77777777" w:rsidR="001D1BD8" w:rsidRPr="00487CAB" w:rsidRDefault="001D1BD8" w:rsidP="00471707">
            <w:pPr>
              <w:tabs>
                <w:tab w:val="decimal" w:pos="1148"/>
                <w:tab w:val="right" w:pos="9180"/>
              </w:tabs>
              <w:jc w:val="center"/>
              <w:rPr>
                <w:snapToGrid w:val="0"/>
                <w:color w:val="000000"/>
                <w:sz w:val="19"/>
                <w:szCs w:val="19"/>
              </w:rPr>
            </w:pPr>
            <w:r>
              <w:rPr>
                <w:snapToGrid w:val="0"/>
                <w:color w:val="000000"/>
                <w:sz w:val="19"/>
                <w:szCs w:val="19"/>
              </w:rPr>
              <w:t>Additional</w:t>
            </w:r>
          </w:p>
        </w:tc>
        <w:tc>
          <w:tcPr>
            <w:tcW w:w="1440" w:type="dxa"/>
          </w:tcPr>
          <w:p w14:paraId="6E806E57" w14:textId="77777777" w:rsidR="001D1BD8" w:rsidRPr="00487CAB" w:rsidRDefault="001D1BD8" w:rsidP="00471707">
            <w:pPr>
              <w:tabs>
                <w:tab w:val="right" w:pos="9180"/>
              </w:tabs>
              <w:jc w:val="center"/>
              <w:rPr>
                <w:snapToGrid w:val="0"/>
                <w:color w:val="000000"/>
                <w:sz w:val="19"/>
                <w:szCs w:val="19"/>
              </w:rPr>
            </w:pPr>
            <w:r>
              <w:rPr>
                <w:snapToGrid w:val="0"/>
                <w:color w:val="000000"/>
                <w:sz w:val="19"/>
                <w:szCs w:val="19"/>
              </w:rPr>
              <w:t>Accumulated</w:t>
            </w:r>
          </w:p>
        </w:tc>
        <w:tc>
          <w:tcPr>
            <w:tcW w:w="1800" w:type="dxa"/>
            <w:gridSpan w:val="2"/>
          </w:tcPr>
          <w:p w14:paraId="501601D5" w14:textId="77777777"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Stockholders’</w:t>
            </w:r>
          </w:p>
        </w:tc>
      </w:tr>
      <w:tr w:rsidR="001D1BD8" w:rsidRPr="00487CAB" w14:paraId="005C4467" w14:textId="77777777" w:rsidTr="00471707">
        <w:tc>
          <w:tcPr>
            <w:tcW w:w="4410" w:type="dxa"/>
          </w:tcPr>
          <w:p w14:paraId="7CDA2430"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57AB3C0C"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bottom w:val="single" w:sz="4" w:space="0" w:color="auto"/>
            </w:tcBorders>
          </w:tcPr>
          <w:p w14:paraId="5F2B86E1"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23E23C82"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393807BE"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440" w:type="dxa"/>
            <w:tcBorders>
              <w:bottom w:val="single" w:sz="4" w:space="0" w:color="auto"/>
            </w:tcBorders>
          </w:tcPr>
          <w:p w14:paraId="358DC690" w14:textId="77777777" w:rsidR="001D1BD8" w:rsidRPr="00487CAB" w:rsidRDefault="001D1BD8" w:rsidP="00471707">
            <w:pPr>
              <w:tabs>
                <w:tab w:val="right" w:pos="9180"/>
              </w:tabs>
              <w:jc w:val="center"/>
              <w:rPr>
                <w:snapToGrid w:val="0"/>
                <w:color w:val="000000"/>
                <w:sz w:val="19"/>
                <w:szCs w:val="19"/>
              </w:rPr>
            </w:pPr>
            <w:r w:rsidRPr="00487CAB">
              <w:rPr>
                <w:snapToGrid w:val="0"/>
                <w:color w:val="000000"/>
                <w:sz w:val="19"/>
                <w:szCs w:val="19"/>
              </w:rPr>
              <w:t>Deficit</w:t>
            </w:r>
          </w:p>
        </w:tc>
        <w:tc>
          <w:tcPr>
            <w:tcW w:w="1800" w:type="dxa"/>
            <w:gridSpan w:val="2"/>
            <w:tcBorders>
              <w:bottom w:val="single" w:sz="4" w:space="0" w:color="auto"/>
            </w:tcBorders>
          </w:tcPr>
          <w:p w14:paraId="1B07412E" w14:textId="77777777" w:rsidR="001D1BD8" w:rsidRPr="00487CAB" w:rsidRDefault="001D1BD8" w:rsidP="00471707">
            <w:pPr>
              <w:tabs>
                <w:tab w:val="left" w:pos="2340"/>
                <w:tab w:val="right" w:pos="9180"/>
              </w:tabs>
              <w:jc w:val="center"/>
              <w:rPr>
                <w:snapToGrid w:val="0"/>
                <w:color w:val="000000"/>
                <w:sz w:val="19"/>
                <w:szCs w:val="19"/>
              </w:rPr>
            </w:pPr>
            <w:r w:rsidRPr="00487CAB">
              <w:rPr>
                <w:snapToGrid w:val="0"/>
                <w:color w:val="000000"/>
                <w:sz w:val="19"/>
                <w:szCs w:val="19"/>
              </w:rPr>
              <w:t>Equity</w:t>
            </w:r>
          </w:p>
        </w:tc>
      </w:tr>
      <w:tr w:rsidR="001D1BD8" w:rsidRPr="00487CAB" w14:paraId="60F51E9B" w14:textId="77777777" w:rsidTr="00471707">
        <w:tc>
          <w:tcPr>
            <w:tcW w:w="4410" w:type="dxa"/>
          </w:tcPr>
          <w:p w14:paraId="6EB8C9DB" w14:textId="31E80D85"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Balance at December 31, 20</w:t>
            </w:r>
            <w:r>
              <w:rPr>
                <w:snapToGrid w:val="0"/>
                <w:color w:val="000000"/>
                <w:sz w:val="19"/>
                <w:szCs w:val="19"/>
              </w:rPr>
              <w:t>24</w:t>
            </w:r>
          </w:p>
        </w:tc>
        <w:tc>
          <w:tcPr>
            <w:tcW w:w="720" w:type="dxa"/>
          </w:tcPr>
          <w:p w14:paraId="4224B75E"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159B6D17" w14:textId="141758FF"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10,536,875</w:t>
            </w:r>
          </w:p>
        </w:tc>
        <w:tc>
          <w:tcPr>
            <w:tcW w:w="1170" w:type="dxa"/>
          </w:tcPr>
          <w:p w14:paraId="06B4B9F7" w14:textId="16E83DD0"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10,537</w:t>
            </w:r>
          </w:p>
        </w:tc>
        <w:tc>
          <w:tcPr>
            <w:tcW w:w="1440" w:type="dxa"/>
          </w:tcPr>
          <w:p w14:paraId="5E4EEB75" w14:textId="18568C7E"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134,394,079</w:t>
            </w:r>
          </w:p>
        </w:tc>
        <w:tc>
          <w:tcPr>
            <w:tcW w:w="1440" w:type="dxa"/>
          </w:tcPr>
          <w:p w14:paraId="14ABC039" w14:textId="7BB2B958"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129,356,081</w:t>
            </w:r>
            <w:r w:rsidRPr="00487CAB">
              <w:rPr>
                <w:snapToGrid w:val="0"/>
                <w:color w:val="000000"/>
                <w:sz w:val="19"/>
                <w:szCs w:val="19"/>
              </w:rPr>
              <w:t>)</w:t>
            </w:r>
          </w:p>
        </w:tc>
        <w:tc>
          <w:tcPr>
            <w:tcW w:w="1800" w:type="dxa"/>
            <w:gridSpan w:val="2"/>
          </w:tcPr>
          <w:p w14:paraId="1BFA0095" w14:textId="699144F3"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5,048,535</w:t>
            </w:r>
          </w:p>
        </w:tc>
      </w:tr>
      <w:tr w:rsidR="001D1BD8" w:rsidRPr="00487CAB" w14:paraId="47D9E8D7" w14:textId="77777777" w:rsidTr="00471707">
        <w:tc>
          <w:tcPr>
            <w:tcW w:w="4410" w:type="dxa"/>
          </w:tcPr>
          <w:p w14:paraId="36A40F47" w14:textId="518E2A0C"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ab/>
            </w:r>
            <w:r w:rsidR="009E050B">
              <w:rPr>
                <w:snapToGrid w:val="0"/>
                <w:color w:val="000000"/>
                <w:sz w:val="19"/>
                <w:szCs w:val="19"/>
              </w:rPr>
              <w:t>Sale of common stock and warrants for cash</w:t>
            </w:r>
          </w:p>
        </w:tc>
        <w:tc>
          <w:tcPr>
            <w:tcW w:w="720" w:type="dxa"/>
          </w:tcPr>
          <w:p w14:paraId="4EEAF102"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262CA7E1" w14:textId="591F59CF"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3,302,603</w:t>
            </w:r>
          </w:p>
        </w:tc>
        <w:tc>
          <w:tcPr>
            <w:tcW w:w="1170" w:type="dxa"/>
          </w:tcPr>
          <w:p w14:paraId="1A312786" w14:textId="1C7D7475"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3,302</w:t>
            </w:r>
          </w:p>
        </w:tc>
        <w:tc>
          <w:tcPr>
            <w:tcW w:w="1440" w:type="dxa"/>
          </w:tcPr>
          <w:p w14:paraId="6AC60FC7" w14:textId="67A101C4"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7,911,100</w:t>
            </w:r>
          </w:p>
        </w:tc>
        <w:tc>
          <w:tcPr>
            <w:tcW w:w="1440" w:type="dxa"/>
          </w:tcPr>
          <w:p w14:paraId="4B5825CD" w14:textId="77777777"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gridSpan w:val="2"/>
          </w:tcPr>
          <w:p w14:paraId="0FAF0184" w14:textId="662EC137"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7,914,402</w:t>
            </w:r>
          </w:p>
        </w:tc>
      </w:tr>
      <w:tr w:rsidR="001D1BD8" w:rsidRPr="00487CAB" w14:paraId="7E52F8E8" w14:textId="77777777" w:rsidTr="00471707">
        <w:tc>
          <w:tcPr>
            <w:tcW w:w="4410" w:type="dxa"/>
          </w:tcPr>
          <w:p w14:paraId="1565942B" w14:textId="77777777" w:rsidR="001D1BD8" w:rsidRDefault="001D1BD8" w:rsidP="00471707">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720" w:type="dxa"/>
          </w:tcPr>
          <w:p w14:paraId="74F1E413" w14:textId="77777777" w:rsidR="001D1BD8"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7EC79E6A"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4B154FE7"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0BA73374" w14:textId="4C280E89"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514BA">
              <w:rPr>
                <w:snapToGrid w:val="0"/>
                <w:color w:val="000000"/>
                <w:sz w:val="19"/>
                <w:szCs w:val="19"/>
              </w:rPr>
              <w:t>292,744</w:t>
            </w:r>
          </w:p>
        </w:tc>
        <w:tc>
          <w:tcPr>
            <w:tcW w:w="1440" w:type="dxa"/>
          </w:tcPr>
          <w:p w14:paraId="286D9726" w14:textId="77777777" w:rsidR="001D1BD8" w:rsidRPr="00636549" w:rsidRDefault="001D1BD8" w:rsidP="00471707">
            <w:pPr>
              <w:pStyle w:val="ListParagraph"/>
              <w:numPr>
                <w:ilvl w:val="0"/>
                <w:numId w:val="9"/>
              </w:numPr>
              <w:tabs>
                <w:tab w:val="decimal" w:pos="1150"/>
                <w:tab w:val="left" w:pos="2340"/>
                <w:tab w:val="right" w:pos="9180"/>
              </w:tabs>
              <w:rPr>
                <w:snapToGrid w:val="0"/>
                <w:color w:val="000000"/>
                <w:sz w:val="19"/>
                <w:szCs w:val="19"/>
              </w:rPr>
            </w:pPr>
          </w:p>
        </w:tc>
        <w:tc>
          <w:tcPr>
            <w:tcW w:w="1800" w:type="dxa"/>
            <w:gridSpan w:val="2"/>
          </w:tcPr>
          <w:p w14:paraId="0F4C5484" w14:textId="5F6CB588" w:rsidR="001D1BD8" w:rsidRDefault="001D1BD8" w:rsidP="00471707">
            <w:pPr>
              <w:tabs>
                <w:tab w:val="decimal" w:pos="1418"/>
                <w:tab w:val="right" w:pos="9180"/>
              </w:tabs>
              <w:rPr>
                <w:snapToGrid w:val="0"/>
                <w:color w:val="000000"/>
                <w:sz w:val="19"/>
                <w:szCs w:val="19"/>
              </w:rPr>
            </w:pPr>
            <w:r>
              <w:rPr>
                <w:snapToGrid w:val="0"/>
                <w:color w:val="000000"/>
                <w:sz w:val="19"/>
                <w:szCs w:val="19"/>
              </w:rPr>
              <w:tab/>
            </w:r>
            <w:r w:rsidR="004514BA">
              <w:rPr>
                <w:snapToGrid w:val="0"/>
                <w:color w:val="000000"/>
                <w:sz w:val="19"/>
                <w:szCs w:val="19"/>
              </w:rPr>
              <w:t>292,744</w:t>
            </w:r>
          </w:p>
        </w:tc>
      </w:tr>
      <w:tr w:rsidR="001D1BD8" w:rsidRPr="00487CAB" w14:paraId="3A82E059" w14:textId="77777777" w:rsidTr="00471707">
        <w:tc>
          <w:tcPr>
            <w:tcW w:w="4410" w:type="dxa"/>
          </w:tcPr>
          <w:p w14:paraId="5023DBE2" w14:textId="06D89452"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25</w:t>
            </w:r>
          </w:p>
        </w:tc>
        <w:tc>
          <w:tcPr>
            <w:tcW w:w="720" w:type="dxa"/>
          </w:tcPr>
          <w:p w14:paraId="0AB753D5"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Borders>
              <w:bottom w:val="single" w:sz="4" w:space="0" w:color="auto"/>
            </w:tcBorders>
          </w:tcPr>
          <w:p w14:paraId="3617C6FB"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939524A"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716C92F"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030E3EC" w14:textId="0186E9E4"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(5,</w:t>
            </w:r>
            <w:r w:rsidR="00232ECE">
              <w:rPr>
                <w:snapToGrid w:val="0"/>
                <w:color w:val="000000"/>
                <w:sz w:val="19"/>
                <w:szCs w:val="19"/>
              </w:rPr>
              <w:t>357,651</w:t>
            </w:r>
            <w:r w:rsidR="004514BA">
              <w:rPr>
                <w:snapToGrid w:val="0"/>
                <w:color w:val="000000"/>
                <w:sz w:val="19"/>
                <w:szCs w:val="19"/>
              </w:rPr>
              <w:t>)</w:t>
            </w:r>
          </w:p>
        </w:tc>
        <w:tc>
          <w:tcPr>
            <w:tcW w:w="1800" w:type="dxa"/>
            <w:gridSpan w:val="2"/>
            <w:tcBorders>
              <w:bottom w:val="single" w:sz="4" w:space="0" w:color="auto"/>
            </w:tcBorders>
          </w:tcPr>
          <w:p w14:paraId="6EA49206" w14:textId="2CC5F4C8"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(5,</w:t>
            </w:r>
            <w:r w:rsidR="00232ECE">
              <w:rPr>
                <w:snapToGrid w:val="0"/>
                <w:color w:val="000000"/>
                <w:sz w:val="19"/>
                <w:szCs w:val="19"/>
              </w:rPr>
              <w:t>357,651</w:t>
            </w:r>
            <w:r w:rsidR="004514BA">
              <w:rPr>
                <w:snapToGrid w:val="0"/>
                <w:color w:val="000000"/>
                <w:sz w:val="19"/>
                <w:szCs w:val="19"/>
              </w:rPr>
              <w:t>)</w:t>
            </w:r>
          </w:p>
        </w:tc>
      </w:tr>
      <w:tr w:rsidR="001D1BD8" w:rsidRPr="00487CAB" w14:paraId="4CBB3151" w14:textId="77777777" w:rsidTr="00471707">
        <w:tc>
          <w:tcPr>
            <w:tcW w:w="4410" w:type="dxa"/>
          </w:tcPr>
          <w:p w14:paraId="49E59B69" w14:textId="5970C63A"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Balance at March 31, 20</w:t>
            </w:r>
            <w:r>
              <w:rPr>
                <w:snapToGrid w:val="0"/>
                <w:color w:val="000000"/>
                <w:sz w:val="19"/>
                <w:szCs w:val="19"/>
              </w:rPr>
              <w:t>25</w:t>
            </w:r>
          </w:p>
        </w:tc>
        <w:tc>
          <w:tcPr>
            <w:tcW w:w="720" w:type="dxa"/>
          </w:tcPr>
          <w:p w14:paraId="0887E643"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Borders>
              <w:top w:val="single" w:sz="4" w:space="0" w:color="auto"/>
              <w:bottom w:val="double" w:sz="4" w:space="0" w:color="auto"/>
            </w:tcBorders>
          </w:tcPr>
          <w:p w14:paraId="60994705" w14:textId="55D7FF19"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514BA">
              <w:rPr>
                <w:snapToGrid w:val="0"/>
                <w:color w:val="000000"/>
                <w:sz w:val="19"/>
                <w:szCs w:val="19"/>
              </w:rPr>
              <w:t>13,839,478</w:t>
            </w:r>
          </w:p>
        </w:tc>
        <w:tc>
          <w:tcPr>
            <w:tcW w:w="1170" w:type="dxa"/>
            <w:tcBorders>
              <w:top w:val="single" w:sz="4" w:space="0" w:color="auto"/>
              <w:bottom w:val="double" w:sz="4" w:space="0" w:color="auto"/>
            </w:tcBorders>
          </w:tcPr>
          <w:p w14:paraId="73466ADF" w14:textId="415DD50B"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4514BA">
              <w:rPr>
                <w:snapToGrid w:val="0"/>
                <w:color w:val="000000"/>
                <w:sz w:val="19"/>
                <w:szCs w:val="19"/>
              </w:rPr>
              <w:t>13,839</w:t>
            </w:r>
          </w:p>
        </w:tc>
        <w:tc>
          <w:tcPr>
            <w:tcW w:w="1440" w:type="dxa"/>
            <w:tcBorders>
              <w:top w:val="single" w:sz="4" w:space="0" w:color="auto"/>
              <w:bottom w:val="double" w:sz="4" w:space="0" w:color="auto"/>
            </w:tcBorders>
          </w:tcPr>
          <w:p w14:paraId="6F7EE7F7" w14:textId="43CEA19F"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4514BA">
              <w:rPr>
                <w:snapToGrid w:val="0"/>
                <w:color w:val="000000"/>
                <w:sz w:val="19"/>
                <w:szCs w:val="19"/>
              </w:rPr>
              <w:t>142,597,923</w:t>
            </w:r>
          </w:p>
        </w:tc>
        <w:tc>
          <w:tcPr>
            <w:tcW w:w="1440" w:type="dxa"/>
            <w:tcBorders>
              <w:top w:val="single" w:sz="4" w:space="0" w:color="auto"/>
              <w:bottom w:val="double" w:sz="4" w:space="0" w:color="auto"/>
            </w:tcBorders>
          </w:tcPr>
          <w:p w14:paraId="7295F1C7" w14:textId="2AB6FBC6" w:rsidR="001D1BD8" w:rsidRPr="00487CAB" w:rsidRDefault="001D1BD8" w:rsidP="00471707">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4514BA">
              <w:rPr>
                <w:snapToGrid w:val="0"/>
                <w:color w:val="000000"/>
                <w:sz w:val="19"/>
                <w:szCs w:val="19"/>
              </w:rPr>
              <w:t>(13</w:t>
            </w:r>
            <w:r w:rsidR="00232ECE">
              <w:rPr>
                <w:snapToGrid w:val="0"/>
                <w:color w:val="000000"/>
                <w:sz w:val="19"/>
                <w:szCs w:val="19"/>
              </w:rPr>
              <w:t>4,713,732</w:t>
            </w:r>
            <w:r w:rsidR="004514BA">
              <w:rPr>
                <w:snapToGrid w:val="0"/>
                <w:color w:val="000000"/>
                <w:sz w:val="19"/>
                <w:szCs w:val="19"/>
              </w:rPr>
              <w:t>)</w:t>
            </w:r>
          </w:p>
        </w:tc>
        <w:tc>
          <w:tcPr>
            <w:tcW w:w="1800" w:type="dxa"/>
            <w:gridSpan w:val="2"/>
            <w:tcBorders>
              <w:top w:val="single" w:sz="4" w:space="0" w:color="auto"/>
              <w:bottom w:val="double" w:sz="4" w:space="0" w:color="auto"/>
            </w:tcBorders>
          </w:tcPr>
          <w:p w14:paraId="7D6953A7" w14:textId="562A2AC0" w:rsidR="001D1BD8" w:rsidRPr="00487CAB" w:rsidRDefault="001D1BD8" w:rsidP="00471707">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232ECE">
              <w:rPr>
                <w:snapToGrid w:val="0"/>
                <w:color w:val="000000"/>
                <w:sz w:val="19"/>
                <w:szCs w:val="19"/>
              </w:rPr>
              <w:t>7,898,030</w:t>
            </w:r>
          </w:p>
        </w:tc>
      </w:tr>
    </w:tbl>
    <w:p w14:paraId="621A77E9" w14:textId="77777777" w:rsidR="001D1BD8" w:rsidRDefault="001D1BD8" w:rsidP="001D1BD8">
      <w:pPr>
        <w:tabs>
          <w:tab w:val="decimal" w:pos="1152"/>
          <w:tab w:val="left" w:pos="2340"/>
          <w:tab w:val="right" w:pos="9180"/>
        </w:tabs>
        <w:rPr>
          <w:snapToGrid w:val="0"/>
          <w:color w:val="000000"/>
        </w:rPr>
      </w:pPr>
    </w:p>
    <w:p w14:paraId="6FCBE055" w14:textId="77777777" w:rsidR="001D1BD8" w:rsidRDefault="001D1BD8" w:rsidP="001D1BD8">
      <w:pPr>
        <w:tabs>
          <w:tab w:val="decimal" w:pos="1152"/>
          <w:tab w:val="left" w:pos="2340"/>
          <w:tab w:val="right" w:pos="9180"/>
        </w:tabs>
        <w:rPr>
          <w:snapToGrid w:val="0"/>
          <w:color w:val="000000"/>
        </w:rPr>
      </w:pPr>
    </w:p>
    <w:tbl>
      <w:tblPr>
        <w:tblStyle w:val="TableGrid2"/>
        <w:tblW w:w="12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720"/>
        <w:gridCol w:w="1440"/>
        <w:gridCol w:w="1170"/>
        <w:gridCol w:w="1440"/>
        <w:gridCol w:w="1440"/>
        <w:gridCol w:w="1710"/>
        <w:gridCol w:w="90"/>
      </w:tblGrid>
      <w:tr w:rsidR="001D1BD8" w:rsidRPr="00487CAB" w14:paraId="62372F21" w14:textId="77777777" w:rsidTr="00471707">
        <w:trPr>
          <w:gridAfter w:val="1"/>
          <w:wAfter w:w="90" w:type="dxa"/>
        </w:trPr>
        <w:tc>
          <w:tcPr>
            <w:tcW w:w="4410" w:type="dxa"/>
          </w:tcPr>
          <w:p w14:paraId="45D987DC"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453DD053" w14:textId="77777777" w:rsidR="001D1BD8" w:rsidRPr="00487CAB" w:rsidRDefault="001D1BD8" w:rsidP="00471707">
            <w:pPr>
              <w:tabs>
                <w:tab w:val="decimal" w:pos="1148"/>
                <w:tab w:val="right" w:pos="9180"/>
              </w:tabs>
              <w:jc w:val="center"/>
              <w:rPr>
                <w:snapToGrid w:val="0"/>
                <w:color w:val="000000"/>
                <w:sz w:val="19"/>
                <w:szCs w:val="19"/>
              </w:rPr>
            </w:pPr>
          </w:p>
        </w:tc>
        <w:tc>
          <w:tcPr>
            <w:tcW w:w="7200" w:type="dxa"/>
            <w:gridSpan w:val="5"/>
            <w:tcBorders>
              <w:bottom w:val="single" w:sz="4" w:space="0" w:color="auto"/>
            </w:tcBorders>
          </w:tcPr>
          <w:p w14:paraId="6F6DCBFA" w14:textId="77777777"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Three Months Ended March 31, 2024</w:t>
            </w:r>
          </w:p>
        </w:tc>
      </w:tr>
      <w:tr w:rsidR="001D1BD8" w:rsidRPr="00487CAB" w14:paraId="4F19F485" w14:textId="77777777" w:rsidTr="00471707">
        <w:tc>
          <w:tcPr>
            <w:tcW w:w="4410" w:type="dxa"/>
          </w:tcPr>
          <w:p w14:paraId="7A17E1D2"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013F3785"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7141911A" w14:textId="77777777" w:rsidR="001D1BD8" w:rsidRPr="00487CAB" w:rsidRDefault="001D1BD8" w:rsidP="00471707">
            <w:pPr>
              <w:tabs>
                <w:tab w:val="decimal" w:pos="1148"/>
                <w:tab w:val="right" w:pos="9180"/>
              </w:tabs>
              <w:jc w:val="center"/>
              <w:rPr>
                <w:snapToGrid w:val="0"/>
                <w:color w:val="000000"/>
                <w:sz w:val="19"/>
                <w:szCs w:val="19"/>
              </w:rPr>
            </w:pPr>
          </w:p>
        </w:tc>
        <w:tc>
          <w:tcPr>
            <w:tcW w:w="1170" w:type="dxa"/>
            <w:tcBorders>
              <w:top w:val="single" w:sz="4" w:space="0" w:color="auto"/>
            </w:tcBorders>
          </w:tcPr>
          <w:p w14:paraId="7B687D97"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72A70BDA"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top w:val="single" w:sz="4" w:space="0" w:color="auto"/>
            </w:tcBorders>
          </w:tcPr>
          <w:p w14:paraId="0D7EB018" w14:textId="77777777" w:rsidR="001D1BD8" w:rsidRPr="00487CAB" w:rsidRDefault="001D1BD8" w:rsidP="00471707">
            <w:pPr>
              <w:tabs>
                <w:tab w:val="right" w:pos="9180"/>
              </w:tabs>
              <w:jc w:val="center"/>
              <w:rPr>
                <w:snapToGrid w:val="0"/>
                <w:color w:val="000000"/>
                <w:sz w:val="19"/>
                <w:szCs w:val="19"/>
              </w:rPr>
            </w:pPr>
          </w:p>
        </w:tc>
        <w:tc>
          <w:tcPr>
            <w:tcW w:w="1800" w:type="dxa"/>
            <w:gridSpan w:val="2"/>
            <w:tcBorders>
              <w:top w:val="single" w:sz="4" w:space="0" w:color="auto"/>
            </w:tcBorders>
          </w:tcPr>
          <w:p w14:paraId="503652F9" w14:textId="77777777"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Total</w:t>
            </w:r>
          </w:p>
        </w:tc>
      </w:tr>
      <w:tr w:rsidR="001D1BD8" w:rsidRPr="00487CAB" w14:paraId="0CA3B26A" w14:textId="77777777" w:rsidTr="00471707">
        <w:tc>
          <w:tcPr>
            <w:tcW w:w="4410" w:type="dxa"/>
          </w:tcPr>
          <w:p w14:paraId="31C678E5"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2618B638" w14:textId="77777777" w:rsidR="001D1BD8" w:rsidRPr="00487CAB" w:rsidRDefault="001D1BD8" w:rsidP="00471707">
            <w:pPr>
              <w:tabs>
                <w:tab w:val="decimal" w:pos="1148"/>
                <w:tab w:val="right" w:pos="9180"/>
              </w:tabs>
              <w:jc w:val="center"/>
              <w:rPr>
                <w:snapToGrid w:val="0"/>
                <w:color w:val="000000"/>
                <w:sz w:val="19"/>
                <w:szCs w:val="19"/>
              </w:rPr>
            </w:pPr>
          </w:p>
        </w:tc>
        <w:tc>
          <w:tcPr>
            <w:tcW w:w="2610" w:type="dxa"/>
            <w:gridSpan w:val="2"/>
            <w:tcBorders>
              <w:bottom w:val="single" w:sz="4" w:space="0" w:color="auto"/>
            </w:tcBorders>
          </w:tcPr>
          <w:p w14:paraId="1D1351B2" w14:textId="77777777" w:rsidR="001D1BD8" w:rsidRPr="00487CAB" w:rsidRDefault="001D1BD8" w:rsidP="00471707">
            <w:pPr>
              <w:tabs>
                <w:tab w:val="decimal" w:pos="1148"/>
                <w:tab w:val="right" w:pos="9180"/>
              </w:tabs>
              <w:jc w:val="center"/>
              <w:rPr>
                <w:snapToGrid w:val="0"/>
                <w:color w:val="000000"/>
                <w:sz w:val="19"/>
                <w:szCs w:val="19"/>
              </w:rPr>
            </w:pPr>
            <w:r>
              <w:rPr>
                <w:snapToGrid w:val="0"/>
                <w:color w:val="000000"/>
                <w:sz w:val="19"/>
                <w:szCs w:val="19"/>
              </w:rPr>
              <w:t>Common Stock</w:t>
            </w:r>
          </w:p>
        </w:tc>
        <w:tc>
          <w:tcPr>
            <w:tcW w:w="1440" w:type="dxa"/>
          </w:tcPr>
          <w:p w14:paraId="0931DADB" w14:textId="77777777" w:rsidR="001D1BD8" w:rsidRPr="00487CAB" w:rsidRDefault="001D1BD8" w:rsidP="00471707">
            <w:pPr>
              <w:tabs>
                <w:tab w:val="decimal" w:pos="1148"/>
                <w:tab w:val="right" w:pos="9180"/>
              </w:tabs>
              <w:jc w:val="center"/>
              <w:rPr>
                <w:snapToGrid w:val="0"/>
                <w:color w:val="000000"/>
                <w:sz w:val="19"/>
                <w:szCs w:val="19"/>
              </w:rPr>
            </w:pPr>
            <w:r>
              <w:rPr>
                <w:snapToGrid w:val="0"/>
                <w:color w:val="000000"/>
                <w:sz w:val="19"/>
                <w:szCs w:val="19"/>
              </w:rPr>
              <w:t>Additional</w:t>
            </w:r>
          </w:p>
        </w:tc>
        <w:tc>
          <w:tcPr>
            <w:tcW w:w="1440" w:type="dxa"/>
          </w:tcPr>
          <w:p w14:paraId="58A5B815" w14:textId="77777777" w:rsidR="001D1BD8" w:rsidRPr="00487CAB" w:rsidRDefault="001D1BD8" w:rsidP="00471707">
            <w:pPr>
              <w:tabs>
                <w:tab w:val="right" w:pos="9180"/>
              </w:tabs>
              <w:jc w:val="center"/>
              <w:rPr>
                <w:snapToGrid w:val="0"/>
                <w:color w:val="000000"/>
                <w:sz w:val="19"/>
                <w:szCs w:val="19"/>
              </w:rPr>
            </w:pPr>
            <w:r>
              <w:rPr>
                <w:snapToGrid w:val="0"/>
                <w:color w:val="000000"/>
                <w:sz w:val="19"/>
                <w:szCs w:val="19"/>
              </w:rPr>
              <w:t>Accumulated</w:t>
            </w:r>
          </w:p>
        </w:tc>
        <w:tc>
          <w:tcPr>
            <w:tcW w:w="1800" w:type="dxa"/>
            <w:gridSpan w:val="2"/>
          </w:tcPr>
          <w:p w14:paraId="6893E421" w14:textId="77777777" w:rsidR="001D1BD8" w:rsidRPr="00487CAB" w:rsidRDefault="001D1BD8" w:rsidP="00471707">
            <w:pPr>
              <w:tabs>
                <w:tab w:val="left" w:pos="2340"/>
                <w:tab w:val="right" w:pos="9180"/>
              </w:tabs>
              <w:jc w:val="center"/>
              <w:rPr>
                <w:snapToGrid w:val="0"/>
                <w:color w:val="000000"/>
                <w:sz w:val="19"/>
                <w:szCs w:val="19"/>
              </w:rPr>
            </w:pPr>
            <w:r>
              <w:rPr>
                <w:snapToGrid w:val="0"/>
                <w:color w:val="000000"/>
                <w:sz w:val="19"/>
                <w:szCs w:val="19"/>
              </w:rPr>
              <w:t>Stockholders’</w:t>
            </w:r>
          </w:p>
        </w:tc>
      </w:tr>
      <w:tr w:rsidR="001D1BD8" w:rsidRPr="00487CAB" w14:paraId="7D2C7368" w14:textId="77777777" w:rsidTr="00471707">
        <w:tc>
          <w:tcPr>
            <w:tcW w:w="4410" w:type="dxa"/>
          </w:tcPr>
          <w:p w14:paraId="7F00399C" w14:textId="77777777" w:rsidR="001D1BD8" w:rsidRPr="00487CAB" w:rsidRDefault="001D1BD8" w:rsidP="00471707">
            <w:pPr>
              <w:tabs>
                <w:tab w:val="left" w:pos="144"/>
                <w:tab w:val="left" w:pos="324"/>
                <w:tab w:val="right" w:pos="9180"/>
              </w:tabs>
              <w:rPr>
                <w:snapToGrid w:val="0"/>
                <w:color w:val="000000"/>
                <w:sz w:val="19"/>
                <w:szCs w:val="19"/>
              </w:rPr>
            </w:pPr>
          </w:p>
        </w:tc>
        <w:tc>
          <w:tcPr>
            <w:tcW w:w="720" w:type="dxa"/>
          </w:tcPr>
          <w:p w14:paraId="46AF2336" w14:textId="77777777" w:rsidR="001D1BD8" w:rsidRPr="00487CAB" w:rsidRDefault="001D1BD8" w:rsidP="00471707">
            <w:pPr>
              <w:tabs>
                <w:tab w:val="decimal" w:pos="1148"/>
                <w:tab w:val="right" w:pos="9180"/>
              </w:tabs>
              <w:jc w:val="center"/>
              <w:rPr>
                <w:snapToGrid w:val="0"/>
                <w:color w:val="000000"/>
                <w:sz w:val="19"/>
                <w:szCs w:val="19"/>
              </w:rPr>
            </w:pPr>
          </w:p>
        </w:tc>
        <w:tc>
          <w:tcPr>
            <w:tcW w:w="1440" w:type="dxa"/>
            <w:tcBorders>
              <w:bottom w:val="single" w:sz="4" w:space="0" w:color="auto"/>
            </w:tcBorders>
          </w:tcPr>
          <w:p w14:paraId="47E6AD1A"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778B9A28"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41A5D6F5" w14:textId="77777777" w:rsidR="001D1BD8" w:rsidRPr="00487CAB" w:rsidRDefault="001D1BD8" w:rsidP="00471707">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440" w:type="dxa"/>
            <w:tcBorders>
              <w:bottom w:val="single" w:sz="4" w:space="0" w:color="auto"/>
            </w:tcBorders>
          </w:tcPr>
          <w:p w14:paraId="12345A89" w14:textId="77777777" w:rsidR="001D1BD8" w:rsidRPr="00487CAB" w:rsidRDefault="001D1BD8" w:rsidP="00471707">
            <w:pPr>
              <w:tabs>
                <w:tab w:val="right" w:pos="9180"/>
              </w:tabs>
              <w:jc w:val="center"/>
              <w:rPr>
                <w:snapToGrid w:val="0"/>
                <w:color w:val="000000"/>
                <w:sz w:val="19"/>
                <w:szCs w:val="19"/>
              </w:rPr>
            </w:pPr>
            <w:r w:rsidRPr="00487CAB">
              <w:rPr>
                <w:snapToGrid w:val="0"/>
                <w:color w:val="000000"/>
                <w:sz w:val="19"/>
                <w:szCs w:val="19"/>
              </w:rPr>
              <w:t>Deficit</w:t>
            </w:r>
          </w:p>
        </w:tc>
        <w:tc>
          <w:tcPr>
            <w:tcW w:w="1800" w:type="dxa"/>
            <w:gridSpan w:val="2"/>
            <w:tcBorders>
              <w:bottom w:val="single" w:sz="4" w:space="0" w:color="auto"/>
            </w:tcBorders>
          </w:tcPr>
          <w:p w14:paraId="7D81F1F6" w14:textId="77777777" w:rsidR="001D1BD8" w:rsidRPr="00487CAB" w:rsidRDefault="001D1BD8" w:rsidP="00471707">
            <w:pPr>
              <w:tabs>
                <w:tab w:val="left" w:pos="2340"/>
                <w:tab w:val="right" w:pos="9180"/>
              </w:tabs>
              <w:jc w:val="center"/>
              <w:rPr>
                <w:snapToGrid w:val="0"/>
                <w:color w:val="000000"/>
                <w:sz w:val="19"/>
                <w:szCs w:val="19"/>
              </w:rPr>
            </w:pPr>
            <w:r w:rsidRPr="00487CAB">
              <w:rPr>
                <w:snapToGrid w:val="0"/>
                <w:color w:val="000000"/>
                <w:sz w:val="19"/>
                <w:szCs w:val="19"/>
              </w:rPr>
              <w:t>Equity</w:t>
            </w:r>
          </w:p>
        </w:tc>
      </w:tr>
      <w:tr w:rsidR="001D1BD8" w:rsidRPr="00487CAB" w14:paraId="392A273F" w14:textId="77777777" w:rsidTr="00471707">
        <w:tc>
          <w:tcPr>
            <w:tcW w:w="4410" w:type="dxa"/>
          </w:tcPr>
          <w:p w14:paraId="2D546587" w14:textId="77777777"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Balance at December 31, 20</w:t>
            </w:r>
            <w:r>
              <w:rPr>
                <w:snapToGrid w:val="0"/>
                <w:color w:val="000000"/>
                <w:sz w:val="19"/>
                <w:szCs w:val="19"/>
              </w:rPr>
              <w:t>23</w:t>
            </w:r>
          </w:p>
        </w:tc>
        <w:tc>
          <w:tcPr>
            <w:tcW w:w="720" w:type="dxa"/>
          </w:tcPr>
          <w:p w14:paraId="19C7B28E"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1D19A224"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1,977,152</w:t>
            </w:r>
          </w:p>
        </w:tc>
        <w:tc>
          <w:tcPr>
            <w:tcW w:w="1170" w:type="dxa"/>
          </w:tcPr>
          <w:p w14:paraId="7B6E0D86"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1,977</w:t>
            </w:r>
          </w:p>
        </w:tc>
        <w:tc>
          <w:tcPr>
            <w:tcW w:w="1440" w:type="dxa"/>
          </w:tcPr>
          <w:p w14:paraId="4809D4B3"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110,125,146</w:t>
            </w:r>
          </w:p>
        </w:tc>
        <w:tc>
          <w:tcPr>
            <w:tcW w:w="1440" w:type="dxa"/>
          </w:tcPr>
          <w:p w14:paraId="3C31BD28" w14:textId="77777777"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104,363,785</w:t>
            </w:r>
            <w:r w:rsidRPr="00487CAB">
              <w:rPr>
                <w:snapToGrid w:val="0"/>
                <w:color w:val="000000"/>
                <w:sz w:val="19"/>
                <w:szCs w:val="19"/>
              </w:rPr>
              <w:t>)</w:t>
            </w:r>
          </w:p>
        </w:tc>
        <w:tc>
          <w:tcPr>
            <w:tcW w:w="1800" w:type="dxa"/>
            <w:gridSpan w:val="2"/>
          </w:tcPr>
          <w:p w14:paraId="5B32711C" w14:textId="77777777"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5,763,338</w:t>
            </w:r>
          </w:p>
        </w:tc>
      </w:tr>
      <w:tr w:rsidR="001D1BD8" w:rsidRPr="00487CAB" w14:paraId="0A9C94E7" w14:textId="77777777" w:rsidTr="00471707">
        <w:tc>
          <w:tcPr>
            <w:tcW w:w="4410" w:type="dxa"/>
          </w:tcPr>
          <w:p w14:paraId="21308131" w14:textId="77777777"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ab/>
            </w:r>
            <w:r>
              <w:rPr>
                <w:snapToGrid w:val="0"/>
                <w:color w:val="000000"/>
                <w:sz w:val="19"/>
                <w:szCs w:val="19"/>
              </w:rPr>
              <w:t>Issuance of common stock for services</w:t>
            </w:r>
          </w:p>
        </w:tc>
        <w:tc>
          <w:tcPr>
            <w:tcW w:w="720" w:type="dxa"/>
          </w:tcPr>
          <w:p w14:paraId="5CD8FE74"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0BA69730"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6,703</w:t>
            </w:r>
          </w:p>
        </w:tc>
        <w:tc>
          <w:tcPr>
            <w:tcW w:w="1170" w:type="dxa"/>
          </w:tcPr>
          <w:p w14:paraId="1102C742"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w:t>
            </w:r>
          </w:p>
        </w:tc>
        <w:tc>
          <w:tcPr>
            <w:tcW w:w="1440" w:type="dxa"/>
          </w:tcPr>
          <w:p w14:paraId="32A2F902"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37,493</w:t>
            </w:r>
          </w:p>
        </w:tc>
        <w:tc>
          <w:tcPr>
            <w:tcW w:w="1440" w:type="dxa"/>
          </w:tcPr>
          <w:p w14:paraId="313786E3" w14:textId="77777777"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gridSpan w:val="2"/>
          </w:tcPr>
          <w:p w14:paraId="3A3E7F0B" w14:textId="77777777"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37,500</w:t>
            </w:r>
          </w:p>
        </w:tc>
      </w:tr>
      <w:tr w:rsidR="001D1BD8" w:rsidRPr="00487CAB" w14:paraId="16D8C69E" w14:textId="77777777" w:rsidTr="00471707">
        <w:tc>
          <w:tcPr>
            <w:tcW w:w="4410" w:type="dxa"/>
          </w:tcPr>
          <w:p w14:paraId="34091578" w14:textId="77777777" w:rsidR="001D1BD8" w:rsidRPr="00487CAB" w:rsidRDefault="001D1BD8" w:rsidP="00471707">
            <w:pPr>
              <w:tabs>
                <w:tab w:val="left" w:pos="144"/>
                <w:tab w:val="left" w:pos="324"/>
                <w:tab w:val="right" w:pos="9180"/>
              </w:tabs>
              <w:rPr>
                <w:snapToGrid w:val="0"/>
                <w:color w:val="000000"/>
                <w:sz w:val="19"/>
                <w:szCs w:val="19"/>
              </w:rPr>
            </w:pPr>
            <w:r>
              <w:rPr>
                <w:snapToGrid w:val="0"/>
                <w:color w:val="000000"/>
                <w:sz w:val="19"/>
                <w:szCs w:val="19"/>
              </w:rPr>
              <w:tab/>
              <w:t>Issuance of common stock upon warrant exercise</w:t>
            </w:r>
          </w:p>
        </w:tc>
        <w:tc>
          <w:tcPr>
            <w:tcW w:w="720" w:type="dxa"/>
          </w:tcPr>
          <w:p w14:paraId="5B89753C" w14:textId="77777777" w:rsidR="001D1BD8"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43635411"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269,032</w:t>
            </w:r>
          </w:p>
        </w:tc>
        <w:tc>
          <w:tcPr>
            <w:tcW w:w="1170" w:type="dxa"/>
          </w:tcPr>
          <w:p w14:paraId="549CDEC6"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269</w:t>
            </w:r>
          </w:p>
        </w:tc>
        <w:tc>
          <w:tcPr>
            <w:tcW w:w="1440" w:type="dxa"/>
          </w:tcPr>
          <w:p w14:paraId="211B4087"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(269)</w:t>
            </w:r>
          </w:p>
        </w:tc>
        <w:tc>
          <w:tcPr>
            <w:tcW w:w="1440" w:type="dxa"/>
          </w:tcPr>
          <w:p w14:paraId="2D87326B" w14:textId="77777777" w:rsidR="001D1BD8" w:rsidRPr="00487CAB" w:rsidRDefault="001D1BD8" w:rsidP="00471707">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36A5EF44" w14:textId="77777777" w:rsidR="001D1BD8" w:rsidRPr="00487CAB" w:rsidRDefault="001D1BD8" w:rsidP="00471707">
            <w:pPr>
              <w:tabs>
                <w:tab w:val="decimal" w:pos="1418"/>
                <w:tab w:val="right" w:pos="9180"/>
              </w:tabs>
              <w:rPr>
                <w:snapToGrid w:val="0"/>
                <w:color w:val="000000"/>
                <w:sz w:val="19"/>
                <w:szCs w:val="19"/>
              </w:rPr>
            </w:pPr>
            <w:r>
              <w:rPr>
                <w:snapToGrid w:val="0"/>
                <w:color w:val="000000"/>
                <w:sz w:val="19"/>
                <w:szCs w:val="19"/>
              </w:rPr>
              <w:tab/>
              <w:t>-</w:t>
            </w:r>
          </w:p>
        </w:tc>
      </w:tr>
      <w:tr w:rsidR="001D1BD8" w:rsidRPr="00487CAB" w14:paraId="02A3B2B6" w14:textId="77777777" w:rsidTr="00471707">
        <w:tc>
          <w:tcPr>
            <w:tcW w:w="4410" w:type="dxa"/>
          </w:tcPr>
          <w:p w14:paraId="154856BF" w14:textId="77777777" w:rsidR="001D1BD8" w:rsidRDefault="001D1BD8" w:rsidP="00471707">
            <w:pPr>
              <w:tabs>
                <w:tab w:val="left" w:pos="144"/>
                <w:tab w:val="left" w:pos="324"/>
                <w:tab w:val="right" w:pos="9180"/>
              </w:tabs>
              <w:rPr>
                <w:snapToGrid w:val="0"/>
                <w:color w:val="000000"/>
                <w:sz w:val="19"/>
                <w:szCs w:val="19"/>
              </w:rPr>
            </w:pPr>
            <w:r>
              <w:rPr>
                <w:snapToGrid w:val="0"/>
                <w:color w:val="000000"/>
                <w:sz w:val="19"/>
                <w:szCs w:val="19"/>
              </w:rPr>
              <w:tab/>
              <w:t>Fractional share roundup following reverse split</w:t>
            </w:r>
          </w:p>
        </w:tc>
        <w:tc>
          <w:tcPr>
            <w:tcW w:w="720" w:type="dxa"/>
          </w:tcPr>
          <w:p w14:paraId="13348B78" w14:textId="77777777" w:rsidR="001D1BD8"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61D74944"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55,422</w:t>
            </w:r>
          </w:p>
        </w:tc>
        <w:tc>
          <w:tcPr>
            <w:tcW w:w="1170" w:type="dxa"/>
          </w:tcPr>
          <w:p w14:paraId="1B22AB45"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55</w:t>
            </w:r>
          </w:p>
        </w:tc>
        <w:tc>
          <w:tcPr>
            <w:tcW w:w="1440" w:type="dxa"/>
          </w:tcPr>
          <w:p w14:paraId="1C112952"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(55)</w:t>
            </w:r>
          </w:p>
        </w:tc>
        <w:tc>
          <w:tcPr>
            <w:tcW w:w="1440" w:type="dxa"/>
          </w:tcPr>
          <w:p w14:paraId="596AEB8E" w14:textId="77777777" w:rsidR="001D1BD8" w:rsidRDefault="001D1BD8" w:rsidP="00471707">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75DB8C56" w14:textId="77777777" w:rsidR="001D1BD8" w:rsidRDefault="001D1BD8" w:rsidP="00471707">
            <w:pPr>
              <w:tabs>
                <w:tab w:val="decimal" w:pos="1418"/>
                <w:tab w:val="right" w:pos="9180"/>
              </w:tabs>
              <w:rPr>
                <w:snapToGrid w:val="0"/>
                <w:color w:val="000000"/>
                <w:sz w:val="19"/>
                <w:szCs w:val="19"/>
              </w:rPr>
            </w:pPr>
            <w:r>
              <w:rPr>
                <w:snapToGrid w:val="0"/>
                <w:color w:val="000000"/>
                <w:sz w:val="19"/>
                <w:szCs w:val="19"/>
              </w:rPr>
              <w:tab/>
              <w:t>-</w:t>
            </w:r>
          </w:p>
        </w:tc>
      </w:tr>
      <w:tr w:rsidR="001D1BD8" w:rsidRPr="00487CAB" w14:paraId="0D31AAB1" w14:textId="77777777" w:rsidTr="00471707">
        <w:tc>
          <w:tcPr>
            <w:tcW w:w="4410" w:type="dxa"/>
          </w:tcPr>
          <w:p w14:paraId="5D0BA025" w14:textId="77777777" w:rsidR="001D1BD8" w:rsidRDefault="001D1BD8" w:rsidP="00471707">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720" w:type="dxa"/>
          </w:tcPr>
          <w:p w14:paraId="220B95D8" w14:textId="77777777" w:rsidR="001D1BD8" w:rsidRDefault="001D1BD8" w:rsidP="00471707">
            <w:pPr>
              <w:tabs>
                <w:tab w:val="decimal" w:pos="1148"/>
                <w:tab w:val="decimal" w:pos="1422"/>
                <w:tab w:val="left" w:pos="2340"/>
                <w:tab w:val="right" w:pos="9180"/>
              </w:tabs>
              <w:rPr>
                <w:snapToGrid w:val="0"/>
                <w:color w:val="000000"/>
                <w:sz w:val="19"/>
                <w:szCs w:val="19"/>
              </w:rPr>
            </w:pPr>
          </w:p>
        </w:tc>
        <w:tc>
          <w:tcPr>
            <w:tcW w:w="1440" w:type="dxa"/>
          </w:tcPr>
          <w:p w14:paraId="31804740"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213A3C8A"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52314F40" w14:textId="77777777" w:rsidR="001D1BD8"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ab/>
              <w:t>103,569</w:t>
            </w:r>
          </w:p>
        </w:tc>
        <w:tc>
          <w:tcPr>
            <w:tcW w:w="1440" w:type="dxa"/>
          </w:tcPr>
          <w:p w14:paraId="48BA3147" w14:textId="77777777" w:rsidR="001D1BD8" w:rsidRPr="00636549" w:rsidRDefault="001D1BD8" w:rsidP="00471707">
            <w:pPr>
              <w:pStyle w:val="ListParagraph"/>
              <w:numPr>
                <w:ilvl w:val="0"/>
                <w:numId w:val="9"/>
              </w:numPr>
              <w:tabs>
                <w:tab w:val="decimal" w:pos="1150"/>
                <w:tab w:val="left" w:pos="2340"/>
                <w:tab w:val="right" w:pos="9180"/>
              </w:tabs>
              <w:rPr>
                <w:snapToGrid w:val="0"/>
                <w:color w:val="000000"/>
                <w:sz w:val="19"/>
                <w:szCs w:val="19"/>
              </w:rPr>
            </w:pPr>
          </w:p>
        </w:tc>
        <w:tc>
          <w:tcPr>
            <w:tcW w:w="1800" w:type="dxa"/>
            <w:gridSpan w:val="2"/>
          </w:tcPr>
          <w:p w14:paraId="2A014145" w14:textId="77777777" w:rsidR="001D1BD8" w:rsidRDefault="001D1BD8" w:rsidP="00471707">
            <w:pPr>
              <w:tabs>
                <w:tab w:val="decimal" w:pos="1418"/>
                <w:tab w:val="right" w:pos="9180"/>
              </w:tabs>
              <w:rPr>
                <w:snapToGrid w:val="0"/>
                <w:color w:val="000000"/>
                <w:sz w:val="19"/>
                <w:szCs w:val="19"/>
              </w:rPr>
            </w:pPr>
            <w:r>
              <w:rPr>
                <w:snapToGrid w:val="0"/>
                <w:color w:val="000000"/>
                <w:sz w:val="19"/>
                <w:szCs w:val="19"/>
              </w:rPr>
              <w:tab/>
              <w:t>103,569</w:t>
            </w:r>
          </w:p>
        </w:tc>
      </w:tr>
      <w:tr w:rsidR="001D1BD8" w:rsidRPr="00487CAB" w14:paraId="33331E5A" w14:textId="77777777" w:rsidTr="00471707">
        <w:tc>
          <w:tcPr>
            <w:tcW w:w="4410" w:type="dxa"/>
          </w:tcPr>
          <w:p w14:paraId="456E0BBC" w14:textId="77777777"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24</w:t>
            </w:r>
          </w:p>
        </w:tc>
        <w:tc>
          <w:tcPr>
            <w:tcW w:w="720" w:type="dxa"/>
          </w:tcPr>
          <w:p w14:paraId="29C5176C"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Borders>
              <w:bottom w:val="single" w:sz="4" w:space="0" w:color="auto"/>
            </w:tcBorders>
          </w:tcPr>
          <w:p w14:paraId="092041D6"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58A59AD"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179F1EC3"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4E6BDB4E" w14:textId="77777777" w:rsidR="001D1BD8" w:rsidRPr="00487CAB" w:rsidRDefault="001D1BD8" w:rsidP="00471707">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(5,850,132)</w:t>
            </w:r>
          </w:p>
        </w:tc>
        <w:tc>
          <w:tcPr>
            <w:tcW w:w="1800" w:type="dxa"/>
            <w:gridSpan w:val="2"/>
            <w:tcBorders>
              <w:bottom w:val="single" w:sz="4" w:space="0" w:color="auto"/>
            </w:tcBorders>
          </w:tcPr>
          <w:p w14:paraId="1AC92F95" w14:textId="77777777" w:rsidR="001D1BD8" w:rsidRPr="00487CAB" w:rsidRDefault="001D1BD8" w:rsidP="00471707">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(5,850,132)</w:t>
            </w:r>
          </w:p>
        </w:tc>
      </w:tr>
      <w:tr w:rsidR="001D1BD8" w:rsidRPr="00487CAB" w14:paraId="06A929CD" w14:textId="77777777" w:rsidTr="00471707">
        <w:tc>
          <w:tcPr>
            <w:tcW w:w="4410" w:type="dxa"/>
          </w:tcPr>
          <w:p w14:paraId="4B203784" w14:textId="77777777" w:rsidR="001D1BD8" w:rsidRPr="00487CAB" w:rsidRDefault="001D1BD8" w:rsidP="00471707">
            <w:pPr>
              <w:tabs>
                <w:tab w:val="left" w:pos="144"/>
                <w:tab w:val="left" w:pos="324"/>
                <w:tab w:val="right" w:pos="9180"/>
              </w:tabs>
              <w:rPr>
                <w:snapToGrid w:val="0"/>
                <w:color w:val="000000"/>
                <w:sz w:val="19"/>
                <w:szCs w:val="19"/>
              </w:rPr>
            </w:pPr>
            <w:r w:rsidRPr="00487CAB">
              <w:rPr>
                <w:snapToGrid w:val="0"/>
                <w:color w:val="000000"/>
                <w:sz w:val="19"/>
                <w:szCs w:val="19"/>
              </w:rPr>
              <w:t>Balance at March 31, 20</w:t>
            </w:r>
            <w:r>
              <w:rPr>
                <w:snapToGrid w:val="0"/>
                <w:color w:val="000000"/>
                <w:sz w:val="19"/>
                <w:szCs w:val="19"/>
              </w:rPr>
              <w:t>24</w:t>
            </w:r>
          </w:p>
        </w:tc>
        <w:tc>
          <w:tcPr>
            <w:tcW w:w="720" w:type="dxa"/>
          </w:tcPr>
          <w:p w14:paraId="2DFE8E1C"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p>
        </w:tc>
        <w:tc>
          <w:tcPr>
            <w:tcW w:w="1440" w:type="dxa"/>
            <w:tcBorders>
              <w:top w:val="single" w:sz="4" w:space="0" w:color="auto"/>
              <w:bottom w:val="double" w:sz="4" w:space="0" w:color="auto"/>
            </w:tcBorders>
          </w:tcPr>
          <w:p w14:paraId="199E82C5"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2,308,309</w:t>
            </w:r>
          </w:p>
        </w:tc>
        <w:tc>
          <w:tcPr>
            <w:tcW w:w="1170" w:type="dxa"/>
            <w:tcBorders>
              <w:top w:val="single" w:sz="4" w:space="0" w:color="auto"/>
              <w:bottom w:val="double" w:sz="4" w:space="0" w:color="auto"/>
            </w:tcBorders>
          </w:tcPr>
          <w:p w14:paraId="710B74B0"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2,308</w:t>
            </w:r>
          </w:p>
        </w:tc>
        <w:tc>
          <w:tcPr>
            <w:tcW w:w="1440" w:type="dxa"/>
            <w:tcBorders>
              <w:top w:val="single" w:sz="4" w:space="0" w:color="auto"/>
              <w:bottom w:val="double" w:sz="4" w:space="0" w:color="auto"/>
            </w:tcBorders>
          </w:tcPr>
          <w:p w14:paraId="5F887BD2" w14:textId="77777777" w:rsidR="001D1BD8" w:rsidRPr="00487CAB" w:rsidRDefault="001D1BD8" w:rsidP="00471707">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110,265,884</w:t>
            </w:r>
          </w:p>
        </w:tc>
        <w:tc>
          <w:tcPr>
            <w:tcW w:w="1440" w:type="dxa"/>
            <w:tcBorders>
              <w:top w:val="single" w:sz="4" w:space="0" w:color="auto"/>
              <w:bottom w:val="double" w:sz="4" w:space="0" w:color="auto"/>
            </w:tcBorders>
          </w:tcPr>
          <w:p w14:paraId="1203191C" w14:textId="77777777" w:rsidR="001D1BD8" w:rsidRPr="00487CAB" w:rsidRDefault="001D1BD8" w:rsidP="00471707">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(110,213,917)</w:t>
            </w:r>
          </w:p>
        </w:tc>
        <w:tc>
          <w:tcPr>
            <w:tcW w:w="1800" w:type="dxa"/>
            <w:gridSpan w:val="2"/>
            <w:tcBorders>
              <w:top w:val="single" w:sz="4" w:space="0" w:color="auto"/>
              <w:bottom w:val="double" w:sz="4" w:space="0" w:color="auto"/>
            </w:tcBorders>
          </w:tcPr>
          <w:p w14:paraId="1BE6F747" w14:textId="77777777" w:rsidR="001D1BD8" w:rsidRPr="00487CAB" w:rsidRDefault="001D1BD8" w:rsidP="00471707">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54,275</w:t>
            </w:r>
          </w:p>
        </w:tc>
      </w:tr>
    </w:tbl>
    <w:p w14:paraId="22B54A22" w14:textId="77777777" w:rsidR="001D1BD8" w:rsidRDefault="001D1BD8" w:rsidP="001D1BD8">
      <w:pPr>
        <w:tabs>
          <w:tab w:val="decimal" w:pos="1152"/>
          <w:tab w:val="left" w:pos="2340"/>
          <w:tab w:val="right" w:pos="9180"/>
        </w:tabs>
        <w:rPr>
          <w:snapToGrid w:val="0"/>
          <w:color w:val="000000"/>
        </w:rPr>
      </w:pPr>
    </w:p>
    <w:p w14:paraId="1FE9B7B8" w14:textId="77777777" w:rsidR="001D1BD8" w:rsidRDefault="001D1BD8" w:rsidP="001D1BD8">
      <w:pPr>
        <w:tabs>
          <w:tab w:val="decimal" w:pos="1152"/>
          <w:tab w:val="left" w:pos="2340"/>
          <w:tab w:val="right" w:pos="9180"/>
        </w:tabs>
        <w:rPr>
          <w:snapToGrid w:val="0"/>
          <w:color w:val="000000"/>
        </w:rPr>
      </w:pPr>
    </w:p>
    <w:p w14:paraId="7D5673B6" w14:textId="77777777" w:rsidR="001D1BD8" w:rsidRDefault="001D1BD8" w:rsidP="004F479E">
      <w:pPr>
        <w:tabs>
          <w:tab w:val="decimal" w:pos="1152"/>
          <w:tab w:val="left" w:pos="2340"/>
          <w:tab w:val="right" w:pos="9180"/>
        </w:tabs>
        <w:rPr>
          <w:snapToGrid w:val="0"/>
          <w:color w:val="000000"/>
          <w:sz w:val="19"/>
          <w:szCs w:val="19"/>
        </w:rPr>
      </w:pPr>
    </w:p>
    <w:p w14:paraId="729E52F8" w14:textId="77777777" w:rsidR="001D1BD8" w:rsidRDefault="001D1BD8" w:rsidP="004F479E">
      <w:pPr>
        <w:tabs>
          <w:tab w:val="decimal" w:pos="1152"/>
          <w:tab w:val="left" w:pos="2340"/>
          <w:tab w:val="right" w:pos="9180"/>
        </w:tabs>
        <w:rPr>
          <w:snapToGrid w:val="0"/>
          <w:color w:val="000000"/>
          <w:sz w:val="19"/>
          <w:szCs w:val="19"/>
        </w:rPr>
      </w:pPr>
    </w:p>
    <w:p w14:paraId="7DE173DE" w14:textId="77777777" w:rsidR="001D1BD8" w:rsidRDefault="001D1BD8" w:rsidP="004F479E">
      <w:pPr>
        <w:tabs>
          <w:tab w:val="decimal" w:pos="1152"/>
          <w:tab w:val="left" w:pos="2340"/>
          <w:tab w:val="right" w:pos="9180"/>
        </w:tabs>
        <w:rPr>
          <w:snapToGrid w:val="0"/>
          <w:color w:val="000000"/>
          <w:sz w:val="19"/>
          <w:szCs w:val="19"/>
        </w:rPr>
      </w:pPr>
    </w:p>
    <w:bookmarkEnd w:id="10"/>
    <w:p w14:paraId="468C7ED4" w14:textId="77777777" w:rsidR="00BB7F5F" w:rsidRPr="00487CAB" w:rsidRDefault="00BB7F5F" w:rsidP="00487CAB">
      <w:pPr>
        <w:tabs>
          <w:tab w:val="decimal" w:pos="1152"/>
          <w:tab w:val="left" w:pos="2340"/>
          <w:tab w:val="right" w:pos="9180"/>
        </w:tabs>
        <w:rPr>
          <w:snapToGrid w:val="0"/>
          <w:color w:val="000000"/>
        </w:rPr>
      </w:pPr>
    </w:p>
    <w:p w14:paraId="508A2F73" w14:textId="5B939259" w:rsidR="006E7CF8" w:rsidRDefault="00487CAB" w:rsidP="006C1B86">
      <w:pPr>
        <w:tabs>
          <w:tab w:val="left" w:pos="1080"/>
          <w:tab w:val="left" w:pos="1260"/>
          <w:tab w:val="left" w:pos="2340"/>
          <w:tab w:val="right" w:pos="9180"/>
        </w:tabs>
        <w:ind w:right="-360"/>
        <w:jc w:val="center"/>
      </w:pPr>
      <w:r w:rsidRPr="00487CAB">
        <w:rPr>
          <w:snapToGrid w:val="0"/>
          <w:color w:val="000000"/>
        </w:rPr>
        <w:t xml:space="preserve">See accompanying notes to </w:t>
      </w:r>
      <w:r w:rsidR="00E774DA">
        <w:rPr>
          <w:snapToGrid w:val="0"/>
          <w:color w:val="000000"/>
        </w:rPr>
        <w:t xml:space="preserve">condensed </w:t>
      </w:r>
      <w:r w:rsidRPr="00487CAB">
        <w:rPr>
          <w:snapToGrid w:val="0"/>
          <w:color w:val="000000"/>
        </w:rPr>
        <w:t>consolidated financial statements</w:t>
      </w:r>
      <w:r>
        <w:rPr>
          <w:snapToGrid w:val="0"/>
          <w:color w:val="000000"/>
        </w:rPr>
        <w:t>.</w:t>
      </w:r>
    </w:p>
    <w:p w14:paraId="046D7DE1" w14:textId="77777777" w:rsidR="00723853" w:rsidRDefault="00723853" w:rsidP="00DF2BA6">
      <w:pPr>
        <w:sectPr w:rsidR="00723853"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1056EBAA" w14:textId="77777777" w:rsidR="002D627A" w:rsidRPr="00EF6E26" w:rsidRDefault="002D627A" w:rsidP="002D627A">
            <w:pPr>
              <w:ind w:right="-18"/>
              <w:jc w:val="center"/>
              <w:rPr>
                <w:b/>
              </w:rPr>
            </w:pPr>
            <w:r w:rsidRPr="00EF6E26">
              <w:rPr>
                <w:b/>
              </w:rPr>
              <w:t>(Unaudited)</w:t>
            </w: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2D627A" w:rsidRPr="000D3DC5" w14:paraId="3C4C0D79" w14:textId="77777777" w:rsidTr="002D627A">
        <w:tc>
          <w:tcPr>
            <w:tcW w:w="4853" w:type="dxa"/>
            <w:gridSpan w:val="7"/>
          </w:tcPr>
          <w:p w14:paraId="45A5C4CF" w14:textId="77777777" w:rsidR="002D627A" w:rsidRPr="000D3DC5" w:rsidRDefault="002D627A" w:rsidP="002D627A"/>
        </w:tc>
        <w:tc>
          <w:tcPr>
            <w:tcW w:w="1555" w:type="dxa"/>
          </w:tcPr>
          <w:p w14:paraId="037C246D" w14:textId="77777777" w:rsidR="002D627A" w:rsidRPr="000D3DC5" w:rsidRDefault="002D627A" w:rsidP="002D627A">
            <w:pPr>
              <w:tabs>
                <w:tab w:val="right" w:pos="9180"/>
              </w:tabs>
            </w:pPr>
          </w:p>
        </w:tc>
        <w:tc>
          <w:tcPr>
            <w:tcW w:w="1800" w:type="dxa"/>
          </w:tcPr>
          <w:p w14:paraId="4C8E1A4D" w14:textId="77777777" w:rsidR="002D627A" w:rsidRPr="000D3DC5" w:rsidRDefault="002D627A" w:rsidP="002D627A">
            <w:pPr>
              <w:tabs>
                <w:tab w:val="decimal" w:pos="1044"/>
                <w:tab w:val="decimal" w:pos="1332"/>
                <w:tab w:val="right" w:pos="9180"/>
              </w:tabs>
            </w:pPr>
          </w:p>
        </w:tc>
        <w:tc>
          <w:tcPr>
            <w:tcW w:w="360" w:type="dxa"/>
          </w:tcPr>
          <w:p w14:paraId="0293D85D" w14:textId="77777777" w:rsidR="002D627A" w:rsidRPr="000D3DC5" w:rsidRDefault="002D627A" w:rsidP="002D627A">
            <w:pPr>
              <w:tabs>
                <w:tab w:val="right" w:pos="9180"/>
              </w:tabs>
            </w:pPr>
          </w:p>
        </w:tc>
        <w:tc>
          <w:tcPr>
            <w:tcW w:w="1620" w:type="dxa"/>
          </w:tcPr>
          <w:p w14:paraId="7CE019D5" w14:textId="77777777" w:rsidR="002D627A" w:rsidRPr="000D3DC5" w:rsidRDefault="002D627A" w:rsidP="002D627A">
            <w:pPr>
              <w:tabs>
                <w:tab w:val="decimal" w:pos="1044"/>
                <w:tab w:val="right" w:pos="9180"/>
              </w:tabs>
              <w:ind w:right="-18"/>
            </w:pPr>
          </w:p>
        </w:tc>
      </w:tr>
      <w:tr w:rsidR="002D627A" w:rsidRPr="000D3DC5" w14:paraId="2C519D0F" w14:textId="77777777" w:rsidTr="002D627A">
        <w:tc>
          <w:tcPr>
            <w:tcW w:w="4853" w:type="dxa"/>
            <w:gridSpan w:val="7"/>
          </w:tcPr>
          <w:p w14:paraId="4CADA68F" w14:textId="77777777" w:rsidR="002D627A" w:rsidRPr="000D3DC5" w:rsidRDefault="002D627A" w:rsidP="002D627A"/>
        </w:tc>
        <w:tc>
          <w:tcPr>
            <w:tcW w:w="1555" w:type="dxa"/>
          </w:tcPr>
          <w:p w14:paraId="3CDBA05B" w14:textId="77777777" w:rsidR="002D627A" w:rsidRPr="000D3DC5" w:rsidRDefault="002D627A" w:rsidP="002D627A">
            <w:pPr>
              <w:tabs>
                <w:tab w:val="right" w:pos="9180"/>
              </w:tabs>
            </w:pPr>
          </w:p>
        </w:tc>
        <w:tc>
          <w:tcPr>
            <w:tcW w:w="3780" w:type="dxa"/>
            <w:gridSpan w:val="3"/>
            <w:tcBorders>
              <w:bottom w:val="single" w:sz="4" w:space="0" w:color="auto"/>
            </w:tcBorders>
          </w:tcPr>
          <w:p w14:paraId="50A385D2" w14:textId="351DE4FE" w:rsidR="002D627A" w:rsidRPr="000D3DC5" w:rsidRDefault="009E050B" w:rsidP="00FD4723">
            <w:pPr>
              <w:tabs>
                <w:tab w:val="decimal" w:pos="1044"/>
                <w:tab w:val="right" w:pos="9180"/>
              </w:tabs>
              <w:ind w:right="-18"/>
              <w:jc w:val="center"/>
            </w:pPr>
            <w:r>
              <w:t>Three</w:t>
            </w:r>
            <w:r w:rsidR="002D627A">
              <w:t xml:space="preserve"> Months Ended </w:t>
            </w:r>
            <w:r>
              <w:t>March</w:t>
            </w:r>
            <w:r w:rsidR="006E7CF8">
              <w:t xml:space="preserve"> 3</w:t>
            </w:r>
            <w:r>
              <w:t>1</w:t>
            </w:r>
            <w:r w:rsidR="002D627A">
              <w:t>,</w:t>
            </w:r>
          </w:p>
        </w:tc>
      </w:tr>
      <w:tr w:rsidR="002D627A" w:rsidRPr="000D3DC5" w14:paraId="6EF0B9B2" w14:textId="77777777" w:rsidTr="002D627A">
        <w:tc>
          <w:tcPr>
            <w:tcW w:w="4853" w:type="dxa"/>
            <w:gridSpan w:val="7"/>
          </w:tcPr>
          <w:p w14:paraId="52032522" w14:textId="77777777" w:rsidR="002D627A" w:rsidRPr="000D3DC5" w:rsidRDefault="002D627A" w:rsidP="002D627A"/>
        </w:tc>
        <w:tc>
          <w:tcPr>
            <w:tcW w:w="1555" w:type="dxa"/>
          </w:tcPr>
          <w:p w14:paraId="5DB47DA4"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044D2D1" w14:textId="570878E6" w:rsidR="002D627A" w:rsidRPr="000D3DC5" w:rsidRDefault="002D627A" w:rsidP="002D627A">
            <w:pPr>
              <w:tabs>
                <w:tab w:val="decimal" w:pos="1044"/>
                <w:tab w:val="decimal" w:pos="1332"/>
                <w:tab w:val="right" w:pos="9180"/>
              </w:tabs>
              <w:jc w:val="center"/>
            </w:pPr>
            <w:r>
              <w:t>20</w:t>
            </w:r>
            <w:r w:rsidR="00587925">
              <w:t>2</w:t>
            </w:r>
            <w:r w:rsidR="009E050B">
              <w:t>5</w:t>
            </w:r>
          </w:p>
        </w:tc>
        <w:tc>
          <w:tcPr>
            <w:tcW w:w="360" w:type="dxa"/>
            <w:tcBorders>
              <w:top w:val="single" w:sz="4" w:space="0" w:color="auto"/>
            </w:tcBorders>
          </w:tcPr>
          <w:p w14:paraId="1B589EC1" w14:textId="77777777" w:rsidR="002D627A" w:rsidRPr="000D3DC5" w:rsidRDefault="002D627A" w:rsidP="002D627A">
            <w:pPr>
              <w:tabs>
                <w:tab w:val="right" w:pos="9180"/>
              </w:tabs>
              <w:jc w:val="center"/>
            </w:pPr>
          </w:p>
        </w:tc>
        <w:tc>
          <w:tcPr>
            <w:tcW w:w="1620" w:type="dxa"/>
            <w:tcBorders>
              <w:top w:val="single" w:sz="4" w:space="0" w:color="auto"/>
              <w:bottom w:val="single" w:sz="4" w:space="0" w:color="auto"/>
            </w:tcBorders>
          </w:tcPr>
          <w:p w14:paraId="31CF0B49" w14:textId="6DE726E5" w:rsidR="002D627A" w:rsidRPr="000D3DC5" w:rsidRDefault="002D627A" w:rsidP="002D627A">
            <w:pPr>
              <w:tabs>
                <w:tab w:val="decimal" w:pos="1044"/>
                <w:tab w:val="right" w:pos="9180"/>
              </w:tabs>
              <w:ind w:right="-18"/>
              <w:jc w:val="center"/>
            </w:pPr>
            <w:r>
              <w:t>20</w:t>
            </w:r>
            <w:r w:rsidR="00ED1AE4">
              <w:t>2</w:t>
            </w:r>
            <w:r w:rsidR="009E050B">
              <w:t>4</w:t>
            </w:r>
          </w:p>
        </w:tc>
      </w:tr>
      <w:tr w:rsidR="002D627A" w:rsidRPr="000D3DC5" w14:paraId="1C6D6952" w14:textId="77777777" w:rsidTr="002D627A">
        <w:tc>
          <w:tcPr>
            <w:tcW w:w="4853" w:type="dxa"/>
            <w:gridSpan w:val="7"/>
          </w:tcPr>
          <w:p w14:paraId="2410DB20" w14:textId="77777777" w:rsidR="002D627A" w:rsidRPr="000D3DC5" w:rsidRDefault="002D627A" w:rsidP="002D627A">
            <w:r w:rsidRPr="000D3DC5">
              <w:t xml:space="preserve">Cash flows from </w:t>
            </w:r>
            <w:r>
              <w:t>operating</w:t>
            </w:r>
            <w:r w:rsidRPr="000D3DC5">
              <w:t xml:space="preserve"> activities:</w:t>
            </w:r>
          </w:p>
        </w:tc>
        <w:tc>
          <w:tcPr>
            <w:tcW w:w="1555" w:type="dxa"/>
          </w:tcPr>
          <w:p w14:paraId="35B31F09" w14:textId="77777777" w:rsidR="002D627A" w:rsidRPr="000D3DC5" w:rsidRDefault="002D627A" w:rsidP="002D627A">
            <w:pPr>
              <w:tabs>
                <w:tab w:val="right" w:pos="9180"/>
              </w:tabs>
            </w:pPr>
          </w:p>
        </w:tc>
        <w:tc>
          <w:tcPr>
            <w:tcW w:w="1800" w:type="dxa"/>
            <w:tcBorders>
              <w:top w:val="single" w:sz="4" w:space="0" w:color="auto"/>
            </w:tcBorders>
          </w:tcPr>
          <w:p w14:paraId="33BA6FE4" w14:textId="77777777" w:rsidR="002D627A" w:rsidRPr="000D3DC5" w:rsidRDefault="002D627A" w:rsidP="002D627A">
            <w:pPr>
              <w:tabs>
                <w:tab w:val="decimal" w:pos="1044"/>
                <w:tab w:val="decimal" w:pos="1332"/>
                <w:tab w:val="right" w:pos="9180"/>
              </w:tabs>
            </w:pPr>
          </w:p>
        </w:tc>
        <w:tc>
          <w:tcPr>
            <w:tcW w:w="360" w:type="dxa"/>
          </w:tcPr>
          <w:p w14:paraId="12634C95" w14:textId="77777777" w:rsidR="002D627A" w:rsidRPr="000D3DC5" w:rsidRDefault="002D627A" w:rsidP="002D627A">
            <w:pPr>
              <w:tabs>
                <w:tab w:val="right" w:pos="9180"/>
              </w:tabs>
            </w:pPr>
          </w:p>
        </w:tc>
        <w:tc>
          <w:tcPr>
            <w:tcW w:w="1620" w:type="dxa"/>
          </w:tcPr>
          <w:p w14:paraId="067D9FF0" w14:textId="77777777" w:rsidR="002D627A" w:rsidRPr="000D3DC5" w:rsidRDefault="002D627A" w:rsidP="002D627A">
            <w:pPr>
              <w:tabs>
                <w:tab w:val="decimal" w:pos="1044"/>
                <w:tab w:val="right" w:pos="9180"/>
              </w:tabs>
              <w:ind w:right="-18"/>
            </w:pPr>
          </w:p>
        </w:tc>
      </w:tr>
      <w:tr w:rsidR="002D627A" w:rsidRPr="000D3DC5" w14:paraId="6F7ADEB3" w14:textId="77777777" w:rsidTr="002D627A">
        <w:tc>
          <w:tcPr>
            <w:tcW w:w="378" w:type="dxa"/>
          </w:tcPr>
          <w:p w14:paraId="2C6E2BEF" w14:textId="77777777" w:rsidR="002D627A" w:rsidRPr="000D3DC5" w:rsidRDefault="002D627A" w:rsidP="002D627A"/>
        </w:tc>
        <w:tc>
          <w:tcPr>
            <w:tcW w:w="4475" w:type="dxa"/>
            <w:gridSpan w:val="6"/>
          </w:tcPr>
          <w:p w14:paraId="19982BB2" w14:textId="77777777" w:rsidR="002D627A" w:rsidRPr="000D3DC5" w:rsidRDefault="002D627A" w:rsidP="002D627A">
            <w:r w:rsidRPr="000D3DC5">
              <w:t>Net loss</w:t>
            </w:r>
          </w:p>
        </w:tc>
        <w:tc>
          <w:tcPr>
            <w:tcW w:w="1555" w:type="dxa"/>
          </w:tcPr>
          <w:p w14:paraId="7DD10428" w14:textId="77777777" w:rsidR="002D627A" w:rsidRPr="000D3DC5" w:rsidRDefault="002D627A" w:rsidP="002D627A">
            <w:pPr>
              <w:tabs>
                <w:tab w:val="right" w:pos="9180"/>
              </w:tabs>
            </w:pPr>
          </w:p>
        </w:tc>
        <w:tc>
          <w:tcPr>
            <w:tcW w:w="1800" w:type="dxa"/>
          </w:tcPr>
          <w:p w14:paraId="56997116" w14:textId="4F6D62FE" w:rsidR="002D627A" w:rsidRPr="000D3DC5" w:rsidRDefault="002D627A" w:rsidP="00FD4723">
            <w:pPr>
              <w:tabs>
                <w:tab w:val="decimal" w:pos="1332"/>
                <w:tab w:val="right" w:pos="9180"/>
              </w:tabs>
            </w:pPr>
            <w:r w:rsidRPr="000D3DC5">
              <w:t>$</w:t>
            </w:r>
            <w:r w:rsidRPr="000D3DC5">
              <w:tab/>
            </w:r>
            <w:r w:rsidR="004514BA">
              <w:t>(5,</w:t>
            </w:r>
            <w:r w:rsidR="00232ECE">
              <w:t>357,651</w:t>
            </w:r>
            <w:r w:rsidR="004514BA">
              <w:t>)</w:t>
            </w:r>
          </w:p>
        </w:tc>
        <w:tc>
          <w:tcPr>
            <w:tcW w:w="360" w:type="dxa"/>
          </w:tcPr>
          <w:p w14:paraId="57942AE3" w14:textId="77777777" w:rsidR="002D627A" w:rsidRPr="000D3DC5" w:rsidRDefault="002D627A" w:rsidP="002D627A">
            <w:pPr>
              <w:tabs>
                <w:tab w:val="right" w:pos="9180"/>
              </w:tabs>
            </w:pPr>
          </w:p>
        </w:tc>
        <w:tc>
          <w:tcPr>
            <w:tcW w:w="1620" w:type="dxa"/>
          </w:tcPr>
          <w:p w14:paraId="6A3E34C2" w14:textId="365A80ED" w:rsidR="002D627A" w:rsidRPr="000D3DC5" w:rsidRDefault="006E7CF8" w:rsidP="002D627A">
            <w:pPr>
              <w:tabs>
                <w:tab w:val="decimal" w:pos="1152"/>
                <w:tab w:val="right" w:pos="9180"/>
              </w:tabs>
            </w:pPr>
            <w:r>
              <w:t>$</w:t>
            </w:r>
            <w:r>
              <w:tab/>
              <w:t>(</w:t>
            </w:r>
            <w:r w:rsidR="009E050B">
              <w:t>5,850,132</w:t>
            </w:r>
            <w:r>
              <w:t>)</w:t>
            </w:r>
          </w:p>
        </w:tc>
      </w:tr>
      <w:tr w:rsidR="002D627A" w:rsidRPr="000D3DC5" w14:paraId="51A0E3FD" w14:textId="77777777" w:rsidTr="002D627A">
        <w:tc>
          <w:tcPr>
            <w:tcW w:w="378" w:type="dxa"/>
          </w:tcPr>
          <w:p w14:paraId="57BE6C44" w14:textId="77777777" w:rsidR="002D627A" w:rsidRPr="000D3DC5" w:rsidRDefault="002D627A" w:rsidP="002D627A"/>
        </w:tc>
        <w:tc>
          <w:tcPr>
            <w:tcW w:w="4475" w:type="dxa"/>
            <w:gridSpan w:val="6"/>
          </w:tcPr>
          <w:p w14:paraId="3F4C54A1" w14:textId="77777777" w:rsidR="002D627A" w:rsidRPr="000D3DC5" w:rsidRDefault="002D627A" w:rsidP="002D627A">
            <w:r w:rsidRPr="000D3DC5">
              <w:t>Adjustments to reconcile net loss to net cash</w:t>
            </w:r>
          </w:p>
        </w:tc>
        <w:tc>
          <w:tcPr>
            <w:tcW w:w="1555" w:type="dxa"/>
          </w:tcPr>
          <w:p w14:paraId="6E577BDA" w14:textId="77777777" w:rsidR="002D627A" w:rsidRPr="000D3DC5" w:rsidRDefault="002D627A" w:rsidP="002D627A">
            <w:pPr>
              <w:tabs>
                <w:tab w:val="right" w:pos="9180"/>
              </w:tabs>
            </w:pPr>
          </w:p>
        </w:tc>
        <w:tc>
          <w:tcPr>
            <w:tcW w:w="1800" w:type="dxa"/>
          </w:tcPr>
          <w:p w14:paraId="2D375275" w14:textId="77777777" w:rsidR="002D627A" w:rsidRPr="000D3DC5" w:rsidRDefault="002D627A" w:rsidP="002D627A">
            <w:pPr>
              <w:tabs>
                <w:tab w:val="decimal" w:pos="1044"/>
                <w:tab w:val="right" w:pos="9180"/>
              </w:tabs>
            </w:pPr>
          </w:p>
        </w:tc>
        <w:tc>
          <w:tcPr>
            <w:tcW w:w="360" w:type="dxa"/>
          </w:tcPr>
          <w:p w14:paraId="3E631A83" w14:textId="77777777" w:rsidR="002D627A" w:rsidRPr="000D3DC5" w:rsidRDefault="002D627A" w:rsidP="002D627A">
            <w:pPr>
              <w:tabs>
                <w:tab w:val="right" w:pos="9180"/>
              </w:tabs>
            </w:pPr>
          </w:p>
        </w:tc>
        <w:tc>
          <w:tcPr>
            <w:tcW w:w="1620" w:type="dxa"/>
          </w:tcPr>
          <w:p w14:paraId="7AFCDC6B" w14:textId="77777777" w:rsidR="002D627A" w:rsidRPr="000D3DC5" w:rsidRDefault="002D627A" w:rsidP="002D627A">
            <w:pPr>
              <w:tabs>
                <w:tab w:val="decimal" w:pos="1044"/>
                <w:tab w:val="right" w:pos="9180"/>
              </w:tabs>
            </w:pPr>
          </w:p>
        </w:tc>
      </w:tr>
      <w:tr w:rsidR="002D627A" w:rsidRPr="000D3DC5" w14:paraId="6D63E2A6" w14:textId="77777777" w:rsidTr="002D627A">
        <w:tc>
          <w:tcPr>
            <w:tcW w:w="378" w:type="dxa"/>
          </w:tcPr>
          <w:p w14:paraId="24574923" w14:textId="77777777" w:rsidR="002D627A" w:rsidRPr="000D3DC5" w:rsidRDefault="002D627A" w:rsidP="002D627A"/>
        </w:tc>
        <w:tc>
          <w:tcPr>
            <w:tcW w:w="4475" w:type="dxa"/>
            <w:gridSpan w:val="6"/>
          </w:tcPr>
          <w:p w14:paraId="439D9097" w14:textId="77777777" w:rsidR="002D627A" w:rsidRPr="000D3DC5" w:rsidRDefault="002D627A" w:rsidP="002D627A">
            <w:r w:rsidRPr="000D3DC5">
              <w:t xml:space="preserve">  used in operating activities:</w:t>
            </w:r>
          </w:p>
        </w:tc>
        <w:tc>
          <w:tcPr>
            <w:tcW w:w="1555" w:type="dxa"/>
          </w:tcPr>
          <w:p w14:paraId="0EC0D8A2" w14:textId="77777777" w:rsidR="002D627A" w:rsidRPr="000D3DC5" w:rsidRDefault="002D627A" w:rsidP="002D627A">
            <w:pPr>
              <w:tabs>
                <w:tab w:val="right" w:pos="9180"/>
              </w:tabs>
            </w:pPr>
          </w:p>
        </w:tc>
        <w:tc>
          <w:tcPr>
            <w:tcW w:w="1800" w:type="dxa"/>
          </w:tcPr>
          <w:p w14:paraId="17438849" w14:textId="77777777" w:rsidR="002D627A" w:rsidRPr="000D3DC5" w:rsidRDefault="002D627A" w:rsidP="002D627A">
            <w:pPr>
              <w:tabs>
                <w:tab w:val="decimal" w:pos="1044"/>
                <w:tab w:val="right" w:pos="9180"/>
              </w:tabs>
            </w:pPr>
          </w:p>
        </w:tc>
        <w:tc>
          <w:tcPr>
            <w:tcW w:w="360" w:type="dxa"/>
          </w:tcPr>
          <w:p w14:paraId="14D00C4C" w14:textId="77777777" w:rsidR="002D627A" w:rsidRPr="000D3DC5" w:rsidRDefault="002D627A" w:rsidP="002D627A">
            <w:pPr>
              <w:tabs>
                <w:tab w:val="right" w:pos="9180"/>
              </w:tabs>
            </w:pPr>
          </w:p>
        </w:tc>
        <w:tc>
          <w:tcPr>
            <w:tcW w:w="1620" w:type="dxa"/>
          </w:tcPr>
          <w:p w14:paraId="0C7486CB" w14:textId="77777777" w:rsidR="002D627A" w:rsidRPr="000D3DC5" w:rsidRDefault="002D627A" w:rsidP="002D627A">
            <w:pPr>
              <w:tabs>
                <w:tab w:val="decimal" w:pos="1044"/>
                <w:tab w:val="right" w:pos="9180"/>
              </w:tabs>
            </w:pPr>
          </w:p>
        </w:tc>
      </w:tr>
      <w:tr w:rsidR="002D627A" w:rsidRPr="000D3DC5" w14:paraId="69DCF7BA" w14:textId="77777777" w:rsidTr="002D627A">
        <w:tc>
          <w:tcPr>
            <w:tcW w:w="378" w:type="dxa"/>
          </w:tcPr>
          <w:p w14:paraId="2BFAF065" w14:textId="77777777" w:rsidR="002D627A" w:rsidRPr="000D3DC5" w:rsidRDefault="002D627A" w:rsidP="002D627A"/>
        </w:tc>
        <w:tc>
          <w:tcPr>
            <w:tcW w:w="425" w:type="dxa"/>
          </w:tcPr>
          <w:p w14:paraId="54E5105B" w14:textId="77777777" w:rsidR="002D627A" w:rsidRPr="000D3DC5" w:rsidRDefault="002D627A" w:rsidP="002D627A"/>
        </w:tc>
        <w:tc>
          <w:tcPr>
            <w:tcW w:w="4050" w:type="dxa"/>
            <w:gridSpan w:val="5"/>
          </w:tcPr>
          <w:p w14:paraId="72B15FB4" w14:textId="64B1EB7E" w:rsidR="002D627A" w:rsidRPr="000D3DC5" w:rsidRDefault="002D627A" w:rsidP="002D627A">
            <w:r w:rsidRPr="000D3DC5">
              <w:t>Depreciation</w:t>
            </w:r>
            <w:r w:rsidR="00516556">
              <w:t xml:space="preserve"> and amortization</w:t>
            </w:r>
            <w:r w:rsidRPr="000D3DC5">
              <w:t xml:space="preserve"> </w:t>
            </w:r>
            <w:r w:rsidR="00A6252C">
              <w:t>expense</w:t>
            </w:r>
          </w:p>
        </w:tc>
        <w:tc>
          <w:tcPr>
            <w:tcW w:w="1555" w:type="dxa"/>
          </w:tcPr>
          <w:p w14:paraId="19B164C5" w14:textId="77777777" w:rsidR="002D627A" w:rsidRPr="000D3DC5" w:rsidRDefault="002D627A" w:rsidP="002D627A">
            <w:pPr>
              <w:tabs>
                <w:tab w:val="right" w:pos="9180"/>
              </w:tabs>
            </w:pPr>
          </w:p>
        </w:tc>
        <w:tc>
          <w:tcPr>
            <w:tcW w:w="1800" w:type="dxa"/>
          </w:tcPr>
          <w:p w14:paraId="45738E17" w14:textId="708E9DF5" w:rsidR="002D627A" w:rsidRPr="000D3DC5" w:rsidRDefault="00767AC2" w:rsidP="002D627A">
            <w:pPr>
              <w:tabs>
                <w:tab w:val="decimal" w:pos="1332"/>
                <w:tab w:val="right" w:pos="9180"/>
              </w:tabs>
            </w:pPr>
            <w:r>
              <w:tab/>
            </w:r>
            <w:r w:rsidR="004514BA">
              <w:t>16,921</w:t>
            </w:r>
          </w:p>
        </w:tc>
        <w:tc>
          <w:tcPr>
            <w:tcW w:w="360" w:type="dxa"/>
          </w:tcPr>
          <w:p w14:paraId="7D1EEEDB" w14:textId="77777777" w:rsidR="002D627A" w:rsidRPr="000D3DC5" w:rsidRDefault="002D627A" w:rsidP="002D627A">
            <w:pPr>
              <w:tabs>
                <w:tab w:val="right" w:pos="9180"/>
              </w:tabs>
            </w:pPr>
          </w:p>
        </w:tc>
        <w:tc>
          <w:tcPr>
            <w:tcW w:w="1620" w:type="dxa"/>
          </w:tcPr>
          <w:p w14:paraId="26BE33FB" w14:textId="30A61B7A" w:rsidR="002D627A" w:rsidRPr="000D3DC5" w:rsidRDefault="006E7CF8" w:rsidP="002D627A">
            <w:pPr>
              <w:tabs>
                <w:tab w:val="decimal" w:pos="1152"/>
                <w:tab w:val="right" w:pos="9180"/>
              </w:tabs>
            </w:pPr>
            <w:r>
              <w:tab/>
            </w:r>
            <w:r w:rsidR="009E050B">
              <w:t>19,576</w:t>
            </w:r>
          </w:p>
        </w:tc>
      </w:tr>
      <w:tr w:rsidR="002D627A" w:rsidRPr="000D3DC5" w14:paraId="1350205C" w14:textId="77777777" w:rsidTr="002D627A">
        <w:tc>
          <w:tcPr>
            <w:tcW w:w="378" w:type="dxa"/>
          </w:tcPr>
          <w:p w14:paraId="5D1888B7" w14:textId="77777777" w:rsidR="002D627A" w:rsidRPr="000D3DC5" w:rsidRDefault="002D627A" w:rsidP="002D627A"/>
        </w:tc>
        <w:tc>
          <w:tcPr>
            <w:tcW w:w="425" w:type="dxa"/>
          </w:tcPr>
          <w:p w14:paraId="1141AEC6" w14:textId="77777777" w:rsidR="002D627A" w:rsidRPr="000D3DC5" w:rsidRDefault="002D627A" w:rsidP="002D627A"/>
        </w:tc>
        <w:tc>
          <w:tcPr>
            <w:tcW w:w="5605" w:type="dxa"/>
            <w:gridSpan w:val="6"/>
          </w:tcPr>
          <w:p w14:paraId="1FDA90B0" w14:textId="77777777" w:rsidR="002D627A" w:rsidRDefault="002D627A" w:rsidP="002D627A">
            <w:r>
              <w:t>Stock-based compensation expense</w:t>
            </w:r>
          </w:p>
        </w:tc>
        <w:tc>
          <w:tcPr>
            <w:tcW w:w="1800" w:type="dxa"/>
          </w:tcPr>
          <w:p w14:paraId="1EED709A" w14:textId="7726AB1C" w:rsidR="002D627A" w:rsidRPr="000D3DC5" w:rsidRDefault="00767AC2" w:rsidP="002D627A">
            <w:pPr>
              <w:tabs>
                <w:tab w:val="decimal" w:pos="1332"/>
                <w:tab w:val="right" w:pos="9180"/>
              </w:tabs>
            </w:pPr>
            <w:r>
              <w:tab/>
            </w:r>
            <w:r w:rsidR="004514BA">
              <w:t>292,744</w:t>
            </w:r>
          </w:p>
        </w:tc>
        <w:tc>
          <w:tcPr>
            <w:tcW w:w="360" w:type="dxa"/>
          </w:tcPr>
          <w:p w14:paraId="1605946C" w14:textId="77777777" w:rsidR="002D627A" w:rsidRPr="000D3DC5" w:rsidRDefault="002D627A" w:rsidP="002D627A">
            <w:pPr>
              <w:tabs>
                <w:tab w:val="right" w:pos="9180"/>
              </w:tabs>
            </w:pPr>
          </w:p>
        </w:tc>
        <w:tc>
          <w:tcPr>
            <w:tcW w:w="1620" w:type="dxa"/>
          </w:tcPr>
          <w:p w14:paraId="6F1BA9DB" w14:textId="5DC0098B" w:rsidR="002D627A" w:rsidRPr="000D3DC5" w:rsidRDefault="006E7CF8" w:rsidP="002D627A">
            <w:pPr>
              <w:tabs>
                <w:tab w:val="decimal" w:pos="1152"/>
                <w:tab w:val="right" w:pos="9180"/>
              </w:tabs>
            </w:pPr>
            <w:r>
              <w:tab/>
            </w:r>
            <w:r w:rsidR="009E050B">
              <w:t>157,736</w:t>
            </w:r>
          </w:p>
        </w:tc>
      </w:tr>
      <w:tr w:rsidR="002D627A" w:rsidRPr="000D3DC5" w14:paraId="6242C166" w14:textId="77777777" w:rsidTr="002D627A">
        <w:tc>
          <w:tcPr>
            <w:tcW w:w="378" w:type="dxa"/>
          </w:tcPr>
          <w:p w14:paraId="03F62F2F" w14:textId="77777777" w:rsidR="002D627A" w:rsidRPr="000D3DC5" w:rsidRDefault="002D627A" w:rsidP="002D627A"/>
        </w:tc>
        <w:tc>
          <w:tcPr>
            <w:tcW w:w="425" w:type="dxa"/>
          </w:tcPr>
          <w:p w14:paraId="167CD5AD" w14:textId="77777777" w:rsidR="002D627A" w:rsidRPr="000D3DC5" w:rsidRDefault="002D627A" w:rsidP="002D627A"/>
        </w:tc>
        <w:tc>
          <w:tcPr>
            <w:tcW w:w="4050" w:type="dxa"/>
            <w:gridSpan w:val="5"/>
          </w:tcPr>
          <w:p w14:paraId="4E1DF8C8" w14:textId="77777777" w:rsidR="002D627A" w:rsidRPr="000D3DC5" w:rsidRDefault="002D627A" w:rsidP="002D627A">
            <w:r w:rsidRPr="000D3DC5">
              <w:t>Changes in assets and liabilities:</w:t>
            </w:r>
          </w:p>
        </w:tc>
        <w:tc>
          <w:tcPr>
            <w:tcW w:w="1555" w:type="dxa"/>
          </w:tcPr>
          <w:p w14:paraId="6EDDED91" w14:textId="77777777" w:rsidR="002D627A" w:rsidRPr="000D3DC5" w:rsidRDefault="002D627A" w:rsidP="002D627A">
            <w:pPr>
              <w:tabs>
                <w:tab w:val="right" w:pos="9180"/>
              </w:tabs>
            </w:pPr>
          </w:p>
        </w:tc>
        <w:tc>
          <w:tcPr>
            <w:tcW w:w="1800" w:type="dxa"/>
          </w:tcPr>
          <w:p w14:paraId="52EFB681" w14:textId="77777777" w:rsidR="002D627A" w:rsidRPr="000D3DC5" w:rsidRDefault="002D627A" w:rsidP="002D627A">
            <w:pPr>
              <w:tabs>
                <w:tab w:val="decimal" w:pos="1332"/>
                <w:tab w:val="right" w:pos="9180"/>
              </w:tabs>
            </w:pPr>
          </w:p>
        </w:tc>
        <w:tc>
          <w:tcPr>
            <w:tcW w:w="360" w:type="dxa"/>
          </w:tcPr>
          <w:p w14:paraId="5139632E" w14:textId="77777777" w:rsidR="002D627A" w:rsidRPr="000D3DC5" w:rsidRDefault="002D627A" w:rsidP="002D627A">
            <w:pPr>
              <w:tabs>
                <w:tab w:val="right" w:pos="9180"/>
              </w:tabs>
            </w:pPr>
          </w:p>
        </w:tc>
        <w:tc>
          <w:tcPr>
            <w:tcW w:w="1620" w:type="dxa"/>
          </w:tcPr>
          <w:p w14:paraId="219EC044" w14:textId="77777777" w:rsidR="002D627A" w:rsidRPr="000D3DC5" w:rsidRDefault="002D627A" w:rsidP="002D627A">
            <w:pPr>
              <w:tabs>
                <w:tab w:val="decimal" w:pos="1152"/>
                <w:tab w:val="right" w:pos="9180"/>
              </w:tabs>
            </w:pPr>
          </w:p>
        </w:tc>
      </w:tr>
      <w:tr w:rsidR="002D627A" w:rsidRPr="000D3DC5" w14:paraId="37FEEA82" w14:textId="77777777" w:rsidTr="002D627A">
        <w:tc>
          <w:tcPr>
            <w:tcW w:w="378" w:type="dxa"/>
          </w:tcPr>
          <w:p w14:paraId="360257F2" w14:textId="77777777" w:rsidR="002D627A" w:rsidRPr="000D3DC5" w:rsidRDefault="002D627A" w:rsidP="002D627A"/>
        </w:tc>
        <w:tc>
          <w:tcPr>
            <w:tcW w:w="425" w:type="dxa"/>
          </w:tcPr>
          <w:p w14:paraId="12F4BC5A" w14:textId="77777777" w:rsidR="002D627A" w:rsidRPr="000D3DC5" w:rsidRDefault="002D627A" w:rsidP="002D627A"/>
        </w:tc>
        <w:tc>
          <w:tcPr>
            <w:tcW w:w="385" w:type="dxa"/>
            <w:gridSpan w:val="2"/>
          </w:tcPr>
          <w:p w14:paraId="51EA8F94" w14:textId="77777777" w:rsidR="002D627A" w:rsidRPr="000D3DC5" w:rsidRDefault="002D627A" w:rsidP="002D627A"/>
        </w:tc>
        <w:tc>
          <w:tcPr>
            <w:tcW w:w="5220" w:type="dxa"/>
            <w:gridSpan w:val="4"/>
          </w:tcPr>
          <w:p w14:paraId="2E92F42A" w14:textId="5E61098D" w:rsidR="002D627A" w:rsidRPr="005B14CF" w:rsidRDefault="009E050B" w:rsidP="002D627A">
            <w:pPr>
              <w:tabs>
                <w:tab w:val="right" w:pos="9180"/>
              </w:tabs>
            </w:pPr>
            <w:r>
              <w:t>Government contract receivable</w:t>
            </w:r>
          </w:p>
        </w:tc>
        <w:tc>
          <w:tcPr>
            <w:tcW w:w="1800" w:type="dxa"/>
          </w:tcPr>
          <w:p w14:paraId="56ADA91A" w14:textId="205C6651" w:rsidR="002D627A" w:rsidRPr="005B14CF" w:rsidRDefault="00767AC2" w:rsidP="002D627A">
            <w:pPr>
              <w:tabs>
                <w:tab w:val="decimal" w:pos="1332"/>
                <w:tab w:val="right" w:pos="9180"/>
              </w:tabs>
            </w:pPr>
            <w:r w:rsidRPr="005B14CF">
              <w:tab/>
            </w:r>
            <w:r w:rsidR="004514BA">
              <w:t>(838,136)</w:t>
            </w:r>
          </w:p>
        </w:tc>
        <w:tc>
          <w:tcPr>
            <w:tcW w:w="360" w:type="dxa"/>
          </w:tcPr>
          <w:p w14:paraId="5F3D2CF9" w14:textId="77777777" w:rsidR="002D627A" w:rsidRPr="005B14CF" w:rsidRDefault="002D627A" w:rsidP="002D627A">
            <w:pPr>
              <w:tabs>
                <w:tab w:val="right" w:pos="9180"/>
              </w:tabs>
            </w:pPr>
          </w:p>
        </w:tc>
        <w:tc>
          <w:tcPr>
            <w:tcW w:w="1620" w:type="dxa"/>
          </w:tcPr>
          <w:p w14:paraId="48F34730" w14:textId="1515B504" w:rsidR="002D627A" w:rsidRDefault="006E7CF8" w:rsidP="002D627A">
            <w:pPr>
              <w:tabs>
                <w:tab w:val="decimal" w:pos="1152"/>
                <w:tab w:val="right" w:pos="9180"/>
              </w:tabs>
            </w:pPr>
            <w:r w:rsidRPr="005B14CF">
              <w:tab/>
            </w:r>
            <w:r w:rsidR="009E050B">
              <w:t>-</w:t>
            </w:r>
          </w:p>
        </w:tc>
      </w:tr>
      <w:tr w:rsidR="002D627A" w:rsidRPr="000D3DC5" w14:paraId="613FC5CF" w14:textId="77777777" w:rsidTr="002D627A">
        <w:tc>
          <w:tcPr>
            <w:tcW w:w="378" w:type="dxa"/>
          </w:tcPr>
          <w:p w14:paraId="4977508C" w14:textId="77777777" w:rsidR="002D627A" w:rsidRPr="000D3DC5" w:rsidRDefault="002D627A" w:rsidP="002D627A"/>
        </w:tc>
        <w:tc>
          <w:tcPr>
            <w:tcW w:w="425" w:type="dxa"/>
          </w:tcPr>
          <w:p w14:paraId="0159E41A" w14:textId="77777777" w:rsidR="002D627A" w:rsidRPr="000D3DC5" w:rsidRDefault="002D627A" w:rsidP="002D627A"/>
        </w:tc>
        <w:tc>
          <w:tcPr>
            <w:tcW w:w="385" w:type="dxa"/>
            <w:gridSpan w:val="2"/>
          </w:tcPr>
          <w:p w14:paraId="709079BB" w14:textId="77777777" w:rsidR="002D627A" w:rsidRPr="000D3DC5" w:rsidRDefault="002D627A" w:rsidP="002D627A"/>
        </w:tc>
        <w:tc>
          <w:tcPr>
            <w:tcW w:w="5220" w:type="dxa"/>
            <w:gridSpan w:val="4"/>
          </w:tcPr>
          <w:p w14:paraId="719AF54A" w14:textId="77777777" w:rsidR="002D627A" w:rsidRPr="000D3DC5" w:rsidRDefault="002D627A" w:rsidP="002D627A">
            <w:pPr>
              <w:tabs>
                <w:tab w:val="right" w:pos="9180"/>
              </w:tabs>
            </w:pPr>
            <w:r w:rsidRPr="000D3DC5">
              <w:t xml:space="preserve">Prepaid expenses </w:t>
            </w:r>
            <w:r>
              <w:t>and other current assets</w:t>
            </w:r>
          </w:p>
        </w:tc>
        <w:tc>
          <w:tcPr>
            <w:tcW w:w="1800" w:type="dxa"/>
          </w:tcPr>
          <w:p w14:paraId="60C11516" w14:textId="2FB081EE" w:rsidR="002D627A" w:rsidRPr="000D3DC5" w:rsidRDefault="00767AC2" w:rsidP="002D627A">
            <w:pPr>
              <w:tabs>
                <w:tab w:val="decimal" w:pos="1332"/>
                <w:tab w:val="right" w:pos="9180"/>
              </w:tabs>
            </w:pPr>
            <w:r>
              <w:tab/>
            </w:r>
            <w:r w:rsidR="004514BA">
              <w:t>92,440</w:t>
            </w:r>
          </w:p>
        </w:tc>
        <w:tc>
          <w:tcPr>
            <w:tcW w:w="360" w:type="dxa"/>
          </w:tcPr>
          <w:p w14:paraId="6A52DAE9" w14:textId="77777777" w:rsidR="002D627A" w:rsidRPr="000D3DC5" w:rsidRDefault="002D627A" w:rsidP="002D627A">
            <w:pPr>
              <w:tabs>
                <w:tab w:val="right" w:pos="9180"/>
              </w:tabs>
            </w:pPr>
          </w:p>
        </w:tc>
        <w:tc>
          <w:tcPr>
            <w:tcW w:w="1620" w:type="dxa"/>
          </w:tcPr>
          <w:p w14:paraId="07A50865" w14:textId="6828B19F" w:rsidR="002D627A" w:rsidRPr="000D3DC5" w:rsidRDefault="006E7CF8" w:rsidP="002D627A">
            <w:pPr>
              <w:tabs>
                <w:tab w:val="decimal" w:pos="1152"/>
                <w:tab w:val="right" w:pos="9180"/>
              </w:tabs>
            </w:pPr>
            <w:r>
              <w:tab/>
            </w:r>
            <w:r w:rsidR="00E440EE">
              <w:t>(</w:t>
            </w:r>
            <w:r w:rsidR="009E050B">
              <w:t>677,033</w:t>
            </w:r>
            <w:r w:rsidR="00E440EE">
              <w:t>)</w:t>
            </w:r>
          </w:p>
        </w:tc>
      </w:tr>
      <w:tr w:rsidR="00C360D2" w:rsidRPr="000D3DC5" w14:paraId="5E84CD98" w14:textId="77777777" w:rsidTr="002D627A">
        <w:tc>
          <w:tcPr>
            <w:tcW w:w="378" w:type="dxa"/>
          </w:tcPr>
          <w:p w14:paraId="7AE2A4DA" w14:textId="77777777" w:rsidR="00C360D2" w:rsidRPr="000D3DC5" w:rsidRDefault="00C360D2" w:rsidP="002D627A"/>
        </w:tc>
        <w:tc>
          <w:tcPr>
            <w:tcW w:w="425" w:type="dxa"/>
          </w:tcPr>
          <w:p w14:paraId="63DB385A" w14:textId="77777777" w:rsidR="00C360D2" w:rsidRPr="000D3DC5" w:rsidRDefault="00C360D2" w:rsidP="002D627A"/>
        </w:tc>
        <w:tc>
          <w:tcPr>
            <w:tcW w:w="385" w:type="dxa"/>
            <w:gridSpan w:val="2"/>
          </w:tcPr>
          <w:p w14:paraId="6C0DC9F5" w14:textId="77777777" w:rsidR="00C360D2" w:rsidRPr="000D3DC5" w:rsidRDefault="00C360D2" w:rsidP="002D627A"/>
        </w:tc>
        <w:tc>
          <w:tcPr>
            <w:tcW w:w="5220" w:type="dxa"/>
            <w:gridSpan w:val="4"/>
          </w:tcPr>
          <w:p w14:paraId="6809A01B" w14:textId="18DD0A3B" w:rsidR="00C360D2" w:rsidRPr="000D3DC5" w:rsidRDefault="00C360D2" w:rsidP="002D627A">
            <w:pPr>
              <w:tabs>
                <w:tab w:val="right" w:pos="9180"/>
              </w:tabs>
            </w:pPr>
            <w:r>
              <w:t>Other assets</w:t>
            </w:r>
          </w:p>
        </w:tc>
        <w:tc>
          <w:tcPr>
            <w:tcW w:w="1800" w:type="dxa"/>
          </w:tcPr>
          <w:p w14:paraId="54501F6C" w14:textId="21754953" w:rsidR="00C360D2" w:rsidRDefault="00C360D2" w:rsidP="002D627A">
            <w:pPr>
              <w:tabs>
                <w:tab w:val="decimal" w:pos="1332"/>
                <w:tab w:val="right" w:pos="9180"/>
              </w:tabs>
            </w:pPr>
            <w:r>
              <w:tab/>
            </w:r>
            <w:r w:rsidR="004514BA">
              <w:t>-</w:t>
            </w:r>
          </w:p>
        </w:tc>
        <w:tc>
          <w:tcPr>
            <w:tcW w:w="360" w:type="dxa"/>
          </w:tcPr>
          <w:p w14:paraId="20D2567E" w14:textId="77777777" w:rsidR="00C360D2" w:rsidRPr="000D3DC5" w:rsidRDefault="00C360D2" w:rsidP="002D627A">
            <w:pPr>
              <w:tabs>
                <w:tab w:val="right" w:pos="9180"/>
              </w:tabs>
            </w:pPr>
          </w:p>
        </w:tc>
        <w:tc>
          <w:tcPr>
            <w:tcW w:w="1620" w:type="dxa"/>
          </w:tcPr>
          <w:p w14:paraId="404CD499" w14:textId="36BB9C71" w:rsidR="00C360D2" w:rsidRDefault="00C360D2" w:rsidP="002D627A">
            <w:pPr>
              <w:tabs>
                <w:tab w:val="decimal" w:pos="1152"/>
                <w:tab w:val="right" w:pos="9180"/>
              </w:tabs>
            </w:pPr>
            <w:r>
              <w:tab/>
            </w:r>
            <w:r w:rsidR="009E050B">
              <w:t>882,097</w:t>
            </w:r>
          </w:p>
        </w:tc>
      </w:tr>
      <w:tr w:rsidR="002D627A" w:rsidRPr="000D3DC5" w14:paraId="668C34D8" w14:textId="77777777" w:rsidTr="002D627A">
        <w:tc>
          <w:tcPr>
            <w:tcW w:w="378" w:type="dxa"/>
          </w:tcPr>
          <w:p w14:paraId="66947C1A" w14:textId="77777777" w:rsidR="002D627A" w:rsidRPr="000D3DC5" w:rsidRDefault="002D627A" w:rsidP="002D627A"/>
        </w:tc>
        <w:tc>
          <w:tcPr>
            <w:tcW w:w="425" w:type="dxa"/>
          </w:tcPr>
          <w:p w14:paraId="6969CC7B" w14:textId="77777777" w:rsidR="002D627A" w:rsidRPr="000D3DC5" w:rsidRDefault="002D627A" w:rsidP="002D627A"/>
        </w:tc>
        <w:tc>
          <w:tcPr>
            <w:tcW w:w="385" w:type="dxa"/>
            <w:gridSpan w:val="2"/>
          </w:tcPr>
          <w:p w14:paraId="1AD67F20" w14:textId="77777777" w:rsidR="002D627A" w:rsidRPr="000D3DC5" w:rsidRDefault="002D627A" w:rsidP="002D627A"/>
        </w:tc>
        <w:tc>
          <w:tcPr>
            <w:tcW w:w="5220" w:type="dxa"/>
            <w:gridSpan w:val="4"/>
          </w:tcPr>
          <w:p w14:paraId="31D7AC71" w14:textId="1C691515" w:rsidR="002D627A" w:rsidRPr="000D3DC5" w:rsidRDefault="002D627A" w:rsidP="002D627A">
            <w:pPr>
              <w:tabs>
                <w:tab w:val="right" w:pos="9180"/>
              </w:tabs>
            </w:pPr>
            <w:r w:rsidRPr="000D3DC5">
              <w:t>Accounts payable</w:t>
            </w:r>
            <w:r w:rsidR="002072C5">
              <w:t xml:space="preserve"> and</w:t>
            </w:r>
            <w:r w:rsidR="00454D03">
              <w:t xml:space="preserve"> </w:t>
            </w:r>
            <w:r w:rsidRPr="000D3DC5">
              <w:t>accrued expenses</w:t>
            </w:r>
          </w:p>
        </w:tc>
        <w:tc>
          <w:tcPr>
            <w:tcW w:w="1800" w:type="dxa"/>
          </w:tcPr>
          <w:p w14:paraId="39FF3F45" w14:textId="716D7B1C" w:rsidR="002D627A" w:rsidRPr="000D3DC5" w:rsidRDefault="00767AC2" w:rsidP="002D627A">
            <w:pPr>
              <w:tabs>
                <w:tab w:val="decimal" w:pos="1332"/>
                <w:tab w:val="right" w:pos="9180"/>
              </w:tabs>
            </w:pPr>
            <w:r>
              <w:tab/>
            </w:r>
            <w:r w:rsidR="004514BA">
              <w:t>(</w:t>
            </w:r>
            <w:r w:rsidR="00232ECE">
              <w:t>171,998</w:t>
            </w:r>
            <w:r w:rsidR="004514BA">
              <w:t>)</w:t>
            </w:r>
          </w:p>
        </w:tc>
        <w:tc>
          <w:tcPr>
            <w:tcW w:w="360" w:type="dxa"/>
          </w:tcPr>
          <w:p w14:paraId="102B1A34" w14:textId="77777777" w:rsidR="002D627A" w:rsidRPr="000D3DC5" w:rsidRDefault="002D627A" w:rsidP="002D627A">
            <w:pPr>
              <w:tabs>
                <w:tab w:val="right" w:pos="9180"/>
              </w:tabs>
            </w:pPr>
          </w:p>
        </w:tc>
        <w:tc>
          <w:tcPr>
            <w:tcW w:w="1620" w:type="dxa"/>
          </w:tcPr>
          <w:p w14:paraId="6098F217" w14:textId="2F2C401E" w:rsidR="002D627A" w:rsidRPr="000D3DC5" w:rsidRDefault="006E7CF8" w:rsidP="002D627A">
            <w:pPr>
              <w:tabs>
                <w:tab w:val="decimal" w:pos="1152"/>
                <w:tab w:val="right" w:pos="9180"/>
              </w:tabs>
            </w:pPr>
            <w:r>
              <w:tab/>
            </w:r>
            <w:r w:rsidR="009E050B">
              <w:t>(215,974)</w:t>
            </w:r>
          </w:p>
        </w:tc>
      </w:tr>
      <w:tr w:rsidR="002D627A" w:rsidRPr="000D3DC5" w14:paraId="16F9DA47" w14:textId="77777777" w:rsidTr="002D627A">
        <w:tc>
          <w:tcPr>
            <w:tcW w:w="378" w:type="dxa"/>
          </w:tcPr>
          <w:p w14:paraId="2BD4302A" w14:textId="77777777" w:rsidR="002D627A" w:rsidRPr="000D3DC5" w:rsidRDefault="002D627A" w:rsidP="002D627A"/>
        </w:tc>
        <w:tc>
          <w:tcPr>
            <w:tcW w:w="425" w:type="dxa"/>
          </w:tcPr>
          <w:p w14:paraId="0648921B" w14:textId="77777777" w:rsidR="002D627A" w:rsidRPr="000D3DC5" w:rsidRDefault="002D627A" w:rsidP="002D627A"/>
        </w:tc>
        <w:tc>
          <w:tcPr>
            <w:tcW w:w="385" w:type="dxa"/>
            <w:gridSpan w:val="2"/>
          </w:tcPr>
          <w:p w14:paraId="2919B6EE" w14:textId="77777777" w:rsidR="002D627A" w:rsidRPr="000D3DC5" w:rsidRDefault="002D627A" w:rsidP="002D627A"/>
        </w:tc>
        <w:tc>
          <w:tcPr>
            <w:tcW w:w="3665" w:type="dxa"/>
            <w:gridSpan w:val="3"/>
          </w:tcPr>
          <w:p w14:paraId="5A8B86E0" w14:textId="77777777" w:rsidR="002D627A" w:rsidRPr="000D3DC5" w:rsidRDefault="002D627A" w:rsidP="002D627A">
            <w:r w:rsidRPr="000D3DC5">
              <w:t>Total adjustments</w:t>
            </w:r>
          </w:p>
        </w:tc>
        <w:tc>
          <w:tcPr>
            <w:tcW w:w="1555" w:type="dxa"/>
          </w:tcPr>
          <w:p w14:paraId="35C224FB"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4117058" w14:textId="2C6A4BF1" w:rsidR="002D627A" w:rsidRPr="000D3DC5" w:rsidRDefault="00767AC2" w:rsidP="002D627A">
            <w:pPr>
              <w:tabs>
                <w:tab w:val="decimal" w:pos="1332"/>
                <w:tab w:val="right" w:pos="9180"/>
              </w:tabs>
            </w:pPr>
            <w:r>
              <w:tab/>
            </w:r>
            <w:r w:rsidR="004514BA">
              <w:t>(</w:t>
            </w:r>
            <w:r w:rsidR="00232ECE">
              <w:t>608,029</w:t>
            </w:r>
            <w:r w:rsidR="004514BA">
              <w:t>)</w:t>
            </w:r>
          </w:p>
        </w:tc>
        <w:tc>
          <w:tcPr>
            <w:tcW w:w="360" w:type="dxa"/>
          </w:tcPr>
          <w:p w14:paraId="5C0FE4E4" w14:textId="77777777" w:rsidR="002D627A" w:rsidRPr="000D3DC5" w:rsidRDefault="002D627A" w:rsidP="002D627A">
            <w:pPr>
              <w:tabs>
                <w:tab w:val="right" w:pos="9180"/>
              </w:tabs>
            </w:pPr>
          </w:p>
        </w:tc>
        <w:tc>
          <w:tcPr>
            <w:tcW w:w="1620" w:type="dxa"/>
            <w:tcBorders>
              <w:top w:val="single" w:sz="4" w:space="0" w:color="auto"/>
              <w:bottom w:val="single" w:sz="4" w:space="0" w:color="auto"/>
            </w:tcBorders>
          </w:tcPr>
          <w:p w14:paraId="68CCE1A8" w14:textId="0C5F7651" w:rsidR="002D627A" w:rsidRPr="000D3DC5" w:rsidRDefault="006E7CF8" w:rsidP="002D627A">
            <w:pPr>
              <w:tabs>
                <w:tab w:val="decimal" w:pos="1152"/>
                <w:tab w:val="right" w:pos="9180"/>
              </w:tabs>
            </w:pPr>
            <w:r>
              <w:tab/>
            </w:r>
            <w:r w:rsidR="009E050B">
              <w:t>166,402</w:t>
            </w:r>
          </w:p>
        </w:tc>
      </w:tr>
      <w:tr w:rsidR="00D27ADC" w:rsidRPr="000D3DC5" w14:paraId="14368133" w14:textId="77777777" w:rsidTr="00D27ADC">
        <w:tc>
          <w:tcPr>
            <w:tcW w:w="378" w:type="dxa"/>
          </w:tcPr>
          <w:p w14:paraId="08E245AC" w14:textId="77777777" w:rsidR="00D27ADC" w:rsidRPr="000D3DC5" w:rsidRDefault="00D27ADC" w:rsidP="002D627A"/>
        </w:tc>
        <w:tc>
          <w:tcPr>
            <w:tcW w:w="4475" w:type="dxa"/>
            <w:gridSpan w:val="6"/>
          </w:tcPr>
          <w:p w14:paraId="3C67A0BF" w14:textId="21AC1679" w:rsidR="00D27ADC" w:rsidRPr="000D3DC5" w:rsidRDefault="00D27ADC" w:rsidP="002D627A">
            <w:r>
              <w:t>Net cash used in operating activities</w:t>
            </w:r>
          </w:p>
        </w:tc>
        <w:tc>
          <w:tcPr>
            <w:tcW w:w="1555" w:type="dxa"/>
          </w:tcPr>
          <w:p w14:paraId="6E8EA270" w14:textId="77777777" w:rsidR="00D27ADC" w:rsidRPr="000D3DC5" w:rsidRDefault="00D27ADC" w:rsidP="002D627A">
            <w:pPr>
              <w:tabs>
                <w:tab w:val="right" w:pos="9180"/>
              </w:tabs>
            </w:pPr>
          </w:p>
        </w:tc>
        <w:tc>
          <w:tcPr>
            <w:tcW w:w="1800" w:type="dxa"/>
            <w:tcBorders>
              <w:top w:val="single" w:sz="4" w:space="0" w:color="auto"/>
            </w:tcBorders>
          </w:tcPr>
          <w:p w14:paraId="70FAA7D5" w14:textId="39AFA505" w:rsidR="00D27ADC" w:rsidRDefault="00D27ADC" w:rsidP="002D627A">
            <w:pPr>
              <w:tabs>
                <w:tab w:val="decimal" w:pos="1332"/>
                <w:tab w:val="right" w:pos="9180"/>
              </w:tabs>
            </w:pPr>
            <w:r>
              <w:tab/>
            </w:r>
            <w:r w:rsidR="004514BA">
              <w:t>(5,965,680)</w:t>
            </w:r>
          </w:p>
        </w:tc>
        <w:tc>
          <w:tcPr>
            <w:tcW w:w="360" w:type="dxa"/>
          </w:tcPr>
          <w:p w14:paraId="5B058E0A" w14:textId="77777777" w:rsidR="00D27ADC" w:rsidRPr="000D3DC5" w:rsidRDefault="00D27ADC" w:rsidP="002D627A">
            <w:pPr>
              <w:tabs>
                <w:tab w:val="right" w:pos="9180"/>
              </w:tabs>
            </w:pPr>
          </w:p>
        </w:tc>
        <w:tc>
          <w:tcPr>
            <w:tcW w:w="1620" w:type="dxa"/>
            <w:tcBorders>
              <w:top w:val="single" w:sz="4" w:space="0" w:color="auto"/>
            </w:tcBorders>
          </w:tcPr>
          <w:p w14:paraId="7F26F29E" w14:textId="08D96E04" w:rsidR="00D27ADC" w:rsidRDefault="00D27ADC" w:rsidP="002D627A">
            <w:pPr>
              <w:tabs>
                <w:tab w:val="decimal" w:pos="1152"/>
                <w:tab w:val="right" w:pos="9180"/>
              </w:tabs>
            </w:pPr>
            <w:r>
              <w:tab/>
              <w:t>(</w:t>
            </w:r>
            <w:r w:rsidR="009E050B">
              <w:t>5,683,730</w:t>
            </w:r>
            <w:r>
              <w:t>)</w:t>
            </w:r>
          </w:p>
        </w:tc>
      </w:tr>
      <w:tr w:rsidR="002D627A" w:rsidRPr="000D3DC5" w14:paraId="51C57900" w14:textId="77777777" w:rsidTr="008C0026">
        <w:tc>
          <w:tcPr>
            <w:tcW w:w="378" w:type="dxa"/>
          </w:tcPr>
          <w:p w14:paraId="103882EB" w14:textId="77777777" w:rsidR="002D627A" w:rsidRPr="000D3DC5" w:rsidRDefault="002D627A" w:rsidP="002D627A"/>
        </w:tc>
        <w:tc>
          <w:tcPr>
            <w:tcW w:w="425" w:type="dxa"/>
          </w:tcPr>
          <w:p w14:paraId="63031A81" w14:textId="77777777" w:rsidR="002D627A" w:rsidRPr="000D3DC5" w:rsidRDefault="002D627A" w:rsidP="002D627A"/>
        </w:tc>
        <w:tc>
          <w:tcPr>
            <w:tcW w:w="789" w:type="dxa"/>
            <w:gridSpan w:val="3"/>
          </w:tcPr>
          <w:p w14:paraId="091CBC5B" w14:textId="77777777" w:rsidR="002D627A" w:rsidRPr="000D3DC5" w:rsidRDefault="002D627A" w:rsidP="002D627A"/>
        </w:tc>
        <w:tc>
          <w:tcPr>
            <w:tcW w:w="620" w:type="dxa"/>
          </w:tcPr>
          <w:p w14:paraId="2E729B58" w14:textId="77777777" w:rsidR="002D627A" w:rsidRPr="000D3DC5" w:rsidRDefault="002D627A" w:rsidP="002D627A"/>
        </w:tc>
        <w:tc>
          <w:tcPr>
            <w:tcW w:w="2641" w:type="dxa"/>
          </w:tcPr>
          <w:p w14:paraId="7DBE3FDA" w14:textId="77777777" w:rsidR="002D627A" w:rsidRPr="000D3DC5" w:rsidRDefault="002D627A" w:rsidP="002D627A"/>
        </w:tc>
        <w:tc>
          <w:tcPr>
            <w:tcW w:w="1555" w:type="dxa"/>
          </w:tcPr>
          <w:p w14:paraId="06A499F1" w14:textId="77777777" w:rsidR="002D627A" w:rsidRPr="000D3DC5" w:rsidRDefault="002D627A" w:rsidP="002D627A">
            <w:pPr>
              <w:tabs>
                <w:tab w:val="right" w:pos="9180"/>
              </w:tabs>
            </w:pPr>
          </w:p>
        </w:tc>
        <w:tc>
          <w:tcPr>
            <w:tcW w:w="1800" w:type="dxa"/>
          </w:tcPr>
          <w:p w14:paraId="73B25CE2" w14:textId="77777777" w:rsidR="002D627A" w:rsidRPr="000D3DC5" w:rsidRDefault="002D627A" w:rsidP="002D627A">
            <w:pPr>
              <w:tabs>
                <w:tab w:val="decimal" w:pos="1044"/>
                <w:tab w:val="decimal" w:pos="1332"/>
                <w:tab w:val="right" w:pos="9180"/>
              </w:tabs>
            </w:pPr>
          </w:p>
        </w:tc>
        <w:tc>
          <w:tcPr>
            <w:tcW w:w="360" w:type="dxa"/>
          </w:tcPr>
          <w:p w14:paraId="1CA23BFF" w14:textId="77777777" w:rsidR="002D627A" w:rsidRPr="000D3DC5" w:rsidRDefault="002D627A" w:rsidP="002D627A">
            <w:pPr>
              <w:tabs>
                <w:tab w:val="right" w:pos="9180"/>
              </w:tabs>
            </w:pPr>
          </w:p>
        </w:tc>
        <w:tc>
          <w:tcPr>
            <w:tcW w:w="1620" w:type="dxa"/>
          </w:tcPr>
          <w:p w14:paraId="16E45CB6" w14:textId="77777777" w:rsidR="002D627A" w:rsidRPr="000D3DC5" w:rsidRDefault="002D627A" w:rsidP="002D627A">
            <w:pPr>
              <w:tabs>
                <w:tab w:val="decimal" w:pos="1044"/>
                <w:tab w:val="right" w:pos="9180"/>
              </w:tabs>
            </w:pPr>
          </w:p>
        </w:tc>
      </w:tr>
      <w:tr w:rsidR="008C0026" w:rsidRPr="000D3DC5" w14:paraId="01811FC7" w14:textId="77777777" w:rsidTr="008C0026">
        <w:tc>
          <w:tcPr>
            <w:tcW w:w="4853" w:type="dxa"/>
            <w:gridSpan w:val="7"/>
          </w:tcPr>
          <w:p w14:paraId="48BC66BB" w14:textId="63B87D1F" w:rsidR="008C0026" w:rsidRPr="000D3DC5" w:rsidRDefault="008C0026" w:rsidP="002D627A">
            <w:r>
              <w:t>Cash flows from investing activities</w:t>
            </w:r>
            <w:r w:rsidR="00E321CC">
              <w:t>:</w:t>
            </w:r>
          </w:p>
        </w:tc>
        <w:tc>
          <w:tcPr>
            <w:tcW w:w="1555" w:type="dxa"/>
          </w:tcPr>
          <w:p w14:paraId="7EBDEEE5" w14:textId="77777777" w:rsidR="008C0026" w:rsidRPr="000D3DC5" w:rsidRDefault="008C0026" w:rsidP="002D627A">
            <w:pPr>
              <w:tabs>
                <w:tab w:val="right" w:pos="9180"/>
              </w:tabs>
            </w:pPr>
          </w:p>
        </w:tc>
        <w:tc>
          <w:tcPr>
            <w:tcW w:w="1800" w:type="dxa"/>
          </w:tcPr>
          <w:p w14:paraId="5782B4A9" w14:textId="14031390" w:rsidR="008C0026" w:rsidRPr="000D3DC5" w:rsidRDefault="008C0026" w:rsidP="002D627A">
            <w:pPr>
              <w:tabs>
                <w:tab w:val="decimal" w:pos="1332"/>
                <w:tab w:val="right" w:pos="9180"/>
              </w:tabs>
            </w:pPr>
          </w:p>
        </w:tc>
        <w:tc>
          <w:tcPr>
            <w:tcW w:w="360" w:type="dxa"/>
          </w:tcPr>
          <w:p w14:paraId="4C599FC5" w14:textId="77777777" w:rsidR="008C0026" w:rsidRPr="000D3DC5" w:rsidRDefault="008C0026" w:rsidP="002D627A">
            <w:pPr>
              <w:tabs>
                <w:tab w:val="right" w:pos="9180"/>
              </w:tabs>
            </w:pPr>
          </w:p>
        </w:tc>
        <w:tc>
          <w:tcPr>
            <w:tcW w:w="1620" w:type="dxa"/>
          </w:tcPr>
          <w:p w14:paraId="25532362" w14:textId="42B3D335" w:rsidR="008C0026" w:rsidRPr="000D3DC5" w:rsidRDefault="008C0026" w:rsidP="002D627A">
            <w:pPr>
              <w:tabs>
                <w:tab w:val="decimal" w:pos="1152"/>
                <w:tab w:val="right" w:pos="9180"/>
              </w:tabs>
            </w:pPr>
          </w:p>
        </w:tc>
      </w:tr>
      <w:tr w:rsidR="00363680" w:rsidRPr="000D3DC5" w14:paraId="71E198A6" w14:textId="77777777" w:rsidTr="00050A48">
        <w:tc>
          <w:tcPr>
            <w:tcW w:w="378" w:type="dxa"/>
          </w:tcPr>
          <w:p w14:paraId="3F77F2D4" w14:textId="77777777" w:rsidR="00363680" w:rsidRPr="000D3DC5" w:rsidRDefault="00363680" w:rsidP="00050A48"/>
        </w:tc>
        <w:tc>
          <w:tcPr>
            <w:tcW w:w="6030" w:type="dxa"/>
            <w:gridSpan w:val="7"/>
          </w:tcPr>
          <w:p w14:paraId="77AB9032" w14:textId="3F320546" w:rsidR="00363680" w:rsidRPr="000D3DC5" w:rsidRDefault="00363680" w:rsidP="00050A48">
            <w:pPr>
              <w:tabs>
                <w:tab w:val="right" w:pos="9180"/>
              </w:tabs>
            </w:pPr>
            <w:r>
              <w:t>Purchase of equipment</w:t>
            </w:r>
          </w:p>
        </w:tc>
        <w:tc>
          <w:tcPr>
            <w:tcW w:w="1800" w:type="dxa"/>
          </w:tcPr>
          <w:p w14:paraId="0BC7BE8F" w14:textId="5EDC9D82" w:rsidR="00363680" w:rsidRDefault="00363680" w:rsidP="00050A48">
            <w:pPr>
              <w:tabs>
                <w:tab w:val="decimal" w:pos="1332"/>
                <w:tab w:val="right" w:pos="9180"/>
              </w:tabs>
            </w:pPr>
            <w:r>
              <w:tab/>
            </w:r>
            <w:r w:rsidR="004514BA">
              <w:t>(16,894)</w:t>
            </w:r>
          </w:p>
        </w:tc>
        <w:tc>
          <w:tcPr>
            <w:tcW w:w="360" w:type="dxa"/>
          </w:tcPr>
          <w:p w14:paraId="08E6391D" w14:textId="77777777" w:rsidR="00363680" w:rsidRPr="000D3DC5" w:rsidRDefault="00363680" w:rsidP="00050A48">
            <w:pPr>
              <w:pStyle w:val="ListParagraph"/>
              <w:numPr>
                <w:ilvl w:val="0"/>
                <w:numId w:val="6"/>
              </w:numPr>
              <w:tabs>
                <w:tab w:val="right" w:pos="9180"/>
              </w:tabs>
            </w:pPr>
          </w:p>
        </w:tc>
        <w:tc>
          <w:tcPr>
            <w:tcW w:w="1620" w:type="dxa"/>
          </w:tcPr>
          <w:p w14:paraId="0329B3C1" w14:textId="679550C2" w:rsidR="00363680" w:rsidRDefault="00363680" w:rsidP="00050A48">
            <w:pPr>
              <w:tabs>
                <w:tab w:val="decimal" w:pos="1152"/>
                <w:tab w:val="right" w:pos="9180"/>
              </w:tabs>
            </w:pPr>
            <w:r>
              <w:tab/>
            </w:r>
            <w:r w:rsidR="009E050B">
              <w:t>-</w:t>
            </w:r>
          </w:p>
        </w:tc>
      </w:tr>
      <w:tr w:rsidR="00363680" w:rsidRPr="000D3DC5" w14:paraId="314BDDBD" w14:textId="77777777" w:rsidTr="00050A48">
        <w:tc>
          <w:tcPr>
            <w:tcW w:w="378" w:type="dxa"/>
          </w:tcPr>
          <w:p w14:paraId="12FAD496" w14:textId="77777777" w:rsidR="00363680" w:rsidRPr="000D3DC5" w:rsidRDefault="00363680" w:rsidP="00050A48"/>
        </w:tc>
        <w:tc>
          <w:tcPr>
            <w:tcW w:w="4475" w:type="dxa"/>
            <w:gridSpan w:val="6"/>
          </w:tcPr>
          <w:p w14:paraId="3BBA49CC" w14:textId="3ACF6B57" w:rsidR="00363680" w:rsidRDefault="00363680" w:rsidP="00050A48">
            <w:r>
              <w:t>Net cash used in investing activities</w:t>
            </w:r>
          </w:p>
        </w:tc>
        <w:tc>
          <w:tcPr>
            <w:tcW w:w="1555" w:type="dxa"/>
          </w:tcPr>
          <w:p w14:paraId="74ADDFA3" w14:textId="77777777" w:rsidR="00363680" w:rsidRPr="000D3DC5" w:rsidRDefault="00363680" w:rsidP="00050A48">
            <w:pPr>
              <w:tabs>
                <w:tab w:val="right" w:pos="9180"/>
              </w:tabs>
            </w:pPr>
          </w:p>
        </w:tc>
        <w:tc>
          <w:tcPr>
            <w:tcW w:w="1800" w:type="dxa"/>
            <w:tcBorders>
              <w:top w:val="single" w:sz="4" w:space="0" w:color="auto"/>
            </w:tcBorders>
          </w:tcPr>
          <w:p w14:paraId="4D6969D3" w14:textId="04011532" w:rsidR="00363680" w:rsidRDefault="00363680" w:rsidP="00050A48">
            <w:pPr>
              <w:tabs>
                <w:tab w:val="decimal" w:pos="1332"/>
                <w:tab w:val="right" w:pos="9180"/>
              </w:tabs>
            </w:pPr>
            <w:r>
              <w:tab/>
            </w:r>
            <w:r w:rsidR="004514BA">
              <w:t>(16,894)</w:t>
            </w:r>
          </w:p>
        </w:tc>
        <w:tc>
          <w:tcPr>
            <w:tcW w:w="360" w:type="dxa"/>
          </w:tcPr>
          <w:p w14:paraId="600D95FF" w14:textId="77777777" w:rsidR="00363680" w:rsidRPr="000D3DC5" w:rsidRDefault="00363680" w:rsidP="00050A48">
            <w:pPr>
              <w:pStyle w:val="ListParagraph"/>
              <w:numPr>
                <w:ilvl w:val="0"/>
                <w:numId w:val="6"/>
              </w:numPr>
              <w:tabs>
                <w:tab w:val="right" w:pos="9180"/>
              </w:tabs>
            </w:pPr>
          </w:p>
        </w:tc>
        <w:tc>
          <w:tcPr>
            <w:tcW w:w="1620" w:type="dxa"/>
            <w:tcBorders>
              <w:top w:val="single" w:sz="4" w:space="0" w:color="auto"/>
            </w:tcBorders>
          </w:tcPr>
          <w:p w14:paraId="04404962" w14:textId="31FCD044" w:rsidR="00363680" w:rsidRDefault="00363680" w:rsidP="00050A48">
            <w:pPr>
              <w:tabs>
                <w:tab w:val="decimal" w:pos="1152"/>
                <w:tab w:val="right" w:pos="9180"/>
              </w:tabs>
            </w:pPr>
            <w:r>
              <w:tab/>
            </w:r>
            <w:r w:rsidR="009E050B">
              <w:t>-</w:t>
            </w:r>
          </w:p>
        </w:tc>
      </w:tr>
      <w:tr w:rsidR="00363680" w:rsidRPr="000D3DC5" w14:paraId="17945B1C" w14:textId="77777777" w:rsidTr="008C0026">
        <w:tc>
          <w:tcPr>
            <w:tcW w:w="378" w:type="dxa"/>
          </w:tcPr>
          <w:p w14:paraId="03B15628" w14:textId="77777777" w:rsidR="00363680" w:rsidRPr="000D3DC5" w:rsidRDefault="00363680" w:rsidP="002D627A"/>
        </w:tc>
        <w:tc>
          <w:tcPr>
            <w:tcW w:w="425" w:type="dxa"/>
          </w:tcPr>
          <w:p w14:paraId="4542E165" w14:textId="77777777" w:rsidR="00363680" w:rsidRPr="000D3DC5" w:rsidRDefault="00363680" w:rsidP="002D627A"/>
        </w:tc>
        <w:tc>
          <w:tcPr>
            <w:tcW w:w="789" w:type="dxa"/>
            <w:gridSpan w:val="3"/>
          </w:tcPr>
          <w:p w14:paraId="31CDC79E" w14:textId="77777777" w:rsidR="00363680" w:rsidRPr="000D3DC5" w:rsidRDefault="00363680" w:rsidP="002D627A"/>
        </w:tc>
        <w:tc>
          <w:tcPr>
            <w:tcW w:w="620" w:type="dxa"/>
          </w:tcPr>
          <w:p w14:paraId="3E6FCFC4" w14:textId="77777777" w:rsidR="00363680" w:rsidRPr="000D3DC5" w:rsidRDefault="00363680" w:rsidP="002D627A"/>
        </w:tc>
        <w:tc>
          <w:tcPr>
            <w:tcW w:w="2641" w:type="dxa"/>
          </w:tcPr>
          <w:p w14:paraId="62826419" w14:textId="77777777" w:rsidR="00363680" w:rsidRPr="000D3DC5" w:rsidRDefault="00363680" w:rsidP="002D627A"/>
        </w:tc>
        <w:tc>
          <w:tcPr>
            <w:tcW w:w="1555" w:type="dxa"/>
          </w:tcPr>
          <w:p w14:paraId="3F470160" w14:textId="77777777" w:rsidR="00363680" w:rsidRPr="000D3DC5" w:rsidRDefault="00363680" w:rsidP="002D627A">
            <w:pPr>
              <w:tabs>
                <w:tab w:val="right" w:pos="9180"/>
              </w:tabs>
            </w:pPr>
          </w:p>
        </w:tc>
        <w:tc>
          <w:tcPr>
            <w:tcW w:w="1800" w:type="dxa"/>
          </w:tcPr>
          <w:p w14:paraId="220CA81A" w14:textId="77777777" w:rsidR="00363680" w:rsidRPr="000D3DC5" w:rsidRDefault="00363680" w:rsidP="002D627A">
            <w:pPr>
              <w:tabs>
                <w:tab w:val="decimal" w:pos="1044"/>
                <w:tab w:val="decimal" w:pos="1332"/>
                <w:tab w:val="right" w:pos="9180"/>
              </w:tabs>
            </w:pPr>
          </w:p>
        </w:tc>
        <w:tc>
          <w:tcPr>
            <w:tcW w:w="360" w:type="dxa"/>
          </w:tcPr>
          <w:p w14:paraId="5A99BA52" w14:textId="77777777" w:rsidR="00363680" w:rsidRPr="000D3DC5" w:rsidRDefault="00363680" w:rsidP="002D627A">
            <w:pPr>
              <w:tabs>
                <w:tab w:val="right" w:pos="9180"/>
              </w:tabs>
            </w:pPr>
          </w:p>
        </w:tc>
        <w:tc>
          <w:tcPr>
            <w:tcW w:w="1620" w:type="dxa"/>
          </w:tcPr>
          <w:p w14:paraId="568DC390" w14:textId="77777777" w:rsidR="00363680" w:rsidRPr="000D3DC5" w:rsidRDefault="00363680" w:rsidP="002D627A">
            <w:pPr>
              <w:tabs>
                <w:tab w:val="decimal" w:pos="1044"/>
                <w:tab w:val="right" w:pos="9180"/>
              </w:tabs>
            </w:pPr>
          </w:p>
        </w:tc>
      </w:tr>
      <w:tr w:rsidR="002D627A" w:rsidRPr="000D3DC5" w14:paraId="053EAA27" w14:textId="77777777" w:rsidTr="002D627A">
        <w:tc>
          <w:tcPr>
            <w:tcW w:w="4853" w:type="dxa"/>
            <w:gridSpan w:val="7"/>
          </w:tcPr>
          <w:p w14:paraId="22EA140B" w14:textId="77777777" w:rsidR="002D627A" w:rsidRPr="00BF705A" w:rsidRDefault="002D627A" w:rsidP="002D627A">
            <w:r w:rsidRPr="00BF705A">
              <w:t>Cash flows from financing activities:</w:t>
            </w:r>
          </w:p>
        </w:tc>
        <w:tc>
          <w:tcPr>
            <w:tcW w:w="1555" w:type="dxa"/>
          </w:tcPr>
          <w:p w14:paraId="090FA1AC" w14:textId="77777777" w:rsidR="002D627A" w:rsidRPr="00BF705A" w:rsidRDefault="002D627A" w:rsidP="002D627A">
            <w:pPr>
              <w:tabs>
                <w:tab w:val="right" w:pos="9180"/>
              </w:tabs>
            </w:pPr>
          </w:p>
        </w:tc>
        <w:tc>
          <w:tcPr>
            <w:tcW w:w="1800" w:type="dxa"/>
          </w:tcPr>
          <w:p w14:paraId="37B9F563" w14:textId="77777777" w:rsidR="002D627A" w:rsidRPr="000D3DC5" w:rsidRDefault="002D627A" w:rsidP="002D627A">
            <w:pPr>
              <w:tabs>
                <w:tab w:val="decimal" w:pos="1044"/>
                <w:tab w:val="decimal" w:pos="1332"/>
                <w:tab w:val="right" w:pos="9180"/>
              </w:tabs>
            </w:pPr>
          </w:p>
        </w:tc>
        <w:tc>
          <w:tcPr>
            <w:tcW w:w="360" w:type="dxa"/>
          </w:tcPr>
          <w:p w14:paraId="7407AFC1" w14:textId="77777777" w:rsidR="002D627A" w:rsidRPr="000D3DC5" w:rsidRDefault="002D627A" w:rsidP="002D627A">
            <w:pPr>
              <w:tabs>
                <w:tab w:val="right" w:pos="9180"/>
              </w:tabs>
            </w:pPr>
          </w:p>
        </w:tc>
        <w:tc>
          <w:tcPr>
            <w:tcW w:w="1620" w:type="dxa"/>
          </w:tcPr>
          <w:p w14:paraId="65EE6251" w14:textId="77777777" w:rsidR="002D627A" w:rsidRPr="000D3DC5" w:rsidRDefault="002D627A" w:rsidP="002D627A">
            <w:pPr>
              <w:tabs>
                <w:tab w:val="decimal" w:pos="1044"/>
                <w:tab w:val="right" w:pos="9180"/>
              </w:tabs>
            </w:pPr>
          </w:p>
        </w:tc>
      </w:tr>
      <w:tr w:rsidR="00387D5C" w:rsidRPr="000D3DC5" w14:paraId="0B4032E3" w14:textId="77777777" w:rsidTr="004C20F6">
        <w:tc>
          <w:tcPr>
            <w:tcW w:w="378" w:type="dxa"/>
          </w:tcPr>
          <w:p w14:paraId="6C4EE9E0" w14:textId="77777777" w:rsidR="00387D5C" w:rsidRPr="00BF705A" w:rsidRDefault="00387D5C" w:rsidP="002D627A">
            <w:bookmarkStart w:id="11" w:name="_Hlk100327127"/>
            <w:bookmarkStart w:id="12" w:name="_Hlk511051769"/>
          </w:p>
        </w:tc>
        <w:tc>
          <w:tcPr>
            <w:tcW w:w="6030" w:type="dxa"/>
            <w:gridSpan w:val="7"/>
          </w:tcPr>
          <w:p w14:paraId="2A6F2831" w14:textId="5DE1D6B7" w:rsidR="00387D5C" w:rsidRPr="00BF705A" w:rsidRDefault="00387D5C" w:rsidP="002D627A">
            <w:pPr>
              <w:tabs>
                <w:tab w:val="right" w:pos="9180"/>
              </w:tabs>
            </w:pPr>
            <w:r w:rsidRPr="00BF705A">
              <w:t>Net proceeds from sale of common stock and warrants</w:t>
            </w:r>
          </w:p>
        </w:tc>
        <w:tc>
          <w:tcPr>
            <w:tcW w:w="1800" w:type="dxa"/>
          </w:tcPr>
          <w:p w14:paraId="0565B659" w14:textId="574C63D4" w:rsidR="00387D5C" w:rsidRPr="00CD56F2" w:rsidRDefault="00387D5C" w:rsidP="002D627A">
            <w:pPr>
              <w:tabs>
                <w:tab w:val="decimal" w:pos="1332"/>
                <w:tab w:val="right" w:pos="9180"/>
              </w:tabs>
            </w:pPr>
            <w:r>
              <w:tab/>
            </w:r>
            <w:r w:rsidR="004514BA">
              <w:t>7,914,402</w:t>
            </w:r>
          </w:p>
        </w:tc>
        <w:tc>
          <w:tcPr>
            <w:tcW w:w="360" w:type="dxa"/>
          </w:tcPr>
          <w:p w14:paraId="2A111FF1" w14:textId="77777777" w:rsidR="00387D5C" w:rsidRPr="00CD56F2" w:rsidRDefault="00387D5C" w:rsidP="00B1007E">
            <w:pPr>
              <w:pStyle w:val="ListParagraph"/>
              <w:numPr>
                <w:ilvl w:val="0"/>
                <w:numId w:val="6"/>
              </w:numPr>
              <w:tabs>
                <w:tab w:val="right" w:pos="9180"/>
              </w:tabs>
            </w:pPr>
          </w:p>
        </w:tc>
        <w:tc>
          <w:tcPr>
            <w:tcW w:w="1620" w:type="dxa"/>
          </w:tcPr>
          <w:p w14:paraId="6E032F73" w14:textId="6408975D" w:rsidR="00387D5C" w:rsidRPr="00CD56F2" w:rsidRDefault="00387D5C" w:rsidP="002D627A">
            <w:pPr>
              <w:tabs>
                <w:tab w:val="decimal" w:pos="1152"/>
                <w:tab w:val="right" w:pos="9180"/>
              </w:tabs>
            </w:pPr>
            <w:r>
              <w:tab/>
              <w:t>-</w:t>
            </w:r>
          </w:p>
        </w:tc>
      </w:tr>
      <w:tr w:rsidR="00D27ADC" w:rsidRPr="000D3DC5" w14:paraId="47623E77" w14:textId="77777777" w:rsidTr="00DB3B22">
        <w:tc>
          <w:tcPr>
            <w:tcW w:w="378" w:type="dxa"/>
          </w:tcPr>
          <w:p w14:paraId="54858BC9" w14:textId="77777777" w:rsidR="00D27ADC" w:rsidRPr="000D3DC5" w:rsidRDefault="00D27ADC" w:rsidP="002D627A">
            <w:bookmarkStart w:id="13" w:name="_Hlk100327141"/>
            <w:bookmarkEnd w:id="11"/>
            <w:bookmarkEnd w:id="12"/>
          </w:p>
        </w:tc>
        <w:tc>
          <w:tcPr>
            <w:tcW w:w="4475" w:type="dxa"/>
            <w:gridSpan w:val="6"/>
          </w:tcPr>
          <w:p w14:paraId="22507B3C" w14:textId="7970ED54" w:rsidR="00D27ADC" w:rsidRPr="00CD56F2" w:rsidRDefault="00D27ADC" w:rsidP="002D627A">
            <w:r w:rsidRPr="00CD56F2">
              <w:t>Net cash provided by financing activities</w:t>
            </w:r>
          </w:p>
        </w:tc>
        <w:tc>
          <w:tcPr>
            <w:tcW w:w="1555" w:type="dxa"/>
          </w:tcPr>
          <w:p w14:paraId="04945EC7" w14:textId="77777777" w:rsidR="00D27ADC" w:rsidRPr="00CD56F2" w:rsidRDefault="00D27ADC" w:rsidP="002D627A">
            <w:pPr>
              <w:tabs>
                <w:tab w:val="right" w:pos="9180"/>
              </w:tabs>
            </w:pPr>
          </w:p>
        </w:tc>
        <w:tc>
          <w:tcPr>
            <w:tcW w:w="1800" w:type="dxa"/>
            <w:tcBorders>
              <w:top w:val="single" w:sz="4" w:space="0" w:color="auto"/>
            </w:tcBorders>
          </w:tcPr>
          <w:p w14:paraId="4B04B1B0" w14:textId="0C366C0F" w:rsidR="00D27ADC" w:rsidRPr="00CD56F2" w:rsidRDefault="00D27ADC" w:rsidP="002D627A">
            <w:pPr>
              <w:tabs>
                <w:tab w:val="decimal" w:pos="1332"/>
                <w:tab w:val="right" w:pos="9180"/>
              </w:tabs>
            </w:pPr>
            <w:r w:rsidRPr="00CD56F2">
              <w:tab/>
            </w:r>
            <w:r w:rsidR="004514BA">
              <w:t>7,914,402</w:t>
            </w:r>
          </w:p>
        </w:tc>
        <w:tc>
          <w:tcPr>
            <w:tcW w:w="360" w:type="dxa"/>
          </w:tcPr>
          <w:p w14:paraId="0E218C06" w14:textId="77777777" w:rsidR="00D27ADC" w:rsidRPr="00CD56F2" w:rsidRDefault="00D27ADC" w:rsidP="00B1007E">
            <w:pPr>
              <w:pStyle w:val="ListParagraph"/>
              <w:numPr>
                <w:ilvl w:val="0"/>
                <w:numId w:val="6"/>
              </w:numPr>
              <w:tabs>
                <w:tab w:val="right" w:pos="9180"/>
              </w:tabs>
            </w:pPr>
          </w:p>
        </w:tc>
        <w:tc>
          <w:tcPr>
            <w:tcW w:w="1620" w:type="dxa"/>
            <w:tcBorders>
              <w:top w:val="single" w:sz="4" w:space="0" w:color="auto"/>
            </w:tcBorders>
          </w:tcPr>
          <w:p w14:paraId="380588EA" w14:textId="286C0CA5" w:rsidR="00D27ADC" w:rsidRPr="00CD56F2" w:rsidRDefault="00D27ADC" w:rsidP="002D627A">
            <w:pPr>
              <w:tabs>
                <w:tab w:val="decimal" w:pos="1152"/>
                <w:tab w:val="right" w:pos="9180"/>
              </w:tabs>
            </w:pPr>
            <w:r w:rsidRPr="00CD56F2">
              <w:tab/>
            </w:r>
            <w:r w:rsidR="00772FEB">
              <w:t>-</w:t>
            </w:r>
          </w:p>
        </w:tc>
      </w:tr>
      <w:bookmarkEnd w:id="13"/>
      <w:tr w:rsidR="002D627A" w:rsidRPr="000D3DC5" w14:paraId="7C1738D7" w14:textId="77777777" w:rsidTr="002D627A">
        <w:tc>
          <w:tcPr>
            <w:tcW w:w="378" w:type="dxa"/>
          </w:tcPr>
          <w:p w14:paraId="61F26E91" w14:textId="77777777" w:rsidR="002D627A" w:rsidRPr="000D3DC5" w:rsidRDefault="002D627A" w:rsidP="002D627A"/>
        </w:tc>
        <w:tc>
          <w:tcPr>
            <w:tcW w:w="425" w:type="dxa"/>
          </w:tcPr>
          <w:p w14:paraId="2C888DD0" w14:textId="77777777" w:rsidR="002D627A" w:rsidRPr="000D3DC5" w:rsidRDefault="002D627A" w:rsidP="002D627A"/>
        </w:tc>
        <w:tc>
          <w:tcPr>
            <w:tcW w:w="789" w:type="dxa"/>
            <w:gridSpan w:val="3"/>
          </w:tcPr>
          <w:p w14:paraId="0DB535F0" w14:textId="77777777" w:rsidR="002D627A" w:rsidRPr="000D3DC5" w:rsidRDefault="002D627A" w:rsidP="002D627A"/>
        </w:tc>
        <w:tc>
          <w:tcPr>
            <w:tcW w:w="620" w:type="dxa"/>
          </w:tcPr>
          <w:p w14:paraId="7BE2F5B3" w14:textId="77777777" w:rsidR="002D627A" w:rsidRPr="000D3DC5" w:rsidRDefault="002D627A" w:rsidP="002D627A"/>
        </w:tc>
        <w:tc>
          <w:tcPr>
            <w:tcW w:w="2641" w:type="dxa"/>
          </w:tcPr>
          <w:p w14:paraId="4CF8D919" w14:textId="77777777" w:rsidR="002D627A" w:rsidRPr="000D3DC5" w:rsidRDefault="002D627A" w:rsidP="002D627A"/>
        </w:tc>
        <w:tc>
          <w:tcPr>
            <w:tcW w:w="1555" w:type="dxa"/>
          </w:tcPr>
          <w:p w14:paraId="01AD84B4" w14:textId="77777777" w:rsidR="002D627A" w:rsidRPr="000D3DC5" w:rsidRDefault="002D627A" w:rsidP="002D627A">
            <w:pPr>
              <w:tabs>
                <w:tab w:val="right" w:pos="9180"/>
              </w:tabs>
            </w:pPr>
          </w:p>
        </w:tc>
        <w:tc>
          <w:tcPr>
            <w:tcW w:w="1800" w:type="dxa"/>
            <w:tcBorders>
              <w:top w:val="single" w:sz="4" w:space="0" w:color="auto"/>
            </w:tcBorders>
          </w:tcPr>
          <w:p w14:paraId="78C8A117" w14:textId="77777777" w:rsidR="002D627A" w:rsidRPr="000D3DC5" w:rsidRDefault="002D627A" w:rsidP="002D627A">
            <w:pPr>
              <w:tabs>
                <w:tab w:val="decimal" w:pos="1332"/>
                <w:tab w:val="right" w:pos="9180"/>
              </w:tabs>
            </w:pPr>
          </w:p>
        </w:tc>
        <w:tc>
          <w:tcPr>
            <w:tcW w:w="360" w:type="dxa"/>
          </w:tcPr>
          <w:p w14:paraId="43D8D5EF" w14:textId="77777777" w:rsidR="002D627A" w:rsidRPr="000D3DC5" w:rsidRDefault="002D627A" w:rsidP="002D627A">
            <w:pPr>
              <w:tabs>
                <w:tab w:val="right" w:pos="9180"/>
              </w:tabs>
            </w:pPr>
          </w:p>
        </w:tc>
        <w:tc>
          <w:tcPr>
            <w:tcW w:w="1620" w:type="dxa"/>
            <w:tcBorders>
              <w:top w:val="single" w:sz="4" w:space="0" w:color="auto"/>
            </w:tcBorders>
          </w:tcPr>
          <w:p w14:paraId="709415DA" w14:textId="77777777" w:rsidR="002D627A" w:rsidRPr="000D3DC5" w:rsidRDefault="002D627A" w:rsidP="002D627A">
            <w:pPr>
              <w:tabs>
                <w:tab w:val="decimal" w:pos="1044"/>
                <w:tab w:val="right" w:pos="9180"/>
              </w:tabs>
            </w:pPr>
          </w:p>
        </w:tc>
      </w:tr>
      <w:tr w:rsidR="002D627A" w:rsidRPr="000D3DC5" w14:paraId="6EA85FCB" w14:textId="77777777" w:rsidTr="002D627A">
        <w:tc>
          <w:tcPr>
            <w:tcW w:w="6408" w:type="dxa"/>
            <w:gridSpan w:val="8"/>
          </w:tcPr>
          <w:p w14:paraId="21EC78A2" w14:textId="1A872063" w:rsidR="002D627A" w:rsidRPr="000D3DC5" w:rsidRDefault="002D627A" w:rsidP="002D627A">
            <w:pPr>
              <w:tabs>
                <w:tab w:val="right" w:pos="9180"/>
              </w:tabs>
            </w:pPr>
            <w:r w:rsidRPr="000D3DC5">
              <w:t>Net</w:t>
            </w:r>
            <w:r w:rsidR="005B14CF">
              <w:t xml:space="preserve"> </w:t>
            </w:r>
            <w:r w:rsidR="005B14CF" w:rsidRPr="005B14CF">
              <w:t>increase</w:t>
            </w:r>
            <w:r w:rsidRPr="005B14CF">
              <w:t xml:space="preserve"> </w:t>
            </w:r>
            <w:r w:rsidR="005B14CF" w:rsidRPr="005B14CF">
              <w:t>(</w:t>
            </w:r>
            <w:r w:rsidR="00680BC1" w:rsidRPr="005B14CF">
              <w:t>decrease</w:t>
            </w:r>
            <w:r w:rsidR="005B14CF" w:rsidRPr="005B14CF">
              <w:t>)</w:t>
            </w:r>
            <w:r w:rsidR="00680BC1" w:rsidRPr="005B14CF">
              <w:t xml:space="preserve"> </w:t>
            </w:r>
            <w:r w:rsidRPr="005B14CF">
              <w:t>in</w:t>
            </w:r>
            <w:r w:rsidRPr="000D3DC5">
              <w:t xml:space="preserve"> cash and cash equivalents</w:t>
            </w:r>
          </w:p>
        </w:tc>
        <w:tc>
          <w:tcPr>
            <w:tcW w:w="1800" w:type="dxa"/>
          </w:tcPr>
          <w:p w14:paraId="07DCA151" w14:textId="3F366239" w:rsidR="002D627A" w:rsidRPr="000D3DC5" w:rsidRDefault="00767AC2" w:rsidP="002D627A">
            <w:pPr>
              <w:tabs>
                <w:tab w:val="decimal" w:pos="1332"/>
                <w:tab w:val="right" w:pos="9180"/>
              </w:tabs>
            </w:pPr>
            <w:r>
              <w:tab/>
            </w:r>
            <w:r w:rsidR="00CD09B5">
              <w:t>1,931,828</w:t>
            </w:r>
          </w:p>
        </w:tc>
        <w:tc>
          <w:tcPr>
            <w:tcW w:w="360" w:type="dxa"/>
          </w:tcPr>
          <w:p w14:paraId="36255853" w14:textId="77777777" w:rsidR="002D627A" w:rsidRPr="000D3DC5" w:rsidRDefault="002D627A" w:rsidP="002D627A">
            <w:pPr>
              <w:tabs>
                <w:tab w:val="right" w:pos="9180"/>
              </w:tabs>
            </w:pPr>
          </w:p>
        </w:tc>
        <w:tc>
          <w:tcPr>
            <w:tcW w:w="1620" w:type="dxa"/>
          </w:tcPr>
          <w:p w14:paraId="51BA2EF5" w14:textId="29E9CB7E" w:rsidR="002D627A" w:rsidRPr="000D3DC5" w:rsidRDefault="006E7CF8" w:rsidP="002D627A">
            <w:pPr>
              <w:tabs>
                <w:tab w:val="decimal" w:pos="1152"/>
                <w:tab w:val="right" w:pos="9180"/>
              </w:tabs>
            </w:pPr>
            <w:r>
              <w:tab/>
            </w:r>
            <w:r w:rsidR="00772FEB">
              <w:t>(</w:t>
            </w:r>
            <w:r w:rsidR="009E050B">
              <w:t>5,683,730</w:t>
            </w:r>
            <w:r w:rsidR="00772FEB">
              <w:t>)</w:t>
            </w:r>
          </w:p>
        </w:tc>
      </w:tr>
      <w:tr w:rsidR="002D627A" w:rsidRPr="000D3DC5" w14:paraId="125342C4" w14:textId="77777777" w:rsidTr="002D627A">
        <w:tc>
          <w:tcPr>
            <w:tcW w:w="6408" w:type="dxa"/>
            <w:gridSpan w:val="8"/>
          </w:tcPr>
          <w:p w14:paraId="4C6FD313" w14:textId="77777777" w:rsidR="002D627A" w:rsidRPr="000D3DC5" w:rsidRDefault="002D627A" w:rsidP="002D627A">
            <w:pPr>
              <w:tabs>
                <w:tab w:val="right" w:pos="9180"/>
              </w:tabs>
            </w:pPr>
            <w:r w:rsidRPr="000D3DC5">
              <w:t>Cash and cash equivalents at beginning of period</w:t>
            </w:r>
          </w:p>
        </w:tc>
        <w:tc>
          <w:tcPr>
            <w:tcW w:w="1800" w:type="dxa"/>
            <w:tcBorders>
              <w:bottom w:val="single" w:sz="4" w:space="0" w:color="auto"/>
            </w:tcBorders>
          </w:tcPr>
          <w:p w14:paraId="79016221" w14:textId="70643E50" w:rsidR="002D627A" w:rsidRPr="000D3DC5" w:rsidRDefault="00767AC2" w:rsidP="002D627A">
            <w:pPr>
              <w:tabs>
                <w:tab w:val="decimal" w:pos="1332"/>
                <w:tab w:val="right" w:pos="9180"/>
              </w:tabs>
            </w:pPr>
            <w:r>
              <w:tab/>
            </w:r>
            <w:r w:rsidR="00CD09B5">
              <w:t>5,506,941</w:t>
            </w:r>
          </w:p>
        </w:tc>
        <w:tc>
          <w:tcPr>
            <w:tcW w:w="360" w:type="dxa"/>
          </w:tcPr>
          <w:p w14:paraId="451E9136" w14:textId="77777777" w:rsidR="002D627A" w:rsidRPr="000D3DC5" w:rsidRDefault="002D627A" w:rsidP="002D627A">
            <w:pPr>
              <w:tabs>
                <w:tab w:val="right" w:pos="9180"/>
              </w:tabs>
            </w:pPr>
          </w:p>
        </w:tc>
        <w:tc>
          <w:tcPr>
            <w:tcW w:w="1620" w:type="dxa"/>
            <w:tcBorders>
              <w:bottom w:val="single" w:sz="4" w:space="0" w:color="auto"/>
            </w:tcBorders>
          </w:tcPr>
          <w:p w14:paraId="40B59CF5" w14:textId="393B2C00" w:rsidR="002D627A" w:rsidRPr="000D3DC5" w:rsidRDefault="006E7CF8" w:rsidP="002D627A">
            <w:pPr>
              <w:tabs>
                <w:tab w:val="decimal" w:pos="1152"/>
                <w:tab w:val="right" w:pos="9180"/>
              </w:tabs>
            </w:pPr>
            <w:r>
              <w:tab/>
            </w:r>
            <w:r w:rsidR="009E050B">
              <w:t>6,452,589</w:t>
            </w:r>
          </w:p>
        </w:tc>
      </w:tr>
      <w:tr w:rsidR="002D627A" w:rsidRPr="000D3DC5" w14:paraId="04A0BEEB" w14:textId="77777777" w:rsidTr="002D627A">
        <w:tc>
          <w:tcPr>
            <w:tcW w:w="378" w:type="dxa"/>
          </w:tcPr>
          <w:p w14:paraId="1F3511ED" w14:textId="77777777" w:rsidR="002D627A" w:rsidRPr="000D3DC5" w:rsidRDefault="002D627A" w:rsidP="002D627A"/>
        </w:tc>
        <w:tc>
          <w:tcPr>
            <w:tcW w:w="620" w:type="dxa"/>
            <w:gridSpan w:val="2"/>
          </w:tcPr>
          <w:p w14:paraId="51FD77D4" w14:textId="77777777" w:rsidR="002D627A" w:rsidRPr="000D3DC5" w:rsidRDefault="002D627A" w:rsidP="002D627A"/>
        </w:tc>
        <w:tc>
          <w:tcPr>
            <w:tcW w:w="594" w:type="dxa"/>
            <w:gridSpan w:val="2"/>
          </w:tcPr>
          <w:p w14:paraId="03EAEBD7" w14:textId="77777777" w:rsidR="002D627A" w:rsidRPr="000D3DC5" w:rsidRDefault="002D627A" w:rsidP="002D627A"/>
        </w:tc>
        <w:tc>
          <w:tcPr>
            <w:tcW w:w="620" w:type="dxa"/>
          </w:tcPr>
          <w:p w14:paraId="66665931" w14:textId="77777777" w:rsidR="002D627A" w:rsidRPr="000D3DC5" w:rsidRDefault="002D627A" w:rsidP="002D627A"/>
        </w:tc>
        <w:tc>
          <w:tcPr>
            <w:tcW w:w="2641" w:type="dxa"/>
          </w:tcPr>
          <w:p w14:paraId="7F788E94" w14:textId="77777777" w:rsidR="002D627A" w:rsidRPr="000D3DC5" w:rsidRDefault="002D627A" w:rsidP="002D627A"/>
        </w:tc>
        <w:tc>
          <w:tcPr>
            <w:tcW w:w="1555" w:type="dxa"/>
          </w:tcPr>
          <w:p w14:paraId="4F02C58A" w14:textId="77777777" w:rsidR="002D627A" w:rsidRPr="000D3DC5" w:rsidRDefault="002D627A" w:rsidP="002D627A">
            <w:pPr>
              <w:tabs>
                <w:tab w:val="right" w:pos="9180"/>
              </w:tabs>
            </w:pPr>
          </w:p>
        </w:tc>
        <w:tc>
          <w:tcPr>
            <w:tcW w:w="1800" w:type="dxa"/>
            <w:tcBorders>
              <w:top w:val="single" w:sz="4" w:space="0" w:color="auto"/>
            </w:tcBorders>
          </w:tcPr>
          <w:p w14:paraId="3861300D" w14:textId="77777777" w:rsidR="002D627A" w:rsidRPr="000D3DC5" w:rsidRDefault="002D627A" w:rsidP="002D627A">
            <w:pPr>
              <w:tabs>
                <w:tab w:val="decimal" w:pos="1044"/>
                <w:tab w:val="right" w:pos="9180"/>
              </w:tabs>
            </w:pPr>
          </w:p>
        </w:tc>
        <w:tc>
          <w:tcPr>
            <w:tcW w:w="360" w:type="dxa"/>
          </w:tcPr>
          <w:p w14:paraId="037D324D" w14:textId="77777777" w:rsidR="002D627A" w:rsidRPr="000D3DC5" w:rsidRDefault="002D627A" w:rsidP="002D627A">
            <w:pPr>
              <w:tabs>
                <w:tab w:val="right" w:pos="9180"/>
              </w:tabs>
            </w:pPr>
          </w:p>
        </w:tc>
        <w:tc>
          <w:tcPr>
            <w:tcW w:w="1620" w:type="dxa"/>
            <w:tcBorders>
              <w:top w:val="single" w:sz="4" w:space="0" w:color="auto"/>
            </w:tcBorders>
          </w:tcPr>
          <w:p w14:paraId="74FF63B3" w14:textId="77777777" w:rsidR="002D627A" w:rsidRPr="000D3DC5" w:rsidRDefault="002D627A" w:rsidP="002D627A">
            <w:pPr>
              <w:tabs>
                <w:tab w:val="decimal" w:pos="1044"/>
                <w:tab w:val="right" w:pos="9180"/>
              </w:tabs>
            </w:pPr>
          </w:p>
        </w:tc>
      </w:tr>
      <w:tr w:rsidR="002D627A" w:rsidRPr="000D3DC5" w14:paraId="75830AC0" w14:textId="77777777" w:rsidTr="002D627A">
        <w:tc>
          <w:tcPr>
            <w:tcW w:w="6408" w:type="dxa"/>
            <w:gridSpan w:val="8"/>
          </w:tcPr>
          <w:p w14:paraId="25C8FEA3" w14:textId="77777777" w:rsidR="002D627A" w:rsidRPr="000D3DC5" w:rsidRDefault="002D627A" w:rsidP="002D627A">
            <w:pPr>
              <w:tabs>
                <w:tab w:val="right" w:pos="9180"/>
              </w:tabs>
            </w:pPr>
            <w:r w:rsidRPr="000D3DC5">
              <w:t>Cash and cash equivalents at end of period</w:t>
            </w:r>
          </w:p>
        </w:tc>
        <w:tc>
          <w:tcPr>
            <w:tcW w:w="1800" w:type="dxa"/>
            <w:tcBorders>
              <w:bottom w:val="double" w:sz="4" w:space="0" w:color="auto"/>
            </w:tcBorders>
          </w:tcPr>
          <w:p w14:paraId="2ADD6EB6" w14:textId="030861C8" w:rsidR="002D627A" w:rsidRPr="000D3DC5" w:rsidRDefault="00767AC2" w:rsidP="002D627A">
            <w:pPr>
              <w:tabs>
                <w:tab w:val="decimal" w:pos="1332"/>
                <w:tab w:val="right" w:pos="9180"/>
              </w:tabs>
            </w:pPr>
            <w:r>
              <w:t>$</w:t>
            </w:r>
            <w:r>
              <w:tab/>
            </w:r>
            <w:r w:rsidR="00CD09B5">
              <w:t>7,438,769</w:t>
            </w:r>
          </w:p>
        </w:tc>
        <w:tc>
          <w:tcPr>
            <w:tcW w:w="360" w:type="dxa"/>
          </w:tcPr>
          <w:p w14:paraId="0BECF823" w14:textId="77777777" w:rsidR="002D627A" w:rsidRPr="000D3DC5" w:rsidRDefault="002D627A" w:rsidP="002D627A">
            <w:pPr>
              <w:tabs>
                <w:tab w:val="right" w:pos="9180"/>
              </w:tabs>
            </w:pPr>
          </w:p>
        </w:tc>
        <w:tc>
          <w:tcPr>
            <w:tcW w:w="1620" w:type="dxa"/>
            <w:tcBorders>
              <w:bottom w:val="double" w:sz="4" w:space="0" w:color="auto"/>
            </w:tcBorders>
          </w:tcPr>
          <w:p w14:paraId="1CF81D26" w14:textId="761FD2E2" w:rsidR="002D627A" w:rsidRPr="000D3DC5" w:rsidRDefault="006E7CF8" w:rsidP="002D627A">
            <w:pPr>
              <w:tabs>
                <w:tab w:val="decimal" w:pos="1152"/>
                <w:tab w:val="right" w:pos="9180"/>
              </w:tabs>
            </w:pPr>
            <w:r>
              <w:t>$</w:t>
            </w:r>
            <w:r>
              <w:tab/>
            </w:r>
            <w:r w:rsidR="009E050B">
              <w:t>768,859</w:t>
            </w:r>
          </w:p>
        </w:tc>
      </w:tr>
      <w:tr w:rsidR="002D627A" w:rsidRPr="000D3DC5" w14:paraId="07C41C3B" w14:textId="77777777" w:rsidTr="002D627A">
        <w:tc>
          <w:tcPr>
            <w:tcW w:w="378" w:type="dxa"/>
          </w:tcPr>
          <w:p w14:paraId="3F4060AF" w14:textId="77777777" w:rsidR="002D627A" w:rsidRPr="000D3DC5" w:rsidRDefault="002D627A" w:rsidP="002D627A"/>
        </w:tc>
        <w:tc>
          <w:tcPr>
            <w:tcW w:w="620" w:type="dxa"/>
            <w:gridSpan w:val="2"/>
          </w:tcPr>
          <w:p w14:paraId="23C9FA02" w14:textId="77777777" w:rsidR="002D627A" w:rsidRPr="000D3DC5" w:rsidRDefault="002D627A" w:rsidP="002D627A"/>
        </w:tc>
        <w:tc>
          <w:tcPr>
            <w:tcW w:w="594" w:type="dxa"/>
            <w:gridSpan w:val="2"/>
          </w:tcPr>
          <w:p w14:paraId="1688EFCD" w14:textId="77777777" w:rsidR="002D627A" w:rsidRPr="000D3DC5" w:rsidRDefault="002D627A" w:rsidP="002D627A"/>
        </w:tc>
        <w:tc>
          <w:tcPr>
            <w:tcW w:w="620" w:type="dxa"/>
          </w:tcPr>
          <w:p w14:paraId="1E64537B" w14:textId="77777777" w:rsidR="002D627A" w:rsidRPr="000D3DC5" w:rsidRDefault="002D627A" w:rsidP="002D627A"/>
        </w:tc>
        <w:tc>
          <w:tcPr>
            <w:tcW w:w="2641" w:type="dxa"/>
          </w:tcPr>
          <w:p w14:paraId="09E35E84" w14:textId="77777777" w:rsidR="002D627A" w:rsidRPr="000D3DC5" w:rsidRDefault="002D627A" w:rsidP="002D627A"/>
        </w:tc>
        <w:tc>
          <w:tcPr>
            <w:tcW w:w="1555" w:type="dxa"/>
          </w:tcPr>
          <w:p w14:paraId="72ADB6B5" w14:textId="77777777" w:rsidR="002D627A" w:rsidRPr="000D3DC5" w:rsidRDefault="002D627A" w:rsidP="002D627A">
            <w:pPr>
              <w:tabs>
                <w:tab w:val="right" w:pos="9180"/>
              </w:tabs>
            </w:pPr>
          </w:p>
        </w:tc>
        <w:tc>
          <w:tcPr>
            <w:tcW w:w="1800" w:type="dxa"/>
          </w:tcPr>
          <w:p w14:paraId="0D4725E8" w14:textId="77777777" w:rsidR="002D627A" w:rsidRPr="000D3DC5" w:rsidRDefault="002D627A" w:rsidP="002D627A">
            <w:pPr>
              <w:tabs>
                <w:tab w:val="decimal" w:pos="1044"/>
                <w:tab w:val="right" w:pos="9180"/>
              </w:tabs>
            </w:pPr>
          </w:p>
        </w:tc>
        <w:tc>
          <w:tcPr>
            <w:tcW w:w="360" w:type="dxa"/>
          </w:tcPr>
          <w:p w14:paraId="7D85FB56" w14:textId="77777777" w:rsidR="002D627A" w:rsidRPr="000D3DC5" w:rsidRDefault="002D627A" w:rsidP="002D627A">
            <w:pPr>
              <w:tabs>
                <w:tab w:val="right" w:pos="9180"/>
              </w:tabs>
            </w:pPr>
          </w:p>
        </w:tc>
        <w:tc>
          <w:tcPr>
            <w:tcW w:w="1620" w:type="dxa"/>
          </w:tcPr>
          <w:p w14:paraId="18080C14" w14:textId="77777777" w:rsidR="002D627A" w:rsidRPr="000D3DC5" w:rsidRDefault="002D627A" w:rsidP="002D627A">
            <w:pPr>
              <w:tabs>
                <w:tab w:val="right" w:pos="9180"/>
              </w:tabs>
            </w:pPr>
          </w:p>
        </w:tc>
      </w:tr>
    </w:tbl>
    <w:p w14:paraId="097BC96C" w14:textId="77777777" w:rsidR="002D627A" w:rsidRDefault="002D627A" w:rsidP="002D627A"/>
    <w:p w14:paraId="2CCA674F" w14:textId="77777777" w:rsidR="00387D5C" w:rsidRDefault="00387D5C"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11979B27" w14:textId="77777777" w:rsidR="006E7D01" w:rsidRDefault="006E7D01" w:rsidP="00277F5A"/>
    <w:p w14:paraId="0027ED88" w14:textId="77777777" w:rsidR="006E7D01" w:rsidRDefault="006E7D01" w:rsidP="00277F5A"/>
    <w:p w14:paraId="16D01D07" w14:textId="77777777" w:rsidR="00DF2BA6" w:rsidRDefault="00DF2BA6" w:rsidP="00277F5A"/>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748569F6" w:rsidR="00277F5A" w:rsidRDefault="009E050B" w:rsidP="00277F5A">
      <w:pPr>
        <w:jc w:val="center"/>
        <w:rPr>
          <w:b/>
        </w:rPr>
      </w:pPr>
      <w:r>
        <w:rPr>
          <w:b/>
        </w:rPr>
        <w:t>March</w:t>
      </w:r>
      <w:r w:rsidR="00F415DC">
        <w:rPr>
          <w:b/>
        </w:rPr>
        <w:t xml:space="preserve"> 3</w:t>
      </w:r>
      <w:r>
        <w:rPr>
          <w:b/>
        </w:rPr>
        <w:t>1</w:t>
      </w:r>
      <w:r w:rsidR="00277F5A" w:rsidRPr="001C6303">
        <w:rPr>
          <w:b/>
        </w:rPr>
        <w:t>, 20</w:t>
      </w:r>
      <w:r w:rsidR="00CE1FF4">
        <w:rPr>
          <w:b/>
        </w:rPr>
        <w:t>2</w:t>
      </w:r>
      <w:r>
        <w:rPr>
          <w:b/>
        </w:rPr>
        <w:t>5</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47BBE58B" w:rsidR="00277F5A" w:rsidRPr="001C6303" w:rsidRDefault="00277F5A" w:rsidP="000A55AE">
      <w:pPr>
        <w:pStyle w:val="ListNumbering"/>
        <w:spacing w:after="0"/>
      </w:pPr>
      <w:r w:rsidRPr="001C6303">
        <w:t>1.</w:t>
      </w:r>
      <w:r w:rsidRPr="001C6303">
        <w:tab/>
      </w:r>
      <w:r w:rsidR="00C33214">
        <w:t>Nature</w:t>
      </w:r>
      <w:r w:rsidRPr="001C6303">
        <w:t xml:space="preserve"> of </w:t>
      </w:r>
      <w:r w:rsidR="0034148D">
        <w:t>Business</w:t>
      </w:r>
      <w:r w:rsidRPr="001C6303">
        <w:t xml:space="preserve"> </w:t>
      </w:r>
    </w:p>
    <w:p w14:paraId="24E71BAC" w14:textId="77777777" w:rsidR="000A55AE" w:rsidRDefault="000A55AE" w:rsidP="000A55AE"/>
    <w:p w14:paraId="37569347" w14:textId="77777777" w:rsidR="006E04EF" w:rsidRPr="00936552" w:rsidRDefault="006E04EF" w:rsidP="006E04EF">
      <w:r w:rsidRPr="00936552">
        <w:t xml:space="preserve">GeoVax Labs, Inc., headquartered in the Atlanta, Georgia metropolitan area, is a clinical-stage biotechnology company incorporated under the laws of the State of Delaware. GeoVax Labs, Inc. and its wholly owned subsidiary, GeoVax, Inc., a Georgia corporation, are collectively referred to herein as “GeoVax” or </w:t>
      </w:r>
      <w:r>
        <w:t>“</w:t>
      </w:r>
      <w:r w:rsidRPr="00936552">
        <w:t>the Company”.</w:t>
      </w:r>
    </w:p>
    <w:p w14:paraId="65C9DC53" w14:textId="77777777" w:rsidR="00BA32B9" w:rsidRDefault="00BA32B9" w:rsidP="000A55AE"/>
    <w:p w14:paraId="640D242D" w14:textId="3807C5D6" w:rsidR="009B0D23" w:rsidRDefault="009E050B" w:rsidP="000A55AE">
      <w:r w:rsidRPr="009E050B">
        <w:t xml:space="preserve">The Company is focused on developing immunotherapies and vaccines against infectious diseases and cancers using novel vector vaccine platforms. </w:t>
      </w:r>
      <w:r w:rsidR="009B0D23">
        <w:t>GeoVax’s</w:t>
      </w:r>
      <w:r w:rsidR="009B0D23" w:rsidRPr="009B0D23">
        <w:t xml:space="preserve"> lead clinical program is GEO-CM04S1, a next-generation COVID-19 vaccine currently in three Phase 2 clinical trials, being evaluated as (</w:t>
      </w:r>
      <w:r w:rsidR="007B404A">
        <w:t>i</w:t>
      </w:r>
      <w:r w:rsidR="009B0D23" w:rsidRPr="009B0D23">
        <w:t>) a primary vaccine for immunocompromised patients such as those suffering from hematologic cancers and other patient populations for whom the current authorized COVID-19 vaccines are insufficient, (</w:t>
      </w:r>
      <w:r w:rsidR="007B404A">
        <w:t>ii</w:t>
      </w:r>
      <w:r w:rsidR="009B0D23" w:rsidRPr="009B0D23">
        <w:t xml:space="preserve">) a </w:t>
      </w:r>
      <w:r w:rsidR="00DE35DB">
        <w:t xml:space="preserve">booster </w:t>
      </w:r>
      <w:r w:rsidR="009B0D23" w:rsidRPr="009B0D23">
        <w:t>vaccine in patients with chronic lymphocytic leukemia (CLL), and (</w:t>
      </w:r>
      <w:r w:rsidR="007B404A">
        <w:t>iii</w:t>
      </w:r>
      <w:r w:rsidR="009B0D23" w:rsidRPr="009B0D23">
        <w:t xml:space="preserve">) a more robust, durable COVID-19 booster among healthy patients who previously received the mRNA vaccines. In oncology </w:t>
      </w:r>
      <w:r w:rsidR="00DE35DB">
        <w:t>GeoVax’s</w:t>
      </w:r>
      <w:r w:rsidR="00DE35DB" w:rsidRPr="009B0D23">
        <w:t xml:space="preserve"> </w:t>
      </w:r>
      <w:r w:rsidR="009B0D23" w:rsidRPr="009B0D23">
        <w:t xml:space="preserve">lead clinical program is </w:t>
      </w:r>
      <w:r w:rsidR="00DE35DB" w:rsidRPr="009B0D23">
        <w:t>Gedeptin®</w:t>
      </w:r>
      <w:r w:rsidR="00DE35DB">
        <w:t xml:space="preserve">, </w:t>
      </w:r>
      <w:r w:rsidR="009B0D23" w:rsidRPr="009B0D23">
        <w:t xml:space="preserve">a novel oncolytic solid tumor gene-directed therapy </w:t>
      </w:r>
      <w:r w:rsidR="00DE35DB">
        <w:t>which</w:t>
      </w:r>
      <w:r w:rsidR="00DE35DB" w:rsidRPr="009B0D23">
        <w:t xml:space="preserve"> </w:t>
      </w:r>
      <w:r w:rsidR="009B0D23" w:rsidRPr="009B0D23">
        <w:t>recently completed a multicenter Phase 1/2 clinical trial for advanced head and neck cancers.</w:t>
      </w:r>
      <w:r w:rsidR="009B0D23" w:rsidRPr="009B0D23">
        <w:rPr>
          <w:rFonts w:eastAsia="SimSun"/>
          <w:color w:val="000000"/>
          <w:sz w:val="22"/>
          <w:szCs w:val="22"/>
        </w:rPr>
        <w:t xml:space="preserve"> </w:t>
      </w:r>
      <w:r w:rsidR="009B0D23" w:rsidRPr="009B0D23">
        <w:t>The Company is also developing GEO</w:t>
      </w:r>
      <w:r w:rsidR="009B0D23">
        <w:t>-</w:t>
      </w:r>
      <w:r w:rsidR="009B0D23" w:rsidRPr="009B0D23">
        <w:t>MVA, a vaccine targeting Mpox and smallpox.</w:t>
      </w:r>
    </w:p>
    <w:p w14:paraId="0EC47E09" w14:textId="77777777" w:rsidR="009B0D23" w:rsidRPr="000A55AE" w:rsidRDefault="009B0D23" w:rsidP="000A55AE"/>
    <w:p w14:paraId="0A1FABE3" w14:textId="77777777" w:rsidR="00C33214" w:rsidRPr="00161492" w:rsidRDefault="00C33214" w:rsidP="00C33214">
      <w:pPr>
        <w:pStyle w:val="ListNumbering"/>
        <w:spacing w:after="0"/>
      </w:pPr>
      <w:r>
        <w:t>2</w:t>
      </w:r>
      <w:r w:rsidRPr="001C6303">
        <w:t>.</w:t>
      </w:r>
      <w:r w:rsidRPr="001C6303">
        <w:tab/>
      </w:r>
      <w:r>
        <w:t>Summary of Significant Accounting Policies</w:t>
      </w:r>
    </w:p>
    <w:p w14:paraId="7C11DE94" w14:textId="77777777" w:rsidR="00C33214" w:rsidRDefault="00C33214" w:rsidP="00C33214">
      <w:pPr>
        <w:pStyle w:val="BodyText"/>
        <w:spacing w:after="0"/>
      </w:pPr>
    </w:p>
    <w:p w14:paraId="5494E008" w14:textId="07C84D5F" w:rsidR="00C33214" w:rsidRDefault="00C33214" w:rsidP="00C33214">
      <w:pPr>
        <w:pStyle w:val="BodyText"/>
        <w:spacing w:after="0"/>
      </w:pPr>
      <w:r>
        <w:t>We</w:t>
      </w:r>
      <w:r w:rsidRPr="001C6303">
        <w:t xml:space="preserve"> disclosed in Note 2 to </w:t>
      </w:r>
      <w:r>
        <w:t>our consolidated</w:t>
      </w:r>
      <w:r w:rsidRPr="001C6303">
        <w:t xml:space="preserve"> financial statements included in </w:t>
      </w:r>
      <w:r>
        <w:t>our Annual Report on</w:t>
      </w:r>
      <w:r w:rsidRPr="001C6303">
        <w:t xml:space="preserve"> Form 10-K for </w:t>
      </w:r>
      <w:r>
        <w:t>the year ended December 31, 202</w:t>
      </w:r>
      <w:r w:rsidR="009E050B">
        <w:t>4</w:t>
      </w:r>
      <w:r w:rsidRPr="001C6303">
        <w:t xml:space="preserve"> those accounting policies that </w:t>
      </w:r>
      <w:r>
        <w:t>we consider</w:t>
      </w:r>
      <w:r w:rsidRPr="001C6303">
        <w:t xml:space="preserve"> significant in determining </w:t>
      </w:r>
      <w:r>
        <w:t>our</w:t>
      </w:r>
      <w:r w:rsidRPr="001C6303">
        <w:t xml:space="preserve"> results of oper</w:t>
      </w:r>
      <w:r>
        <w:t xml:space="preserve">ations and financial position. During the </w:t>
      </w:r>
      <w:r w:rsidR="009E050B">
        <w:t>three</w:t>
      </w:r>
      <w:r>
        <w:t xml:space="preserve"> months ended </w:t>
      </w:r>
      <w:r w:rsidR="009E050B">
        <w:t>March</w:t>
      </w:r>
      <w:r>
        <w:t xml:space="preserve"> 3</w:t>
      </w:r>
      <w:r w:rsidR="009E050B">
        <w:t>1</w:t>
      </w:r>
      <w:r>
        <w:t>, 202</w:t>
      </w:r>
      <w:r w:rsidR="009E050B">
        <w:t>5</w:t>
      </w:r>
      <w:r>
        <w:t>, t</w:t>
      </w:r>
      <w:r w:rsidRPr="001C6303">
        <w:t xml:space="preserve">here have been no material changes to, or in the application of, the accounting policies previously identified </w:t>
      </w:r>
      <w:r>
        <w:t>and described in the Form 10-K.</w:t>
      </w:r>
    </w:p>
    <w:p w14:paraId="64F034DD" w14:textId="77777777" w:rsidR="006E04EF" w:rsidRDefault="006E04EF" w:rsidP="00C33214">
      <w:pPr>
        <w:pStyle w:val="BodyText"/>
        <w:spacing w:after="0"/>
      </w:pPr>
    </w:p>
    <w:p w14:paraId="1B5250C3" w14:textId="77777777" w:rsidR="003963E0" w:rsidRDefault="00C33214" w:rsidP="00C33214">
      <w:pPr>
        <w:pStyle w:val="BodyText"/>
        <w:spacing w:after="0"/>
        <w:rPr>
          <w:i/>
          <w:iCs/>
        </w:rPr>
      </w:pPr>
      <w:r w:rsidRPr="00307685">
        <w:rPr>
          <w:i/>
          <w:iCs/>
        </w:rPr>
        <w:t>Basis of Presentation</w:t>
      </w:r>
    </w:p>
    <w:p w14:paraId="26527AE8" w14:textId="77777777" w:rsidR="003963E0" w:rsidRDefault="003963E0" w:rsidP="00C33214">
      <w:pPr>
        <w:pStyle w:val="BodyText"/>
        <w:spacing w:after="0"/>
        <w:rPr>
          <w:i/>
          <w:iCs/>
        </w:rPr>
      </w:pPr>
    </w:p>
    <w:p w14:paraId="6137C114" w14:textId="646D79C0" w:rsidR="006E04EF" w:rsidRPr="000F6A1C" w:rsidRDefault="006E04EF" w:rsidP="006E04EF">
      <w:pPr>
        <w:pStyle w:val="BodyText"/>
        <w:spacing w:after="0"/>
        <w:rPr>
          <w:i/>
          <w:iCs/>
        </w:rPr>
      </w:pPr>
      <w:r w:rsidRPr="00A840E6">
        <w:t>The accompanying</w:t>
      </w:r>
      <w:r w:rsidRPr="001C6303">
        <w:t xml:space="preserve"> financial statements</w:t>
      </w:r>
      <w:r>
        <w:t xml:space="preserve"> include the accounts of GeoVax Labs, Inc. and GeoVax, Inc. All intercompany transactions have been eliminated in consolidation. </w:t>
      </w:r>
      <w:r w:rsidRPr="00A840E6">
        <w:t xml:space="preserve">The </w:t>
      </w:r>
      <w:r w:rsidRPr="001C6303">
        <w:t xml:space="preserve">financial statements are unaudited, but include all adjustments, consisting of normal recurring entries, which we believe to be necessary for a fair presentation of </w:t>
      </w:r>
      <w:r>
        <w:t>interim</w:t>
      </w:r>
      <w:r w:rsidRPr="001C6303">
        <w:t xml:space="preserve"> periods presented.</w:t>
      </w:r>
      <w:r>
        <w:t xml:space="preserve"> </w:t>
      </w:r>
      <w:r w:rsidRPr="001C6303">
        <w:t xml:space="preserve">Interim results are not necessarily indicative of results for a full year. The financial statements should be read in conjunction with our audited </w:t>
      </w:r>
      <w:r>
        <w:t xml:space="preserve">consolidated </w:t>
      </w:r>
      <w:r w:rsidRPr="001C6303">
        <w:t xml:space="preserve">financial statements included in our Annual Report on Form 10-K for </w:t>
      </w:r>
      <w:r>
        <w:t>the year ended December 31, 202</w:t>
      </w:r>
      <w:r w:rsidR="009E050B">
        <w:t>4</w:t>
      </w:r>
      <w:r>
        <w:t>. 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32F6F8CE" w14:textId="77777777" w:rsidR="006E04EF" w:rsidRDefault="006E04EF" w:rsidP="006E04EF">
      <w:pPr>
        <w:autoSpaceDE w:val="0"/>
        <w:autoSpaceDN w:val="0"/>
        <w:adjustRightInd w:val="0"/>
      </w:pPr>
    </w:p>
    <w:p w14:paraId="47B3B6D3" w14:textId="5A4CB350" w:rsidR="006E04EF" w:rsidRPr="00770EA9" w:rsidRDefault="006E04EF" w:rsidP="006E04EF">
      <w:pPr>
        <w:autoSpaceDE w:val="0"/>
        <w:autoSpaceDN w:val="0"/>
        <w:adjustRightInd w:val="0"/>
      </w:pPr>
      <w:r w:rsidRPr="00770EA9">
        <w:t xml:space="preserve">We </w:t>
      </w:r>
      <w:r w:rsidRPr="004640B2">
        <w:t xml:space="preserve">are devoting substantially all of our present efforts to research and development of our vaccine and immunotherapy candidates and will require additional funding to continue our research and </w:t>
      </w:r>
      <w:r w:rsidRPr="00547A7D">
        <w:t xml:space="preserve">development activities. </w:t>
      </w:r>
      <w:r w:rsidR="001D7418" w:rsidRPr="00547A7D">
        <w:t xml:space="preserve">We believe that our </w:t>
      </w:r>
      <w:r w:rsidRPr="00547A7D">
        <w:t xml:space="preserve">existing cash resources </w:t>
      </w:r>
      <w:r w:rsidR="001D7418" w:rsidRPr="00547A7D">
        <w:t xml:space="preserve">will be </w:t>
      </w:r>
      <w:r w:rsidRPr="00547A7D">
        <w:t xml:space="preserve">sufficient to continue our planned operations </w:t>
      </w:r>
      <w:r w:rsidR="00BF705A" w:rsidRPr="00547A7D">
        <w:t xml:space="preserve">into the </w:t>
      </w:r>
      <w:r w:rsidR="009E050B" w:rsidRPr="00547A7D">
        <w:t>third</w:t>
      </w:r>
      <w:r w:rsidRPr="00547A7D">
        <w:t xml:space="preserve"> quarter of 202</w:t>
      </w:r>
      <w:r w:rsidR="00BF705A" w:rsidRPr="00547A7D">
        <w:t>5</w:t>
      </w:r>
      <w:r w:rsidRPr="00547A7D">
        <w:t>. We plan to pursue additional ca</w:t>
      </w:r>
      <w:r w:rsidR="006E03B3" w:rsidRPr="00547A7D">
        <w:t>pital</w:t>
      </w:r>
      <w:r w:rsidRPr="00547A7D">
        <w:t xml:space="preserve"> resources through public or private equity or debt financings, government grants/contracts, arrangements with strategic partners, or from other sources. There can be no assurance that additional funding</w:t>
      </w:r>
      <w:r w:rsidRPr="00770EA9">
        <w:t xml:space="preserve"> will be available on favorable terms or at all. These factors collectively raise substantial doubt about the Company’s ability to continue as a going concern. Management believes that we will be successful in securing the additional capital required to continue the Company’s planned operations, but that our plans do not fully alleviate the substantial doubt about the Company’s ability to operate as a going concern. </w:t>
      </w:r>
    </w:p>
    <w:p w14:paraId="54799B23" w14:textId="77777777" w:rsidR="006E04EF" w:rsidRDefault="006E04EF" w:rsidP="006E04EF">
      <w:pPr>
        <w:autoSpaceDE w:val="0"/>
        <w:autoSpaceDN w:val="0"/>
        <w:adjustRightInd w:val="0"/>
      </w:pPr>
    </w:p>
    <w:p w14:paraId="5841696D" w14:textId="77777777" w:rsidR="006E04EF" w:rsidRDefault="006E04EF" w:rsidP="006E04EF">
      <w:pPr>
        <w:autoSpaceDE w:val="0"/>
        <w:autoSpaceDN w:val="0"/>
        <w:adjustRightInd w:val="0"/>
      </w:pPr>
      <w:r>
        <w:t>The accompanying</w:t>
      </w:r>
      <w:r w:rsidRPr="00F85B8A">
        <w:t xml:space="preserve"> financial statements have been prepared assuming that </w:t>
      </w:r>
      <w:r>
        <w:t>the Company</w:t>
      </w:r>
      <w:r w:rsidRPr="00F85B8A">
        <w:t xml:space="preserve"> will continue as a going concern, which contemplates realization of assets and the satisfaction of liabilities in the normal course of business. </w:t>
      </w:r>
      <w:r w:rsidRPr="006F5235">
        <w:t>The financial statements do not include any adjustments relating to the recoverability and classification of recorded asset amounts or the amounts and classification of liabilities that might result from the outcome of the uncertainties described above</w:t>
      </w:r>
      <w:r>
        <w:t>.</w:t>
      </w:r>
    </w:p>
    <w:p w14:paraId="60766106" w14:textId="77777777" w:rsidR="006E04EF" w:rsidRDefault="006E04EF" w:rsidP="006E04EF">
      <w:pPr>
        <w:autoSpaceDE w:val="0"/>
        <w:autoSpaceDN w:val="0"/>
        <w:adjustRightInd w:val="0"/>
      </w:pPr>
    </w:p>
    <w:p w14:paraId="32D70077" w14:textId="1729BC82" w:rsidR="003963E0" w:rsidRDefault="00C33214" w:rsidP="00C33214">
      <w:pPr>
        <w:autoSpaceDE w:val="0"/>
        <w:autoSpaceDN w:val="0"/>
        <w:adjustRightInd w:val="0"/>
      </w:pPr>
      <w:r w:rsidRPr="009701F2">
        <w:rPr>
          <w:i/>
          <w:iCs/>
        </w:rPr>
        <w:t>Recent Accounting Pronouncements</w:t>
      </w:r>
    </w:p>
    <w:p w14:paraId="2A234A05" w14:textId="77777777" w:rsidR="003963E0" w:rsidRDefault="003963E0" w:rsidP="00C33214">
      <w:pPr>
        <w:autoSpaceDE w:val="0"/>
        <w:autoSpaceDN w:val="0"/>
        <w:adjustRightInd w:val="0"/>
      </w:pPr>
    </w:p>
    <w:p w14:paraId="77591EC6" w14:textId="1DF5C0FD" w:rsidR="00C33214" w:rsidRDefault="00C33214" w:rsidP="00C33214">
      <w:pPr>
        <w:autoSpaceDE w:val="0"/>
        <w:autoSpaceDN w:val="0"/>
        <w:adjustRightInd w:val="0"/>
      </w:pPr>
      <w:r>
        <w:t xml:space="preserve">During the </w:t>
      </w:r>
      <w:r w:rsidR="009E050B">
        <w:t>three</w:t>
      </w:r>
      <w:r>
        <w:t xml:space="preserve"> months ended </w:t>
      </w:r>
      <w:r w:rsidR="009E050B">
        <w:t>March</w:t>
      </w:r>
      <w:r>
        <w:t xml:space="preserve"> 3</w:t>
      </w:r>
      <w:r w:rsidR="00110A45">
        <w:t>1</w:t>
      </w:r>
      <w:r>
        <w:t>, 202</w:t>
      </w:r>
      <w:r w:rsidR="009E050B">
        <w:t>5</w:t>
      </w:r>
      <w:r>
        <w:t xml:space="preserve">, there have </w:t>
      </w:r>
      <w:r w:rsidRPr="00727CF3">
        <w:t>been no new accounting pronouncements</w:t>
      </w:r>
      <w:r w:rsidRPr="005F0851">
        <w:t xml:space="preserve"> or changes in accounting pronouncements </w:t>
      </w:r>
      <w:r>
        <w:t>which</w:t>
      </w:r>
      <w:r w:rsidRPr="005F0851">
        <w:t xml:space="preserve"> </w:t>
      </w:r>
      <w:r>
        <w:t xml:space="preserve">we expect to have a material impact on our financial </w:t>
      </w:r>
      <w:r w:rsidRPr="006D35E3">
        <w:t>statements</w:t>
      </w:r>
      <w:r>
        <w:t>.</w:t>
      </w:r>
    </w:p>
    <w:p w14:paraId="6BE5DAEC" w14:textId="77777777" w:rsidR="000A55AE" w:rsidRDefault="000A55AE" w:rsidP="000A55AE">
      <w:pPr>
        <w:pStyle w:val="BodyText"/>
        <w:spacing w:after="0"/>
      </w:pPr>
    </w:p>
    <w:p w14:paraId="3846452F" w14:textId="77777777" w:rsidR="00902E0A" w:rsidRDefault="00902E0A">
      <w:pPr>
        <w:rPr>
          <w:b/>
        </w:rPr>
      </w:pPr>
      <w:r>
        <w:br w:type="page"/>
      </w:r>
    </w:p>
    <w:p w14:paraId="2532CC43" w14:textId="77F9768F" w:rsidR="00C33214" w:rsidRDefault="00C33214" w:rsidP="00C33214">
      <w:pPr>
        <w:pStyle w:val="ListNumbering"/>
        <w:spacing w:after="0"/>
      </w:pPr>
      <w:r w:rsidRPr="00462439">
        <w:lastRenderedPageBreak/>
        <w:t>3.</w:t>
      </w:r>
      <w:r w:rsidRPr="00462439">
        <w:tab/>
        <w:t>Balance Sheet Component</w:t>
      </w:r>
      <w:r w:rsidR="0081257D" w:rsidRPr="00462439">
        <w:t>s</w:t>
      </w:r>
    </w:p>
    <w:p w14:paraId="01601A9A" w14:textId="77777777" w:rsidR="006E04EF" w:rsidRDefault="006E04EF" w:rsidP="006E04EF">
      <w:pPr>
        <w:pStyle w:val="BodyText"/>
        <w:spacing w:after="0"/>
      </w:pPr>
    </w:p>
    <w:p w14:paraId="5EE92484" w14:textId="77777777" w:rsidR="006E04EF" w:rsidRPr="000E74A1" w:rsidRDefault="006E04EF" w:rsidP="006E04EF">
      <w:pPr>
        <w:pStyle w:val="BodyText"/>
        <w:spacing w:after="0"/>
      </w:pPr>
      <w:r w:rsidRPr="003963E0">
        <w:rPr>
          <w:i/>
          <w:iCs/>
        </w:rPr>
        <w:t>Prepaid Expenses</w:t>
      </w:r>
      <w:r>
        <w:rPr>
          <w:b/>
          <w:bCs/>
        </w:rPr>
        <w:t xml:space="preserve"> </w:t>
      </w:r>
      <w:r>
        <w:t>– Prepaid expenses consist of the following:</w:t>
      </w:r>
    </w:p>
    <w:tbl>
      <w:tblPr>
        <w:tblW w:w="0" w:type="auto"/>
        <w:tblInd w:w="198" w:type="dxa"/>
        <w:tblLook w:val="04A0" w:firstRow="1" w:lastRow="0" w:firstColumn="1" w:lastColumn="0" w:noHBand="0" w:noVBand="1"/>
      </w:tblPr>
      <w:tblGrid>
        <w:gridCol w:w="6055"/>
        <w:gridCol w:w="1842"/>
        <w:gridCol w:w="1841"/>
      </w:tblGrid>
      <w:tr w:rsidR="006E04EF" w:rsidRPr="00EB7BF0" w14:paraId="26E0B028" w14:textId="77777777" w:rsidTr="007149CF">
        <w:tc>
          <w:tcPr>
            <w:tcW w:w="6055" w:type="dxa"/>
          </w:tcPr>
          <w:p w14:paraId="312AB9FE" w14:textId="77777777" w:rsidR="006E04EF" w:rsidRPr="00EB7BF0" w:rsidRDefault="006E04EF" w:rsidP="007149CF"/>
        </w:tc>
        <w:tc>
          <w:tcPr>
            <w:tcW w:w="1842" w:type="dxa"/>
            <w:tcBorders>
              <w:bottom w:val="single" w:sz="4" w:space="0" w:color="auto"/>
            </w:tcBorders>
          </w:tcPr>
          <w:p w14:paraId="4F2E02A4" w14:textId="7EB8D87C" w:rsidR="006E04EF" w:rsidRDefault="00110A45" w:rsidP="007149CF">
            <w:pPr>
              <w:jc w:val="center"/>
            </w:pPr>
            <w:r>
              <w:t>March</w:t>
            </w:r>
            <w:r w:rsidR="006E04EF">
              <w:t xml:space="preserve"> 3</w:t>
            </w:r>
            <w:r>
              <w:t>1</w:t>
            </w:r>
            <w:r w:rsidR="006E04EF">
              <w:t>,</w:t>
            </w:r>
          </w:p>
          <w:p w14:paraId="33281E5A" w14:textId="45A8B22A" w:rsidR="006E04EF" w:rsidRPr="00EB7BF0" w:rsidRDefault="006E04EF" w:rsidP="007149CF">
            <w:pPr>
              <w:jc w:val="center"/>
            </w:pPr>
            <w:r>
              <w:t>202</w:t>
            </w:r>
            <w:r w:rsidR="00110A45">
              <w:t>5</w:t>
            </w:r>
          </w:p>
        </w:tc>
        <w:tc>
          <w:tcPr>
            <w:tcW w:w="1841" w:type="dxa"/>
            <w:tcBorders>
              <w:bottom w:val="single" w:sz="4" w:space="0" w:color="auto"/>
            </w:tcBorders>
          </w:tcPr>
          <w:p w14:paraId="25213531" w14:textId="77777777" w:rsidR="006E04EF" w:rsidRDefault="006E04EF" w:rsidP="007149CF">
            <w:pPr>
              <w:jc w:val="center"/>
            </w:pPr>
            <w:r>
              <w:t>December 31,</w:t>
            </w:r>
          </w:p>
          <w:p w14:paraId="0602721F" w14:textId="30A1CC22" w:rsidR="006E04EF" w:rsidRPr="00EB7BF0" w:rsidRDefault="006E04EF" w:rsidP="007149CF">
            <w:pPr>
              <w:jc w:val="center"/>
            </w:pPr>
            <w:r>
              <w:t>202</w:t>
            </w:r>
            <w:r w:rsidR="00110A45">
              <w:t>4</w:t>
            </w:r>
          </w:p>
        </w:tc>
      </w:tr>
      <w:tr w:rsidR="006E04EF" w:rsidRPr="007863FD" w14:paraId="4E7CB27D" w14:textId="77777777" w:rsidTr="007149CF">
        <w:tc>
          <w:tcPr>
            <w:tcW w:w="6055" w:type="dxa"/>
          </w:tcPr>
          <w:p w14:paraId="14D2BE68" w14:textId="4E32D48C" w:rsidR="006E04EF" w:rsidRPr="007863FD" w:rsidRDefault="006E04EF" w:rsidP="007149CF">
            <w:pPr>
              <w:ind w:left="162"/>
            </w:pPr>
            <w:r w:rsidRPr="007863FD">
              <w:t xml:space="preserve">Prepaid clinical trial </w:t>
            </w:r>
            <w:r>
              <w:t>costs</w:t>
            </w:r>
          </w:p>
        </w:tc>
        <w:tc>
          <w:tcPr>
            <w:tcW w:w="1842" w:type="dxa"/>
          </w:tcPr>
          <w:p w14:paraId="73DF6762" w14:textId="648F0601" w:rsidR="006E04EF" w:rsidRPr="007863FD" w:rsidRDefault="006E04EF" w:rsidP="007149CF">
            <w:pPr>
              <w:tabs>
                <w:tab w:val="decimal" w:pos="1199"/>
              </w:tabs>
            </w:pPr>
            <w:r w:rsidRPr="007863FD">
              <w:t xml:space="preserve">$ </w:t>
            </w:r>
            <w:r w:rsidR="0042784A">
              <w:t>1,505,</w:t>
            </w:r>
            <w:r w:rsidR="007B404A">
              <w:t>9</w:t>
            </w:r>
            <w:r w:rsidR="0042784A">
              <w:t>31</w:t>
            </w:r>
          </w:p>
        </w:tc>
        <w:tc>
          <w:tcPr>
            <w:tcW w:w="1841" w:type="dxa"/>
          </w:tcPr>
          <w:p w14:paraId="5C8DFF01" w14:textId="4FE8B247" w:rsidR="006E04EF" w:rsidRPr="007863FD" w:rsidRDefault="006E04EF" w:rsidP="007149CF">
            <w:pPr>
              <w:tabs>
                <w:tab w:val="decimal" w:pos="1157"/>
              </w:tabs>
            </w:pPr>
            <w:r w:rsidRPr="007863FD">
              <w:t xml:space="preserve">$ </w:t>
            </w:r>
            <w:r w:rsidR="00110A45">
              <w:t>1,524,813</w:t>
            </w:r>
          </w:p>
        </w:tc>
      </w:tr>
      <w:tr w:rsidR="006E04EF" w:rsidRPr="007863FD" w14:paraId="026B176E" w14:textId="77777777" w:rsidTr="007149CF">
        <w:tc>
          <w:tcPr>
            <w:tcW w:w="6055" w:type="dxa"/>
          </w:tcPr>
          <w:p w14:paraId="20D8392F" w14:textId="77777777" w:rsidR="006E04EF" w:rsidRPr="007863FD" w:rsidRDefault="006E04EF" w:rsidP="007149CF">
            <w:pPr>
              <w:ind w:left="162"/>
            </w:pPr>
            <w:r w:rsidRPr="007863FD">
              <w:t>Prepaid insurance premiums</w:t>
            </w:r>
          </w:p>
        </w:tc>
        <w:tc>
          <w:tcPr>
            <w:tcW w:w="1842" w:type="dxa"/>
          </w:tcPr>
          <w:p w14:paraId="22167666" w14:textId="24BC03EA" w:rsidR="006E04EF" w:rsidRPr="007863FD" w:rsidRDefault="0042784A" w:rsidP="007149CF">
            <w:pPr>
              <w:tabs>
                <w:tab w:val="decimal" w:pos="1199"/>
              </w:tabs>
            </w:pPr>
            <w:r>
              <w:t>147,117</w:t>
            </w:r>
          </w:p>
        </w:tc>
        <w:tc>
          <w:tcPr>
            <w:tcW w:w="1841" w:type="dxa"/>
          </w:tcPr>
          <w:p w14:paraId="52C8F4FB" w14:textId="59FFE930" w:rsidR="006E04EF" w:rsidRPr="007863FD" w:rsidRDefault="00110A45" w:rsidP="007149CF">
            <w:pPr>
              <w:tabs>
                <w:tab w:val="decimal" w:pos="1157"/>
              </w:tabs>
            </w:pPr>
            <w:r>
              <w:t>220,675</w:t>
            </w:r>
          </w:p>
        </w:tc>
      </w:tr>
      <w:tr w:rsidR="006E04EF" w:rsidRPr="007863FD" w14:paraId="6AAEDF2E" w14:textId="77777777" w:rsidTr="007149CF">
        <w:tc>
          <w:tcPr>
            <w:tcW w:w="6055" w:type="dxa"/>
          </w:tcPr>
          <w:p w14:paraId="616E8D0F" w14:textId="77777777" w:rsidR="006E04EF" w:rsidRPr="007863FD" w:rsidRDefault="006E04EF" w:rsidP="007149CF">
            <w:pPr>
              <w:ind w:left="162"/>
            </w:pPr>
            <w:r w:rsidRPr="007863FD">
              <w:t>Prepaid rent</w:t>
            </w:r>
          </w:p>
        </w:tc>
        <w:tc>
          <w:tcPr>
            <w:tcW w:w="1842" w:type="dxa"/>
          </w:tcPr>
          <w:p w14:paraId="692657D5" w14:textId="49CCBFDE" w:rsidR="006E04EF" w:rsidRPr="007863FD" w:rsidRDefault="0042784A" w:rsidP="007149CF">
            <w:pPr>
              <w:tabs>
                <w:tab w:val="decimal" w:pos="1199"/>
              </w:tabs>
            </w:pPr>
            <w:r>
              <w:t>13,045</w:t>
            </w:r>
          </w:p>
        </w:tc>
        <w:tc>
          <w:tcPr>
            <w:tcW w:w="1841" w:type="dxa"/>
          </w:tcPr>
          <w:p w14:paraId="7F047FFC" w14:textId="77777777" w:rsidR="006E04EF" w:rsidRPr="007863FD" w:rsidRDefault="006E04EF" w:rsidP="007149CF">
            <w:pPr>
              <w:tabs>
                <w:tab w:val="decimal" w:pos="1157"/>
              </w:tabs>
            </w:pPr>
            <w:r>
              <w:t>13,045</w:t>
            </w:r>
          </w:p>
        </w:tc>
      </w:tr>
      <w:tr w:rsidR="006E04EF" w:rsidRPr="007863FD" w14:paraId="39199996" w14:textId="77777777" w:rsidTr="007149CF">
        <w:tc>
          <w:tcPr>
            <w:tcW w:w="6055" w:type="dxa"/>
          </w:tcPr>
          <w:p w14:paraId="51B4D2A2" w14:textId="77777777" w:rsidR="006E04EF" w:rsidRPr="007863FD" w:rsidRDefault="006E04EF" w:rsidP="007149CF">
            <w:pPr>
              <w:ind w:left="162"/>
            </w:pPr>
            <w:r w:rsidRPr="007863FD">
              <w:t>Other prepaid expenses</w:t>
            </w:r>
          </w:p>
        </w:tc>
        <w:tc>
          <w:tcPr>
            <w:tcW w:w="1842" w:type="dxa"/>
          </w:tcPr>
          <w:p w14:paraId="21017269" w14:textId="58CB0574" w:rsidR="006E04EF" w:rsidRPr="007863FD" w:rsidRDefault="0042784A" w:rsidP="007149CF">
            <w:pPr>
              <w:tabs>
                <w:tab w:val="decimal" w:pos="1199"/>
              </w:tabs>
            </w:pPr>
            <w:r>
              <w:t>10,000</w:t>
            </w:r>
          </w:p>
        </w:tc>
        <w:tc>
          <w:tcPr>
            <w:tcW w:w="1841" w:type="dxa"/>
          </w:tcPr>
          <w:p w14:paraId="4F8EECA7" w14:textId="7C17D63A" w:rsidR="006E04EF" w:rsidRPr="007863FD" w:rsidRDefault="00110A45" w:rsidP="007149CF">
            <w:pPr>
              <w:tabs>
                <w:tab w:val="decimal" w:pos="1157"/>
              </w:tabs>
            </w:pPr>
            <w:r>
              <w:t>10,000</w:t>
            </w:r>
          </w:p>
        </w:tc>
      </w:tr>
      <w:tr w:rsidR="006E04EF" w:rsidRPr="00EB7BF0" w14:paraId="0AF49372" w14:textId="77777777" w:rsidTr="007149CF">
        <w:tc>
          <w:tcPr>
            <w:tcW w:w="6055" w:type="dxa"/>
          </w:tcPr>
          <w:p w14:paraId="2625DDF2" w14:textId="77777777" w:rsidR="006E04EF" w:rsidRPr="007863FD" w:rsidRDefault="006E04EF" w:rsidP="007149CF">
            <w:pPr>
              <w:ind w:left="162"/>
            </w:pPr>
            <w:r w:rsidRPr="007863FD">
              <w:t>Total prepaid expenses</w:t>
            </w:r>
          </w:p>
        </w:tc>
        <w:tc>
          <w:tcPr>
            <w:tcW w:w="1842" w:type="dxa"/>
            <w:tcBorders>
              <w:top w:val="single" w:sz="4" w:space="0" w:color="auto"/>
              <w:bottom w:val="double" w:sz="4" w:space="0" w:color="auto"/>
            </w:tcBorders>
          </w:tcPr>
          <w:p w14:paraId="15C04736" w14:textId="72C5CEC6" w:rsidR="006E04EF" w:rsidRPr="007863FD" w:rsidRDefault="006E04EF" w:rsidP="007149CF">
            <w:pPr>
              <w:tabs>
                <w:tab w:val="decimal" w:pos="1199"/>
              </w:tabs>
            </w:pPr>
            <w:r w:rsidRPr="007863FD">
              <w:t xml:space="preserve">$ </w:t>
            </w:r>
            <w:r w:rsidR="0042784A">
              <w:t>1,676,093</w:t>
            </w:r>
          </w:p>
        </w:tc>
        <w:tc>
          <w:tcPr>
            <w:tcW w:w="1841" w:type="dxa"/>
            <w:tcBorders>
              <w:top w:val="single" w:sz="4" w:space="0" w:color="auto"/>
              <w:bottom w:val="double" w:sz="4" w:space="0" w:color="auto"/>
            </w:tcBorders>
          </w:tcPr>
          <w:p w14:paraId="0C78A23C" w14:textId="6DD8203D" w:rsidR="006E04EF" w:rsidRPr="00EB7BF0" w:rsidRDefault="006E04EF" w:rsidP="007149CF">
            <w:pPr>
              <w:tabs>
                <w:tab w:val="decimal" w:pos="1157"/>
              </w:tabs>
            </w:pPr>
            <w:r w:rsidRPr="007863FD">
              <w:t xml:space="preserve">$ </w:t>
            </w:r>
            <w:r w:rsidR="00110A45">
              <w:t>1,768,533</w:t>
            </w:r>
          </w:p>
        </w:tc>
      </w:tr>
    </w:tbl>
    <w:p w14:paraId="63C92001" w14:textId="77777777" w:rsidR="006E04EF" w:rsidRDefault="006E04EF" w:rsidP="006E04EF">
      <w:pPr>
        <w:pStyle w:val="BodyText"/>
        <w:spacing w:after="0"/>
      </w:pPr>
    </w:p>
    <w:p w14:paraId="35DDAAEB" w14:textId="77777777" w:rsidR="006E04EF" w:rsidRPr="001C6303" w:rsidRDefault="006E04EF" w:rsidP="006E04EF">
      <w:pPr>
        <w:pStyle w:val="BodyText"/>
        <w:spacing w:after="0"/>
      </w:pPr>
      <w:r w:rsidRPr="003963E0">
        <w:rPr>
          <w:i/>
          <w:iCs/>
        </w:rPr>
        <w:t>Property and Equipment</w:t>
      </w:r>
      <w:r>
        <w:rPr>
          <w:b/>
          <w:bCs/>
        </w:rPr>
        <w:t xml:space="preserve"> </w:t>
      </w:r>
      <w:r w:rsidRPr="004C0A63">
        <w:t>–</w:t>
      </w:r>
      <w:r>
        <w:t xml:space="preserve"> Property and equipment consist of the following:</w:t>
      </w:r>
    </w:p>
    <w:tbl>
      <w:tblPr>
        <w:tblW w:w="0" w:type="auto"/>
        <w:tblInd w:w="198" w:type="dxa"/>
        <w:tblLook w:val="04A0" w:firstRow="1" w:lastRow="0" w:firstColumn="1" w:lastColumn="0" w:noHBand="0" w:noVBand="1"/>
      </w:tblPr>
      <w:tblGrid>
        <w:gridCol w:w="6055"/>
        <w:gridCol w:w="1842"/>
        <w:gridCol w:w="1841"/>
      </w:tblGrid>
      <w:tr w:rsidR="006E04EF" w:rsidRPr="00EB7BF0" w14:paraId="6C3D437C" w14:textId="77777777" w:rsidTr="007149CF">
        <w:tc>
          <w:tcPr>
            <w:tcW w:w="6055" w:type="dxa"/>
          </w:tcPr>
          <w:p w14:paraId="13F2CA12" w14:textId="77777777" w:rsidR="006E04EF" w:rsidRPr="00EB7BF0" w:rsidRDefault="006E04EF" w:rsidP="007149CF"/>
        </w:tc>
        <w:tc>
          <w:tcPr>
            <w:tcW w:w="1842" w:type="dxa"/>
            <w:tcBorders>
              <w:bottom w:val="single" w:sz="4" w:space="0" w:color="auto"/>
            </w:tcBorders>
          </w:tcPr>
          <w:p w14:paraId="643EE011" w14:textId="55CB9520" w:rsidR="006E04EF" w:rsidRDefault="00110A45" w:rsidP="007149CF">
            <w:pPr>
              <w:jc w:val="center"/>
            </w:pPr>
            <w:r>
              <w:t>March</w:t>
            </w:r>
            <w:r w:rsidR="006E04EF">
              <w:t xml:space="preserve"> 3</w:t>
            </w:r>
            <w:r>
              <w:t>1</w:t>
            </w:r>
            <w:r w:rsidR="006E04EF">
              <w:t>,</w:t>
            </w:r>
          </w:p>
          <w:p w14:paraId="5B26C99C" w14:textId="61A5B4A5" w:rsidR="006E04EF" w:rsidRPr="00EB7BF0" w:rsidRDefault="006E04EF" w:rsidP="007149CF">
            <w:pPr>
              <w:jc w:val="center"/>
            </w:pPr>
            <w:r>
              <w:t>202</w:t>
            </w:r>
            <w:r w:rsidR="00110A45">
              <w:t>5</w:t>
            </w:r>
          </w:p>
        </w:tc>
        <w:tc>
          <w:tcPr>
            <w:tcW w:w="1841" w:type="dxa"/>
            <w:tcBorders>
              <w:bottom w:val="single" w:sz="4" w:space="0" w:color="auto"/>
            </w:tcBorders>
          </w:tcPr>
          <w:p w14:paraId="7A1152EA" w14:textId="77777777" w:rsidR="006E04EF" w:rsidRDefault="006E04EF" w:rsidP="007149CF">
            <w:pPr>
              <w:jc w:val="center"/>
            </w:pPr>
            <w:r>
              <w:t>December 31,</w:t>
            </w:r>
          </w:p>
          <w:p w14:paraId="05A6D4C5" w14:textId="48A14792" w:rsidR="006E04EF" w:rsidRPr="00EB7BF0" w:rsidRDefault="006E04EF" w:rsidP="007149CF">
            <w:pPr>
              <w:jc w:val="center"/>
            </w:pPr>
            <w:r>
              <w:t>202</w:t>
            </w:r>
            <w:r w:rsidR="00110A45">
              <w:t>4</w:t>
            </w:r>
          </w:p>
        </w:tc>
      </w:tr>
      <w:tr w:rsidR="006E04EF" w:rsidRPr="00EB7BF0" w14:paraId="0ACAEB6A" w14:textId="77777777" w:rsidTr="007149CF">
        <w:tc>
          <w:tcPr>
            <w:tcW w:w="6055" w:type="dxa"/>
          </w:tcPr>
          <w:p w14:paraId="0552D58D" w14:textId="77777777" w:rsidR="006E04EF" w:rsidRPr="00EB7BF0" w:rsidRDefault="006E04EF" w:rsidP="007149CF">
            <w:pPr>
              <w:ind w:left="162"/>
            </w:pPr>
            <w:r>
              <w:t>Equipment and furnishings</w:t>
            </w:r>
          </w:p>
        </w:tc>
        <w:tc>
          <w:tcPr>
            <w:tcW w:w="1842" w:type="dxa"/>
          </w:tcPr>
          <w:p w14:paraId="55D72C1B" w14:textId="66477E5E" w:rsidR="006E04EF" w:rsidRPr="00FA15F9" w:rsidRDefault="006E04EF" w:rsidP="007149CF">
            <w:pPr>
              <w:tabs>
                <w:tab w:val="decimal" w:pos="1199"/>
              </w:tabs>
            </w:pPr>
            <w:r w:rsidRPr="00FA15F9">
              <w:t xml:space="preserve">$   </w:t>
            </w:r>
            <w:r w:rsidR="0042784A">
              <w:t>812,30</w:t>
            </w:r>
            <w:r w:rsidR="007B404A">
              <w:t>5</w:t>
            </w:r>
          </w:p>
        </w:tc>
        <w:tc>
          <w:tcPr>
            <w:tcW w:w="1841" w:type="dxa"/>
          </w:tcPr>
          <w:p w14:paraId="3AC3F641" w14:textId="58EF41B8" w:rsidR="006E04EF" w:rsidRPr="00EB7BF0" w:rsidRDefault="006E04EF" w:rsidP="007149CF">
            <w:pPr>
              <w:tabs>
                <w:tab w:val="decimal" w:pos="1158"/>
              </w:tabs>
            </w:pPr>
            <w:r>
              <w:t xml:space="preserve">$   </w:t>
            </w:r>
            <w:r w:rsidR="00110A45">
              <w:t>795,411</w:t>
            </w:r>
          </w:p>
        </w:tc>
      </w:tr>
      <w:tr w:rsidR="006E04EF" w:rsidRPr="00EB7BF0" w14:paraId="6917A2F4" w14:textId="77777777" w:rsidTr="007149CF">
        <w:tc>
          <w:tcPr>
            <w:tcW w:w="6055" w:type="dxa"/>
          </w:tcPr>
          <w:p w14:paraId="25B60625" w14:textId="77777777" w:rsidR="006E04EF" w:rsidRPr="00EB7BF0" w:rsidRDefault="006E04EF" w:rsidP="007149CF">
            <w:pPr>
              <w:ind w:left="162"/>
            </w:pPr>
            <w:r w:rsidRPr="00EB7BF0">
              <w:t>Leasehold improvements</w:t>
            </w:r>
          </w:p>
        </w:tc>
        <w:tc>
          <w:tcPr>
            <w:tcW w:w="1842" w:type="dxa"/>
          </w:tcPr>
          <w:p w14:paraId="53167B9A" w14:textId="7D5CC685" w:rsidR="006E04EF" w:rsidRPr="00FA15F9" w:rsidRDefault="0042784A" w:rsidP="007149CF">
            <w:pPr>
              <w:tabs>
                <w:tab w:val="decimal" w:pos="1199"/>
              </w:tabs>
            </w:pPr>
            <w:r>
              <w:t>115,605</w:t>
            </w:r>
          </w:p>
        </w:tc>
        <w:tc>
          <w:tcPr>
            <w:tcW w:w="1841" w:type="dxa"/>
          </w:tcPr>
          <w:p w14:paraId="2090ABB3" w14:textId="77777777" w:rsidR="006E04EF" w:rsidRPr="00EB7BF0" w:rsidRDefault="006E04EF" w:rsidP="007149CF">
            <w:pPr>
              <w:tabs>
                <w:tab w:val="decimal" w:pos="1158"/>
              </w:tabs>
            </w:pPr>
            <w:r>
              <w:t>115,605</w:t>
            </w:r>
          </w:p>
        </w:tc>
      </w:tr>
      <w:tr w:rsidR="006E04EF" w:rsidRPr="00EB7BF0" w14:paraId="177CB979" w14:textId="77777777" w:rsidTr="007149CF">
        <w:tc>
          <w:tcPr>
            <w:tcW w:w="6055" w:type="dxa"/>
          </w:tcPr>
          <w:p w14:paraId="4AD35BEF" w14:textId="77777777" w:rsidR="006E04EF" w:rsidRPr="00EB7BF0" w:rsidRDefault="006E04EF" w:rsidP="007149CF">
            <w:pPr>
              <w:ind w:left="162"/>
            </w:pPr>
            <w:r w:rsidRPr="00EB7BF0">
              <w:t>Total property and equipment</w:t>
            </w:r>
          </w:p>
        </w:tc>
        <w:tc>
          <w:tcPr>
            <w:tcW w:w="1842" w:type="dxa"/>
            <w:tcBorders>
              <w:top w:val="single" w:sz="4" w:space="0" w:color="auto"/>
            </w:tcBorders>
          </w:tcPr>
          <w:p w14:paraId="297AABE1" w14:textId="10A262C7" w:rsidR="006E04EF" w:rsidRPr="00FA15F9" w:rsidRDefault="0042784A" w:rsidP="007149CF">
            <w:pPr>
              <w:tabs>
                <w:tab w:val="decimal" w:pos="1199"/>
              </w:tabs>
            </w:pPr>
            <w:r>
              <w:t>927,91</w:t>
            </w:r>
            <w:r w:rsidR="007B404A">
              <w:t>0</w:t>
            </w:r>
          </w:p>
        </w:tc>
        <w:tc>
          <w:tcPr>
            <w:tcW w:w="1841" w:type="dxa"/>
            <w:tcBorders>
              <w:top w:val="single" w:sz="4" w:space="0" w:color="auto"/>
            </w:tcBorders>
          </w:tcPr>
          <w:p w14:paraId="62209839" w14:textId="6C88FF2B" w:rsidR="006E04EF" w:rsidRPr="00EB7BF0" w:rsidRDefault="00110A45" w:rsidP="007149CF">
            <w:pPr>
              <w:tabs>
                <w:tab w:val="decimal" w:pos="1158"/>
              </w:tabs>
            </w:pPr>
            <w:r>
              <w:t>911,016</w:t>
            </w:r>
          </w:p>
        </w:tc>
      </w:tr>
      <w:tr w:rsidR="006E04EF" w:rsidRPr="00452D3C" w14:paraId="66112D6D" w14:textId="77777777" w:rsidTr="007149CF">
        <w:tc>
          <w:tcPr>
            <w:tcW w:w="6055" w:type="dxa"/>
          </w:tcPr>
          <w:p w14:paraId="26E4069D" w14:textId="77777777" w:rsidR="006E04EF" w:rsidRPr="00452D3C" w:rsidRDefault="006E04EF" w:rsidP="007149CF">
            <w:pPr>
              <w:ind w:left="162"/>
            </w:pPr>
            <w:r w:rsidRPr="00452D3C">
              <w:t>Accumulated depreciation and amortization</w:t>
            </w:r>
          </w:p>
        </w:tc>
        <w:tc>
          <w:tcPr>
            <w:tcW w:w="1842" w:type="dxa"/>
            <w:tcBorders>
              <w:bottom w:val="single" w:sz="4" w:space="0" w:color="auto"/>
            </w:tcBorders>
          </w:tcPr>
          <w:p w14:paraId="14DE7C98" w14:textId="166462B1" w:rsidR="006E04EF" w:rsidRPr="00FA15F9" w:rsidRDefault="0042784A" w:rsidP="007149CF">
            <w:pPr>
              <w:tabs>
                <w:tab w:val="decimal" w:pos="1199"/>
              </w:tabs>
            </w:pPr>
            <w:r>
              <w:t>(</w:t>
            </w:r>
            <w:r w:rsidR="007B404A">
              <w:t>777,963</w:t>
            </w:r>
            <w:r>
              <w:t>)</w:t>
            </w:r>
          </w:p>
        </w:tc>
        <w:tc>
          <w:tcPr>
            <w:tcW w:w="1841" w:type="dxa"/>
            <w:tcBorders>
              <w:bottom w:val="single" w:sz="4" w:space="0" w:color="auto"/>
            </w:tcBorders>
          </w:tcPr>
          <w:p w14:paraId="365E989A" w14:textId="2E250291" w:rsidR="006E04EF" w:rsidRPr="00452D3C" w:rsidRDefault="006E04EF" w:rsidP="007149CF">
            <w:pPr>
              <w:tabs>
                <w:tab w:val="decimal" w:pos="1158"/>
              </w:tabs>
            </w:pPr>
            <w:r>
              <w:t>(</w:t>
            </w:r>
            <w:r w:rsidR="00110A45">
              <w:t>761,042</w:t>
            </w:r>
            <w:r w:rsidRPr="00452D3C">
              <w:t>)</w:t>
            </w:r>
          </w:p>
        </w:tc>
      </w:tr>
      <w:tr w:rsidR="006E04EF" w:rsidRPr="00EB7BF0" w14:paraId="743DD66E" w14:textId="77777777" w:rsidTr="007149CF">
        <w:tc>
          <w:tcPr>
            <w:tcW w:w="6055" w:type="dxa"/>
          </w:tcPr>
          <w:p w14:paraId="3C089480" w14:textId="77777777" w:rsidR="006E04EF" w:rsidRPr="00452D3C" w:rsidRDefault="006E04EF" w:rsidP="007149CF">
            <w:pPr>
              <w:ind w:left="162"/>
            </w:pPr>
            <w:r>
              <w:t>Total p</w:t>
            </w:r>
            <w:r w:rsidRPr="00452D3C">
              <w:t>roperty and equipment, net</w:t>
            </w:r>
          </w:p>
        </w:tc>
        <w:tc>
          <w:tcPr>
            <w:tcW w:w="1842" w:type="dxa"/>
            <w:tcBorders>
              <w:top w:val="single" w:sz="4" w:space="0" w:color="auto"/>
              <w:bottom w:val="double" w:sz="4" w:space="0" w:color="auto"/>
            </w:tcBorders>
          </w:tcPr>
          <w:p w14:paraId="3035CD8A" w14:textId="34156D64" w:rsidR="006E04EF" w:rsidRPr="00FA15F9" w:rsidRDefault="006E04EF" w:rsidP="007149CF">
            <w:pPr>
              <w:tabs>
                <w:tab w:val="decimal" w:pos="1199"/>
              </w:tabs>
            </w:pPr>
            <w:r w:rsidRPr="00FA15F9">
              <w:t xml:space="preserve">$ </w:t>
            </w:r>
            <w:r>
              <w:t xml:space="preserve"> </w:t>
            </w:r>
            <w:r w:rsidRPr="00FA15F9">
              <w:t xml:space="preserve"> </w:t>
            </w:r>
            <w:r w:rsidR="0042784A">
              <w:t>149,947</w:t>
            </w:r>
          </w:p>
        </w:tc>
        <w:tc>
          <w:tcPr>
            <w:tcW w:w="1841" w:type="dxa"/>
            <w:tcBorders>
              <w:top w:val="single" w:sz="4" w:space="0" w:color="auto"/>
              <w:bottom w:val="double" w:sz="4" w:space="0" w:color="auto"/>
            </w:tcBorders>
          </w:tcPr>
          <w:p w14:paraId="1B1AF536" w14:textId="413F26EE" w:rsidR="006E04EF" w:rsidRPr="00EB7BF0" w:rsidRDefault="006E04EF" w:rsidP="007149CF">
            <w:pPr>
              <w:tabs>
                <w:tab w:val="decimal" w:pos="1158"/>
              </w:tabs>
            </w:pPr>
            <w:r w:rsidRPr="00452D3C">
              <w:t xml:space="preserve">$  </w:t>
            </w:r>
            <w:r>
              <w:t xml:space="preserve"> </w:t>
            </w:r>
            <w:r w:rsidR="00110A45">
              <w:t>149,974</w:t>
            </w:r>
          </w:p>
        </w:tc>
      </w:tr>
    </w:tbl>
    <w:p w14:paraId="7822CDC6" w14:textId="77777777" w:rsidR="00110A45" w:rsidRDefault="00110A45" w:rsidP="006E04EF">
      <w:pPr>
        <w:pStyle w:val="BodyText"/>
        <w:spacing w:after="0"/>
      </w:pPr>
    </w:p>
    <w:p w14:paraId="69E498A0" w14:textId="77777777" w:rsidR="006E04EF" w:rsidRPr="004C0A63" w:rsidRDefault="006E04EF" w:rsidP="006E04EF">
      <w:pPr>
        <w:pStyle w:val="BodyText"/>
        <w:spacing w:after="0"/>
      </w:pPr>
      <w:r w:rsidRPr="003963E0">
        <w:rPr>
          <w:i/>
          <w:iCs/>
        </w:rPr>
        <w:t>Other Assets</w:t>
      </w:r>
      <w:r w:rsidRPr="004C0A63">
        <w:t xml:space="preserve"> – </w:t>
      </w:r>
      <w:r>
        <w:t>Other assets</w:t>
      </w:r>
      <w:r w:rsidRPr="004C0A63">
        <w:t xml:space="preserve"> consist of the following:</w:t>
      </w:r>
    </w:p>
    <w:tbl>
      <w:tblPr>
        <w:tblW w:w="0" w:type="auto"/>
        <w:tblInd w:w="198" w:type="dxa"/>
        <w:tblLook w:val="04A0" w:firstRow="1" w:lastRow="0" w:firstColumn="1" w:lastColumn="0" w:noHBand="0" w:noVBand="1"/>
      </w:tblPr>
      <w:tblGrid>
        <w:gridCol w:w="6055"/>
        <w:gridCol w:w="1842"/>
        <w:gridCol w:w="1841"/>
      </w:tblGrid>
      <w:tr w:rsidR="006E04EF" w:rsidRPr="004C0A63" w14:paraId="69F93C0D" w14:textId="77777777" w:rsidTr="007149CF">
        <w:tc>
          <w:tcPr>
            <w:tcW w:w="6055" w:type="dxa"/>
          </w:tcPr>
          <w:p w14:paraId="01C0340E" w14:textId="77777777" w:rsidR="006E04EF" w:rsidRPr="004C0A63" w:rsidRDefault="006E04EF" w:rsidP="007149CF"/>
        </w:tc>
        <w:tc>
          <w:tcPr>
            <w:tcW w:w="1842" w:type="dxa"/>
            <w:tcBorders>
              <w:bottom w:val="single" w:sz="4" w:space="0" w:color="auto"/>
            </w:tcBorders>
          </w:tcPr>
          <w:p w14:paraId="4599AF37" w14:textId="01AA76E6" w:rsidR="006E04EF" w:rsidRPr="004C0A63" w:rsidRDefault="00110A45" w:rsidP="007149CF">
            <w:pPr>
              <w:jc w:val="center"/>
            </w:pPr>
            <w:r>
              <w:t>March</w:t>
            </w:r>
            <w:r w:rsidR="006E04EF" w:rsidRPr="004C0A63">
              <w:t xml:space="preserve"> 3</w:t>
            </w:r>
            <w:r>
              <w:t>1</w:t>
            </w:r>
            <w:r w:rsidR="006E04EF" w:rsidRPr="004C0A63">
              <w:t>,</w:t>
            </w:r>
          </w:p>
          <w:p w14:paraId="33E39851" w14:textId="4834B36B" w:rsidR="006E04EF" w:rsidRPr="004C0A63" w:rsidRDefault="006E04EF" w:rsidP="007149CF">
            <w:pPr>
              <w:jc w:val="center"/>
            </w:pPr>
            <w:r w:rsidRPr="004C0A63">
              <w:t>202</w:t>
            </w:r>
            <w:r w:rsidR="00110A45">
              <w:t>5</w:t>
            </w:r>
          </w:p>
        </w:tc>
        <w:tc>
          <w:tcPr>
            <w:tcW w:w="1841" w:type="dxa"/>
            <w:tcBorders>
              <w:bottom w:val="single" w:sz="4" w:space="0" w:color="auto"/>
            </w:tcBorders>
          </w:tcPr>
          <w:p w14:paraId="3D5722E8" w14:textId="77777777" w:rsidR="006E04EF" w:rsidRPr="004C0A63" w:rsidRDefault="006E04EF" w:rsidP="007149CF">
            <w:pPr>
              <w:jc w:val="center"/>
            </w:pPr>
            <w:r w:rsidRPr="004C0A63">
              <w:t>December 31,</w:t>
            </w:r>
          </w:p>
          <w:p w14:paraId="52E3030F" w14:textId="19025F0A" w:rsidR="006E04EF" w:rsidRPr="004C0A63" w:rsidRDefault="006E04EF" w:rsidP="007149CF">
            <w:pPr>
              <w:jc w:val="center"/>
            </w:pPr>
            <w:r w:rsidRPr="004C0A63">
              <w:t>202</w:t>
            </w:r>
            <w:r w:rsidR="00110A45">
              <w:t>4</w:t>
            </w:r>
          </w:p>
        </w:tc>
      </w:tr>
      <w:tr w:rsidR="006E04EF" w:rsidRPr="004C0A63" w14:paraId="053940F8" w14:textId="77777777" w:rsidTr="007149CF">
        <w:tc>
          <w:tcPr>
            <w:tcW w:w="6055" w:type="dxa"/>
          </w:tcPr>
          <w:p w14:paraId="7B8709D2" w14:textId="77777777" w:rsidR="006E04EF" w:rsidRDefault="006E04EF" w:rsidP="007149CF">
            <w:pPr>
              <w:ind w:left="162"/>
            </w:pPr>
            <w:r>
              <w:t>Prepaid technology license fees</w:t>
            </w:r>
          </w:p>
        </w:tc>
        <w:tc>
          <w:tcPr>
            <w:tcW w:w="1842" w:type="dxa"/>
          </w:tcPr>
          <w:p w14:paraId="0690B7BA" w14:textId="2B59A0EB" w:rsidR="006E04EF" w:rsidRPr="004C0A63" w:rsidRDefault="00110A45" w:rsidP="007149CF">
            <w:pPr>
              <w:tabs>
                <w:tab w:val="decimal" w:pos="1199"/>
              </w:tabs>
            </w:pPr>
            <w:r>
              <w:t xml:space="preserve">$  </w:t>
            </w:r>
            <w:r w:rsidR="0042784A">
              <w:t>60,000</w:t>
            </w:r>
          </w:p>
        </w:tc>
        <w:tc>
          <w:tcPr>
            <w:tcW w:w="1841" w:type="dxa"/>
          </w:tcPr>
          <w:p w14:paraId="78E5068D" w14:textId="3BF90CB2" w:rsidR="006E04EF" w:rsidRPr="004C0A63" w:rsidRDefault="00110A45" w:rsidP="007149CF">
            <w:pPr>
              <w:tabs>
                <w:tab w:val="decimal" w:pos="1157"/>
              </w:tabs>
            </w:pPr>
            <w:r>
              <w:t>$  6</w:t>
            </w:r>
            <w:r w:rsidR="006E04EF">
              <w:t>0,000</w:t>
            </w:r>
          </w:p>
        </w:tc>
      </w:tr>
      <w:tr w:rsidR="006E04EF" w:rsidRPr="004C0A63" w14:paraId="56894F7D" w14:textId="77777777" w:rsidTr="007149CF">
        <w:tc>
          <w:tcPr>
            <w:tcW w:w="6055" w:type="dxa"/>
          </w:tcPr>
          <w:p w14:paraId="007E1362" w14:textId="77777777" w:rsidR="006E04EF" w:rsidRPr="004C0A63" w:rsidRDefault="006E04EF" w:rsidP="007149CF">
            <w:pPr>
              <w:ind w:left="162"/>
            </w:pPr>
            <w:r>
              <w:t>Deposits</w:t>
            </w:r>
          </w:p>
        </w:tc>
        <w:tc>
          <w:tcPr>
            <w:tcW w:w="1842" w:type="dxa"/>
            <w:tcBorders>
              <w:bottom w:val="single" w:sz="4" w:space="0" w:color="auto"/>
            </w:tcBorders>
          </w:tcPr>
          <w:p w14:paraId="7FBA4D4C" w14:textId="4A5B205F" w:rsidR="006E04EF" w:rsidRPr="004C0A63" w:rsidRDefault="0042784A" w:rsidP="007149CF">
            <w:pPr>
              <w:tabs>
                <w:tab w:val="decimal" w:pos="1199"/>
              </w:tabs>
            </w:pPr>
            <w:r>
              <w:t>11,010</w:t>
            </w:r>
          </w:p>
        </w:tc>
        <w:tc>
          <w:tcPr>
            <w:tcW w:w="1841" w:type="dxa"/>
            <w:tcBorders>
              <w:bottom w:val="single" w:sz="4" w:space="0" w:color="auto"/>
            </w:tcBorders>
          </w:tcPr>
          <w:p w14:paraId="29344D61" w14:textId="77777777" w:rsidR="006E04EF" w:rsidRPr="004C0A63" w:rsidRDefault="006E04EF" w:rsidP="007149CF">
            <w:pPr>
              <w:tabs>
                <w:tab w:val="decimal" w:pos="1157"/>
              </w:tabs>
            </w:pPr>
            <w:r w:rsidRPr="004C0A63">
              <w:t>1</w:t>
            </w:r>
            <w:r>
              <w:t>1,010</w:t>
            </w:r>
          </w:p>
        </w:tc>
      </w:tr>
      <w:tr w:rsidR="006E04EF" w:rsidRPr="004C0A63" w14:paraId="1D7A10E8" w14:textId="77777777" w:rsidTr="007149CF">
        <w:tc>
          <w:tcPr>
            <w:tcW w:w="6055" w:type="dxa"/>
          </w:tcPr>
          <w:p w14:paraId="6CBB52A9" w14:textId="77777777" w:rsidR="006E04EF" w:rsidRPr="004C0A63" w:rsidRDefault="006E04EF" w:rsidP="007149CF">
            <w:pPr>
              <w:ind w:left="162"/>
            </w:pPr>
            <w:r w:rsidRPr="004C0A63">
              <w:t xml:space="preserve">Total </w:t>
            </w:r>
            <w:r>
              <w:t>other assets</w:t>
            </w:r>
          </w:p>
        </w:tc>
        <w:tc>
          <w:tcPr>
            <w:tcW w:w="1842" w:type="dxa"/>
            <w:tcBorders>
              <w:top w:val="single" w:sz="4" w:space="0" w:color="auto"/>
              <w:bottom w:val="double" w:sz="4" w:space="0" w:color="auto"/>
            </w:tcBorders>
          </w:tcPr>
          <w:p w14:paraId="695F1EF1" w14:textId="242AE829" w:rsidR="006E04EF" w:rsidRPr="004C0A63" w:rsidRDefault="006E04EF" w:rsidP="007149CF">
            <w:pPr>
              <w:tabs>
                <w:tab w:val="decimal" w:pos="1199"/>
              </w:tabs>
            </w:pPr>
            <w:r w:rsidRPr="004C0A63">
              <w:t xml:space="preserve">$ </w:t>
            </w:r>
            <w:r w:rsidR="00411635">
              <w:t xml:space="preserve"> </w:t>
            </w:r>
            <w:r w:rsidR="0042784A">
              <w:t>71,010</w:t>
            </w:r>
          </w:p>
        </w:tc>
        <w:tc>
          <w:tcPr>
            <w:tcW w:w="1841" w:type="dxa"/>
            <w:tcBorders>
              <w:top w:val="single" w:sz="4" w:space="0" w:color="auto"/>
              <w:bottom w:val="double" w:sz="4" w:space="0" w:color="auto"/>
            </w:tcBorders>
          </w:tcPr>
          <w:p w14:paraId="01330601" w14:textId="00C712EE" w:rsidR="006E04EF" w:rsidRPr="004C0A63" w:rsidRDefault="006E04EF" w:rsidP="007149CF">
            <w:pPr>
              <w:tabs>
                <w:tab w:val="decimal" w:pos="1157"/>
              </w:tabs>
            </w:pPr>
            <w:r w:rsidRPr="004C0A63">
              <w:t>$</w:t>
            </w:r>
            <w:r>
              <w:t xml:space="preserve"> </w:t>
            </w:r>
            <w:r w:rsidR="00110A45">
              <w:t xml:space="preserve"> 71,010</w:t>
            </w:r>
          </w:p>
        </w:tc>
      </w:tr>
    </w:tbl>
    <w:p w14:paraId="6EE76521" w14:textId="77777777" w:rsidR="006E04EF" w:rsidRDefault="006E04EF" w:rsidP="006E04EF">
      <w:pPr>
        <w:pStyle w:val="BodyText"/>
        <w:spacing w:after="0"/>
      </w:pPr>
    </w:p>
    <w:p w14:paraId="3E1F87F4" w14:textId="77777777" w:rsidR="006E04EF" w:rsidRPr="004C0A63" w:rsidRDefault="006E04EF" w:rsidP="006E04EF">
      <w:pPr>
        <w:pStyle w:val="BodyText"/>
        <w:spacing w:after="0"/>
      </w:pPr>
      <w:r w:rsidRPr="003963E0">
        <w:rPr>
          <w:i/>
          <w:iCs/>
        </w:rPr>
        <w:t>Accrued Expenses</w:t>
      </w:r>
      <w:r w:rsidRPr="004C0A63">
        <w:t xml:space="preserve"> – Accrued expenses consist of the following:</w:t>
      </w:r>
    </w:p>
    <w:tbl>
      <w:tblPr>
        <w:tblW w:w="0" w:type="auto"/>
        <w:tblInd w:w="198" w:type="dxa"/>
        <w:tblLook w:val="04A0" w:firstRow="1" w:lastRow="0" w:firstColumn="1" w:lastColumn="0" w:noHBand="0" w:noVBand="1"/>
      </w:tblPr>
      <w:tblGrid>
        <w:gridCol w:w="6055"/>
        <w:gridCol w:w="1842"/>
        <w:gridCol w:w="1841"/>
      </w:tblGrid>
      <w:tr w:rsidR="006E04EF" w:rsidRPr="004C0A63" w14:paraId="26331158" w14:textId="77777777" w:rsidTr="007149CF">
        <w:tc>
          <w:tcPr>
            <w:tcW w:w="6055" w:type="dxa"/>
          </w:tcPr>
          <w:p w14:paraId="5AAF7F85" w14:textId="77777777" w:rsidR="006E04EF" w:rsidRPr="004C0A63" w:rsidRDefault="006E04EF" w:rsidP="007149CF"/>
        </w:tc>
        <w:tc>
          <w:tcPr>
            <w:tcW w:w="1842" w:type="dxa"/>
            <w:tcBorders>
              <w:bottom w:val="single" w:sz="4" w:space="0" w:color="auto"/>
            </w:tcBorders>
          </w:tcPr>
          <w:p w14:paraId="19BBF007" w14:textId="258B705F" w:rsidR="006E04EF" w:rsidRPr="004C0A63" w:rsidRDefault="00110A45" w:rsidP="007149CF">
            <w:pPr>
              <w:jc w:val="center"/>
            </w:pPr>
            <w:r>
              <w:t>March</w:t>
            </w:r>
            <w:r w:rsidR="006E04EF" w:rsidRPr="004C0A63">
              <w:t xml:space="preserve"> 3</w:t>
            </w:r>
            <w:r>
              <w:t>1</w:t>
            </w:r>
            <w:r w:rsidR="006E04EF" w:rsidRPr="004C0A63">
              <w:t>,</w:t>
            </w:r>
          </w:p>
          <w:p w14:paraId="59F406CC" w14:textId="6FC01D28" w:rsidR="006E04EF" w:rsidRPr="004C0A63" w:rsidRDefault="006E04EF" w:rsidP="007149CF">
            <w:pPr>
              <w:jc w:val="center"/>
            </w:pPr>
            <w:r w:rsidRPr="004C0A63">
              <w:t>202</w:t>
            </w:r>
            <w:r w:rsidR="00110A45">
              <w:t>5</w:t>
            </w:r>
          </w:p>
        </w:tc>
        <w:tc>
          <w:tcPr>
            <w:tcW w:w="1841" w:type="dxa"/>
            <w:tcBorders>
              <w:bottom w:val="single" w:sz="4" w:space="0" w:color="auto"/>
            </w:tcBorders>
          </w:tcPr>
          <w:p w14:paraId="01B59A2D" w14:textId="77777777" w:rsidR="006E04EF" w:rsidRPr="004C0A63" w:rsidRDefault="006E04EF" w:rsidP="007149CF">
            <w:pPr>
              <w:jc w:val="center"/>
            </w:pPr>
            <w:r w:rsidRPr="004C0A63">
              <w:t>December 31,</w:t>
            </w:r>
          </w:p>
          <w:p w14:paraId="2EE87090" w14:textId="7732D6B0" w:rsidR="006E04EF" w:rsidRPr="004C0A63" w:rsidRDefault="006E04EF" w:rsidP="007149CF">
            <w:pPr>
              <w:jc w:val="center"/>
            </w:pPr>
            <w:r w:rsidRPr="004C0A63">
              <w:t>202</w:t>
            </w:r>
            <w:r w:rsidR="00110A45">
              <w:t>4</w:t>
            </w:r>
          </w:p>
        </w:tc>
      </w:tr>
      <w:tr w:rsidR="006E04EF" w:rsidRPr="004C0A63" w14:paraId="68A5EFB0" w14:textId="77777777" w:rsidTr="00411635">
        <w:tc>
          <w:tcPr>
            <w:tcW w:w="6055" w:type="dxa"/>
          </w:tcPr>
          <w:p w14:paraId="102D1CF6" w14:textId="77777777" w:rsidR="006E04EF" w:rsidRPr="004C0A63" w:rsidRDefault="006E04EF" w:rsidP="007149CF">
            <w:pPr>
              <w:ind w:left="162"/>
            </w:pPr>
            <w:r>
              <w:t>Payroll-related liabilities</w:t>
            </w:r>
          </w:p>
        </w:tc>
        <w:tc>
          <w:tcPr>
            <w:tcW w:w="1842" w:type="dxa"/>
          </w:tcPr>
          <w:p w14:paraId="2DBCC17D" w14:textId="7743BE70" w:rsidR="006E04EF" w:rsidRPr="004C0A63" w:rsidRDefault="006E04EF" w:rsidP="007149CF">
            <w:pPr>
              <w:tabs>
                <w:tab w:val="decimal" w:pos="1199"/>
              </w:tabs>
            </w:pPr>
            <w:r w:rsidRPr="004C0A63">
              <w:t xml:space="preserve">$ </w:t>
            </w:r>
            <w:r w:rsidR="0042784A">
              <w:t>177,717</w:t>
            </w:r>
          </w:p>
        </w:tc>
        <w:tc>
          <w:tcPr>
            <w:tcW w:w="1841" w:type="dxa"/>
          </w:tcPr>
          <w:p w14:paraId="3D57B41F" w14:textId="0BFB708F" w:rsidR="006E04EF" w:rsidRPr="004C0A63" w:rsidRDefault="006E04EF" w:rsidP="007149CF">
            <w:pPr>
              <w:tabs>
                <w:tab w:val="decimal" w:pos="1157"/>
              </w:tabs>
            </w:pPr>
            <w:r w:rsidRPr="004C0A63">
              <w:t>$</w:t>
            </w:r>
            <w:r w:rsidR="007B404A">
              <w:t xml:space="preserve">    </w:t>
            </w:r>
            <w:r w:rsidR="00110A45">
              <w:t>986,691</w:t>
            </w:r>
          </w:p>
        </w:tc>
      </w:tr>
      <w:tr w:rsidR="00411635" w:rsidRPr="007863FD" w14:paraId="102E04EB" w14:textId="77777777" w:rsidTr="00411635">
        <w:tc>
          <w:tcPr>
            <w:tcW w:w="6055" w:type="dxa"/>
          </w:tcPr>
          <w:p w14:paraId="1D96DDE4" w14:textId="01CE32AD" w:rsidR="00411635" w:rsidRDefault="00411635" w:rsidP="00411635">
            <w:pPr>
              <w:ind w:left="162"/>
            </w:pPr>
            <w:r>
              <w:t>Other accrued expenses</w:t>
            </w:r>
          </w:p>
        </w:tc>
        <w:tc>
          <w:tcPr>
            <w:tcW w:w="1842" w:type="dxa"/>
            <w:tcBorders>
              <w:bottom w:val="single" w:sz="4" w:space="0" w:color="auto"/>
            </w:tcBorders>
          </w:tcPr>
          <w:p w14:paraId="3FCB2CEC" w14:textId="3D55922B" w:rsidR="00411635" w:rsidRDefault="0042784A" w:rsidP="007149CF">
            <w:pPr>
              <w:tabs>
                <w:tab w:val="decimal" w:pos="1199"/>
              </w:tabs>
            </w:pPr>
            <w:r>
              <w:t>354,575</w:t>
            </w:r>
          </w:p>
        </w:tc>
        <w:tc>
          <w:tcPr>
            <w:tcW w:w="1841" w:type="dxa"/>
            <w:tcBorders>
              <w:bottom w:val="single" w:sz="4" w:space="0" w:color="auto"/>
            </w:tcBorders>
          </w:tcPr>
          <w:p w14:paraId="7087434E" w14:textId="638D287B" w:rsidR="00411635" w:rsidRDefault="00110A45" w:rsidP="007149CF">
            <w:pPr>
              <w:tabs>
                <w:tab w:val="decimal" w:pos="1157"/>
              </w:tabs>
            </w:pPr>
            <w:r>
              <w:t>270,881</w:t>
            </w:r>
          </w:p>
        </w:tc>
      </w:tr>
      <w:tr w:rsidR="006E04EF" w:rsidRPr="004C0A63" w14:paraId="4CFD55D0" w14:textId="77777777" w:rsidTr="007149CF">
        <w:tc>
          <w:tcPr>
            <w:tcW w:w="6055" w:type="dxa"/>
          </w:tcPr>
          <w:p w14:paraId="0A7E345C" w14:textId="77777777" w:rsidR="006E04EF" w:rsidRPr="007863FD" w:rsidRDefault="006E04EF" w:rsidP="007149CF">
            <w:pPr>
              <w:ind w:left="162"/>
            </w:pPr>
            <w:r w:rsidRPr="007863FD">
              <w:t>Total accrued expenses</w:t>
            </w:r>
          </w:p>
        </w:tc>
        <w:tc>
          <w:tcPr>
            <w:tcW w:w="1842" w:type="dxa"/>
            <w:tcBorders>
              <w:top w:val="single" w:sz="4" w:space="0" w:color="auto"/>
              <w:bottom w:val="double" w:sz="4" w:space="0" w:color="auto"/>
            </w:tcBorders>
          </w:tcPr>
          <w:p w14:paraId="26AB6FBC" w14:textId="06FFDDB6" w:rsidR="006E04EF" w:rsidRPr="007863FD" w:rsidRDefault="006E04EF" w:rsidP="007149CF">
            <w:pPr>
              <w:tabs>
                <w:tab w:val="decimal" w:pos="1199"/>
              </w:tabs>
            </w:pPr>
            <w:r w:rsidRPr="007863FD">
              <w:t>$</w:t>
            </w:r>
            <w:r>
              <w:t xml:space="preserve"> </w:t>
            </w:r>
            <w:r w:rsidR="0042784A">
              <w:t>532,292</w:t>
            </w:r>
          </w:p>
        </w:tc>
        <w:tc>
          <w:tcPr>
            <w:tcW w:w="1841" w:type="dxa"/>
            <w:tcBorders>
              <w:top w:val="single" w:sz="4" w:space="0" w:color="auto"/>
              <w:bottom w:val="double" w:sz="4" w:space="0" w:color="auto"/>
            </w:tcBorders>
          </w:tcPr>
          <w:p w14:paraId="19EA4F9F" w14:textId="26C5B65D" w:rsidR="006E04EF" w:rsidRPr="004C0A63" w:rsidRDefault="006E04EF" w:rsidP="007149CF">
            <w:pPr>
              <w:tabs>
                <w:tab w:val="decimal" w:pos="1157"/>
              </w:tabs>
            </w:pPr>
            <w:r w:rsidRPr="007863FD">
              <w:t xml:space="preserve">$ </w:t>
            </w:r>
            <w:r w:rsidR="00110A45">
              <w:t>1,257,572</w:t>
            </w:r>
          </w:p>
        </w:tc>
      </w:tr>
    </w:tbl>
    <w:p w14:paraId="058E46DE" w14:textId="77777777" w:rsidR="0081257D" w:rsidRDefault="0081257D" w:rsidP="000A55AE">
      <w:pPr>
        <w:pStyle w:val="BodyText"/>
        <w:spacing w:after="0"/>
      </w:pPr>
    </w:p>
    <w:p w14:paraId="2D51CE8D" w14:textId="45FE2602" w:rsidR="00C33214" w:rsidRPr="001C6303" w:rsidRDefault="00110A45" w:rsidP="00C33214">
      <w:pPr>
        <w:pStyle w:val="ListNumbering"/>
        <w:spacing w:after="0"/>
      </w:pPr>
      <w:bookmarkStart w:id="14" w:name="_Toc197922410"/>
      <w:r>
        <w:t>4</w:t>
      </w:r>
      <w:r w:rsidR="00C33214" w:rsidRPr="00CA6DDA">
        <w:t>.</w:t>
      </w:r>
      <w:r w:rsidR="00C33214" w:rsidRPr="00CA6DDA">
        <w:tab/>
        <w:t>Commitments</w:t>
      </w:r>
    </w:p>
    <w:p w14:paraId="366DCAC5" w14:textId="281D1709" w:rsidR="00C33214" w:rsidRDefault="00C33214" w:rsidP="00C33214">
      <w:pPr>
        <w:pStyle w:val="BodyText"/>
        <w:spacing w:after="0"/>
      </w:pPr>
    </w:p>
    <w:p w14:paraId="539107BD" w14:textId="7441918E" w:rsidR="00F461F3" w:rsidRPr="006E04EF" w:rsidRDefault="00F461F3" w:rsidP="00F461F3">
      <w:pPr>
        <w:rPr>
          <w:i/>
        </w:rPr>
      </w:pPr>
      <w:r>
        <w:rPr>
          <w:i/>
        </w:rPr>
        <w:t>Operating Lease</w:t>
      </w:r>
      <w:r w:rsidR="006E04EF">
        <w:rPr>
          <w:i/>
        </w:rPr>
        <w:t xml:space="preserve">.  </w:t>
      </w:r>
      <w:r>
        <w:t xml:space="preserve">We lease approximately 8,400 square feet of office and laboratory space pursuant to an operating lease which expires on December 31, 2025. </w:t>
      </w:r>
      <w:r w:rsidR="00110A45" w:rsidRPr="00775D2C">
        <w:t>Rent expense for the three-month periods ended March 31, 202</w:t>
      </w:r>
      <w:r w:rsidR="00110A45">
        <w:t>5</w:t>
      </w:r>
      <w:r w:rsidR="00110A45" w:rsidRPr="00775D2C">
        <w:t xml:space="preserve"> and 202</w:t>
      </w:r>
      <w:r w:rsidR="00110A45">
        <w:t>4</w:t>
      </w:r>
      <w:r w:rsidR="00110A45" w:rsidRPr="00775D2C">
        <w:t xml:space="preserve"> was $</w:t>
      </w:r>
      <w:r w:rsidR="008043F7">
        <w:t>48,177</w:t>
      </w:r>
      <w:r w:rsidR="00110A45" w:rsidRPr="00775D2C">
        <w:t xml:space="preserve"> and $</w:t>
      </w:r>
      <w:r w:rsidR="00110A45">
        <w:t>46,764</w:t>
      </w:r>
      <w:r w:rsidR="00110A45" w:rsidRPr="00775D2C">
        <w:t>, respectively</w:t>
      </w:r>
      <w:r w:rsidR="003118CA">
        <w:t>.</w:t>
      </w:r>
      <w:r w:rsidR="00110A45">
        <w:t xml:space="preserve"> </w:t>
      </w:r>
      <w:r>
        <w:t>Future minimum lease payments total $</w:t>
      </w:r>
      <w:r w:rsidR="008043F7">
        <w:t>144,531</w:t>
      </w:r>
      <w:r>
        <w:t xml:space="preserve"> in 2025</w:t>
      </w:r>
      <w:r w:rsidR="008043F7">
        <w:t>.</w:t>
      </w:r>
    </w:p>
    <w:p w14:paraId="7DE2B326" w14:textId="77777777" w:rsidR="00F461F3" w:rsidRDefault="00F461F3" w:rsidP="00F461F3">
      <w:pPr>
        <w:rPr>
          <w:bCs/>
        </w:rPr>
      </w:pPr>
    </w:p>
    <w:p w14:paraId="7CFFC2AB" w14:textId="7A6BB065" w:rsidR="00F461F3" w:rsidRPr="006E04EF" w:rsidRDefault="00F461F3" w:rsidP="00F461F3">
      <w:pPr>
        <w:rPr>
          <w:bCs/>
          <w:i/>
          <w:iCs/>
        </w:rPr>
      </w:pPr>
      <w:r>
        <w:rPr>
          <w:bCs/>
          <w:i/>
          <w:iCs/>
        </w:rPr>
        <w:t>License Agreements</w:t>
      </w:r>
      <w:r w:rsidR="006E04EF">
        <w:rPr>
          <w:bCs/>
          <w:i/>
          <w:iCs/>
        </w:rPr>
        <w:t xml:space="preserve">.  </w:t>
      </w:r>
      <w:r>
        <w:rPr>
          <w:bCs/>
        </w:rPr>
        <w:t>We have entered into license agreements</w:t>
      </w:r>
      <w:r>
        <w:t xml:space="preserve"> for various technologies and patent rights associated with our product development activities. These agreements may contain provisions for upfront payments, milestone fees </w:t>
      </w:r>
      <w:r>
        <w:rPr>
          <w:bCs/>
        </w:rPr>
        <w:t xml:space="preserve">due upon the achievement of selected development and regulatory events, minimum annual royalties or other fees, </w:t>
      </w:r>
      <w:r>
        <w:t>and royalties based on future net sales.</w:t>
      </w:r>
      <w:r w:rsidR="00AF7C6C" w:rsidRPr="00AF7C6C">
        <w:t xml:space="preserve"> </w:t>
      </w:r>
      <w:r w:rsidR="00AF7C6C" w:rsidRPr="003F7D9B">
        <w:t xml:space="preserve">Due to the uncertainty of the achievement and timing of the </w:t>
      </w:r>
      <w:r w:rsidR="00AF7C6C">
        <w:t xml:space="preserve">contingent </w:t>
      </w:r>
      <w:r w:rsidR="00AF7C6C" w:rsidRPr="003F7D9B">
        <w:t>events requiring payment under these agreements, the amounts to be paid by us</w:t>
      </w:r>
      <w:r w:rsidR="00AF7C6C">
        <w:t xml:space="preserve"> in the future</w:t>
      </w:r>
      <w:r w:rsidR="00AF7C6C" w:rsidRPr="003F7D9B">
        <w:t xml:space="preserve"> are not determinable</w:t>
      </w:r>
      <w:r w:rsidR="00AF7C6C">
        <w:t>.</w:t>
      </w:r>
    </w:p>
    <w:p w14:paraId="7ADC22B6" w14:textId="77777777" w:rsidR="00F461F3" w:rsidRDefault="00F461F3" w:rsidP="00F461F3"/>
    <w:p w14:paraId="6A2CA56A" w14:textId="6815B1A4" w:rsidR="00F461F3" w:rsidRPr="006E04EF" w:rsidRDefault="00F461F3" w:rsidP="00F461F3">
      <w:pPr>
        <w:rPr>
          <w:bCs/>
        </w:rPr>
      </w:pPr>
      <w:r>
        <w:rPr>
          <w:bCs/>
          <w:i/>
          <w:iCs/>
        </w:rPr>
        <w:t>Other Commitments</w:t>
      </w:r>
      <w:r w:rsidR="006E04EF">
        <w:rPr>
          <w:bCs/>
        </w:rPr>
        <w:t xml:space="preserve">.  </w:t>
      </w:r>
      <w:r>
        <w:t xml:space="preserve">In the normal course of </w:t>
      </w:r>
      <w:r w:rsidR="00775D2C">
        <w:t>business,</w:t>
      </w:r>
      <w:r>
        <w:t xml:space="preserve"> we enter into various contracts and purchase commitments including those with contract research organizations (“CROs”) </w:t>
      </w:r>
      <w:r w:rsidR="00CC7B89">
        <w:t>for clinical trial services,</w:t>
      </w:r>
      <w:r>
        <w:t xml:space="preserve"> </w:t>
      </w:r>
      <w:r>
        <w:rPr>
          <w:bCs/>
        </w:rPr>
        <w:t xml:space="preserve">contract manufacturing organizations (“CMOs”) </w:t>
      </w:r>
      <w:r>
        <w:t>for production of</w:t>
      </w:r>
      <w:r>
        <w:rPr>
          <w:bCs/>
        </w:rPr>
        <w:t xml:space="preserve"> materials for use in our clinical trials</w:t>
      </w:r>
      <w:r w:rsidR="00CC7B89">
        <w:rPr>
          <w:bCs/>
        </w:rPr>
        <w:t>, and other independent contractors</w:t>
      </w:r>
      <w:r w:rsidR="007814FB">
        <w:rPr>
          <w:bCs/>
        </w:rPr>
        <w:t xml:space="preserve"> or academic institutions</w:t>
      </w:r>
      <w:r w:rsidR="00CC7B89">
        <w:rPr>
          <w:bCs/>
        </w:rPr>
        <w:t xml:space="preserve"> for preclinical research activities and other services and products</w:t>
      </w:r>
      <w:r>
        <w:rPr>
          <w:bCs/>
        </w:rPr>
        <w:t xml:space="preserve">. Most contracts are generally cancellable, with notice, at the Company’s option. </w:t>
      </w:r>
      <w:r>
        <w:t>Payments due upon cancellation may consist of payments for services provided or expenses incurred to date, or cancellation penalties depending on the time of cancellation.</w:t>
      </w:r>
    </w:p>
    <w:p w14:paraId="2EEC6171" w14:textId="77777777" w:rsidR="007947EE" w:rsidRDefault="007947EE" w:rsidP="007947EE"/>
    <w:p w14:paraId="6FC96A67" w14:textId="77777777" w:rsidR="00902E0A" w:rsidRDefault="00902E0A">
      <w:pPr>
        <w:rPr>
          <w:b/>
        </w:rPr>
      </w:pPr>
      <w:r>
        <w:br w:type="page"/>
      </w:r>
    </w:p>
    <w:p w14:paraId="2EF779F7" w14:textId="7AD8F204" w:rsidR="00C33214" w:rsidRDefault="00AE2834" w:rsidP="00C33214">
      <w:pPr>
        <w:pStyle w:val="ListNumbering"/>
        <w:spacing w:after="0"/>
      </w:pPr>
      <w:r>
        <w:lastRenderedPageBreak/>
        <w:t>5</w:t>
      </w:r>
      <w:r w:rsidR="00C33214" w:rsidRPr="00B935E6">
        <w:t>.</w:t>
      </w:r>
      <w:r w:rsidR="00C33214" w:rsidRPr="00B935E6">
        <w:tab/>
        <w:t>Stockholders’ Equity</w:t>
      </w:r>
    </w:p>
    <w:p w14:paraId="3ACCC99A" w14:textId="77777777" w:rsidR="006E04EF" w:rsidRDefault="006E04EF" w:rsidP="00C33214">
      <w:pPr>
        <w:pStyle w:val="BodyTitle"/>
        <w:spacing w:after="0"/>
      </w:pPr>
    </w:p>
    <w:p w14:paraId="100D9E00" w14:textId="4A776308" w:rsidR="00C05C64" w:rsidRDefault="006E03B3" w:rsidP="00475DE6">
      <w:pPr>
        <w:pStyle w:val="BodyTitle"/>
        <w:spacing w:after="0"/>
        <w:rPr>
          <w:rFonts w:eastAsia="Times New Roman"/>
          <w:i/>
          <w:iCs/>
          <w:u w:val="none"/>
        </w:rPr>
      </w:pPr>
      <w:bookmarkStart w:id="15" w:name="_Hlk172020223"/>
      <w:r>
        <w:rPr>
          <w:rFonts w:eastAsia="Times New Roman"/>
          <w:i/>
          <w:iCs/>
          <w:u w:val="none"/>
        </w:rPr>
        <w:t xml:space="preserve">Common Stock </w:t>
      </w:r>
      <w:r w:rsidR="00DB5278">
        <w:rPr>
          <w:rFonts w:eastAsia="Times New Roman"/>
          <w:i/>
          <w:iCs/>
          <w:u w:val="none"/>
        </w:rPr>
        <w:t>Transactions</w:t>
      </w:r>
    </w:p>
    <w:bookmarkEnd w:id="15"/>
    <w:p w14:paraId="355086AC" w14:textId="77777777" w:rsidR="0090104B" w:rsidRDefault="0090104B" w:rsidP="00475DE6">
      <w:pPr>
        <w:pStyle w:val="BodyTitle"/>
        <w:spacing w:after="0"/>
        <w:rPr>
          <w:bCs/>
          <w:u w:val="none"/>
        </w:rPr>
      </w:pPr>
    </w:p>
    <w:p w14:paraId="37EEC69A" w14:textId="65344D8A" w:rsidR="003872D2" w:rsidRPr="003872D2" w:rsidRDefault="003872D2" w:rsidP="003872D2">
      <w:pPr>
        <w:rPr>
          <w:bCs/>
        </w:rPr>
      </w:pPr>
      <w:r w:rsidRPr="003872D2">
        <w:rPr>
          <w:rFonts w:ascii="CG Times (WN)" w:hAnsi="CG Times (WN)"/>
          <w:i/>
          <w:iCs/>
        </w:rPr>
        <w:t>March 2025 Offering</w:t>
      </w:r>
      <w:r w:rsidRPr="003872D2">
        <w:rPr>
          <w:rFonts w:ascii="CG Times (WN)" w:hAnsi="CG Times (WN)"/>
        </w:rPr>
        <w:t xml:space="preserve">.  On March 25, 2025, we closed a registered direct offering of </w:t>
      </w:r>
      <w:r w:rsidRPr="003872D2">
        <w:rPr>
          <w:rFonts w:ascii="CG Times (WN)" w:hAnsi="CG Times (WN)"/>
          <w:bCs/>
        </w:rPr>
        <w:t xml:space="preserve">1,350,000 shares of common stock, pre-funded warrants to purchase an aggregate of 2,085,115 shares of common stock, and common warrants to purchase up to 3,435,115 shares of common stock at an exercise price of $1.31 per share. </w:t>
      </w:r>
      <w:r w:rsidRPr="003872D2">
        <w:rPr>
          <w:rFonts w:ascii="CG Times (WN)" w:hAnsi="CG Times (WN)"/>
        </w:rPr>
        <w:t>Net proceeds after deducting placement agent commissions and other offering expenses were approximately $4.1 million.</w:t>
      </w:r>
    </w:p>
    <w:p w14:paraId="58CDB3BD" w14:textId="77777777" w:rsidR="003872D2" w:rsidRDefault="003872D2" w:rsidP="00475DE6">
      <w:pPr>
        <w:pStyle w:val="BodyTitle"/>
        <w:spacing w:after="0"/>
        <w:rPr>
          <w:bCs/>
          <w:u w:val="none"/>
        </w:rPr>
      </w:pPr>
    </w:p>
    <w:p w14:paraId="74BA525F" w14:textId="3DFD4256" w:rsidR="00320EAE" w:rsidRDefault="003872D2" w:rsidP="003872D2">
      <w:pPr>
        <w:pStyle w:val="BodyTitle"/>
        <w:spacing w:after="0"/>
        <w:rPr>
          <w:bCs/>
          <w:u w:val="none"/>
        </w:rPr>
      </w:pPr>
      <w:r w:rsidRPr="003872D2">
        <w:rPr>
          <w:bCs/>
          <w:i/>
          <w:iCs/>
          <w:u w:val="none"/>
        </w:rPr>
        <w:t>ATM Program</w:t>
      </w:r>
      <w:r>
        <w:rPr>
          <w:bCs/>
          <w:u w:val="none"/>
        </w:rPr>
        <w:t xml:space="preserve">.  </w:t>
      </w:r>
      <w:r w:rsidR="009C4D0C">
        <w:rPr>
          <w:bCs/>
          <w:u w:val="none"/>
        </w:rPr>
        <w:t xml:space="preserve">On September 25, 2024, we entered into a Sales Agreement and established an “At-the-Market” </w:t>
      </w:r>
      <w:r w:rsidR="001D7418">
        <w:rPr>
          <w:bCs/>
          <w:u w:val="none"/>
        </w:rPr>
        <w:t xml:space="preserve">continuous </w:t>
      </w:r>
      <w:r w:rsidR="009C4D0C">
        <w:rPr>
          <w:bCs/>
          <w:u w:val="none"/>
        </w:rPr>
        <w:t xml:space="preserve">offering </w:t>
      </w:r>
      <w:r w:rsidR="009265AA">
        <w:rPr>
          <w:bCs/>
          <w:u w:val="none"/>
        </w:rPr>
        <w:t xml:space="preserve">program </w:t>
      </w:r>
      <w:r w:rsidR="009C4D0C">
        <w:rPr>
          <w:bCs/>
          <w:u w:val="none"/>
        </w:rPr>
        <w:t xml:space="preserve">(the “ATM Program”), pursuant to which the Company may offer and sell, from time to time through </w:t>
      </w:r>
      <w:r w:rsidR="006E03B3">
        <w:rPr>
          <w:bCs/>
          <w:u w:val="none"/>
        </w:rPr>
        <w:t>its</w:t>
      </w:r>
      <w:r w:rsidR="009C4D0C" w:rsidRPr="00EB02C5">
        <w:rPr>
          <w:bCs/>
          <w:u w:val="none"/>
        </w:rPr>
        <w:t xml:space="preserve"> sale</w:t>
      </w:r>
      <w:r w:rsidR="006E03B3">
        <w:rPr>
          <w:bCs/>
          <w:u w:val="none"/>
        </w:rPr>
        <w:t>s</w:t>
      </w:r>
      <w:r w:rsidR="009C4D0C" w:rsidRPr="00EB02C5">
        <w:rPr>
          <w:bCs/>
          <w:u w:val="none"/>
        </w:rPr>
        <w:t xml:space="preserve"> agent, shares of its common stock.</w:t>
      </w:r>
      <w:r w:rsidR="009C4D0C">
        <w:rPr>
          <w:bCs/>
          <w:u w:val="none"/>
        </w:rPr>
        <w:t xml:space="preserve"> During the </w:t>
      </w:r>
      <w:r w:rsidR="007B404A">
        <w:rPr>
          <w:bCs/>
          <w:u w:val="none"/>
        </w:rPr>
        <w:t>three months ended March 31,</w:t>
      </w:r>
      <w:r w:rsidR="009C4D0C">
        <w:rPr>
          <w:bCs/>
          <w:u w:val="none"/>
        </w:rPr>
        <w:t xml:space="preserve"> 202</w:t>
      </w:r>
      <w:r>
        <w:rPr>
          <w:bCs/>
          <w:u w:val="none"/>
        </w:rPr>
        <w:t>5</w:t>
      </w:r>
      <w:r w:rsidR="009C4D0C">
        <w:rPr>
          <w:bCs/>
          <w:u w:val="none"/>
        </w:rPr>
        <w:t xml:space="preserve"> we sold </w:t>
      </w:r>
      <w:r>
        <w:rPr>
          <w:bCs/>
          <w:u w:val="none"/>
        </w:rPr>
        <w:t>1,952,603</w:t>
      </w:r>
      <w:r w:rsidR="009C4D0C">
        <w:rPr>
          <w:bCs/>
          <w:u w:val="none"/>
        </w:rPr>
        <w:t xml:space="preserve"> shares of our common stock through the ATM Program </w:t>
      </w:r>
      <w:r>
        <w:rPr>
          <w:bCs/>
          <w:u w:val="none"/>
        </w:rPr>
        <w:t>for net proceeds of approximately</w:t>
      </w:r>
      <w:r w:rsidR="009C4D0C">
        <w:rPr>
          <w:bCs/>
          <w:u w:val="none"/>
        </w:rPr>
        <w:t xml:space="preserve"> $</w:t>
      </w:r>
      <w:r>
        <w:rPr>
          <w:bCs/>
          <w:u w:val="none"/>
        </w:rPr>
        <w:t>3.8 million</w:t>
      </w:r>
      <w:r w:rsidR="009C4D0C">
        <w:rPr>
          <w:bCs/>
          <w:u w:val="none"/>
        </w:rPr>
        <w:t>, after deducting commission</w:t>
      </w:r>
      <w:r w:rsidR="006E03B3">
        <w:rPr>
          <w:bCs/>
          <w:u w:val="none"/>
        </w:rPr>
        <w:t>s</w:t>
      </w:r>
      <w:r w:rsidR="009C4D0C">
        <w:rPr>
          <w:bCs/>
          <w:u w:val="none"/>
        </w:rPr>
        <w:t xml:space="preserve"> to the sales agent and other related expenses.</w:t>
      </w:r>
      <w:bookmarkStart w:id="16" w:name="_Hlk108625276"/>
    </w:p>
    <w:p w14:paraId="218BEC5A" w14:textId="77777777" w:rsidR="003872D2" w:rsidRDefault="003872D2" w:rsidP="003872D2">
      <w:pPr>
        <w:pStyle w:val="BodyTitle"/>
        <w:spacing w:after="0"/>
      </w:pPr>
    </w:p>
    <w:bookmarkEnd w:id="16"/>
    <w:p w14:paraId="64AFECED" w14:textId="76AD63B5" w:rsidR="003963E0" w:rsidRDefault="00C33214" w:rsidP="00C33214">
      <w:pPr>
        <w:pStyle w:val="BodyTitle"/>
        <w:spacing w:after="0"/>
        <w:rPr>
          <w:u w:val="none"/>
        </w:rPr>
      </w:pPr>
      <w:r w:rsidRPr="006F0BD4">
        <w:rPr>
          <w:i/>
          <w:iCs/>
          <w:u w:val="none"/>
        </w:rPr>
        <w:t>Stock Options</w:t>
      </w:r>
    </w:p>
    <w:p w14:paraId="2D4E9977" w14:textId="77777777" w:rsidR="003963E0" w:rsidRDefault="003963E0" w:rsidP="00C33214">
      <w:pPr>
        <w:pStyle w:val="BodyTitle"/>
        <w:spacing w:after="0"/>
        <w:rPr>
          <w:u w:val="none"/>
        </w:rPr>
      </w:pPr>
    </w:p>
    <w:p w14:paraId="5FB8EB1D" w14:textId="228F9FBA" w:rsidR="009F52C6" w:rsidRPr="007B404A" w:rsidRDefault="00320EAE" w:rsidP="009F52C6">
      <w:pPr>
        <w:pStyle w:val="BodyTitle"/>
        <w:spacing w:after="0"/>
        <w:rPr>
          <w:u w:val="none"/>
        </w:rPr>
      </w:pPr>
      <w:r w:rsidRPr="006749F1">
        <w:rPr>
          <w:u w:val="none"/>
        </w:rPr>
        <w:t>We have stock-based incentive plan</w:t>
      </w:r>
      <w:r>
        <w:rPr>
          <w:u w:val="none"/>
        </w:rPr>
        <w:t>s</w:t>
      </w:r>
      <w:r w:rsidRPr="006749F1">
        <w:rPr>
          <w:u w:val="none"/>
        </w:rPr>
        <w:t xml:space="preserve"> (the “Plan</w:t>
      </w:r>
      <w:r>
        <w:rPr>
          <w:u w:val="none"/>
        </w:rPr>
        <w:t>s</w:t>
      </w:r>
      <w:r w:rsidRPr="006749F1">
        <w:rPr>
          <w:u w:val="none"/>
        </w:rPr>
        <w:t xml:space="preserve">”) </w:t>
      </w:r>
      <w:r w:rsidRPr="006749F1">
        <w:rPr>
          <w:color w:val="000000"/>
          <w:u w:val="none"/>
        </w:rPr>
        <w:t xml:space="preserve">pursuant to which our Board of Directors may grant stock options and other stock-based awards to our employees, directors and consultants. </w:t>
      </w:r>
      <w:r>
        <w:rPr>
          <w:color w:val="000000"/>
          <w:u w:val="none"/>
        </w:rPr>
        <w:t>Including the outstanding stock options, a</w:t>
      </w:r>
      <w:r w:rsidRPr="006749F1">
        <w:rPr>
          <w:color w:val="000000"/>
          <w:u w:val="none"/>
        </w:rPr>
        <w:t xml:space="preserve"> total of </w:t>
      </w:r>
      <w:r w:rsidR="008043F7">
        <w:rPr>
          <w:color w:val="000000"/>
          <w:u w:val="none"/>
        </w:rPr>
        <w:t>2,033,648</w:t>
      </w:r>
      <w:r w:rsidRPr="006749F1">
        <w:rPr>
          <w:color w:val="000000"/>
          <w:u w:val="none"/>
        </w:rPr>
        <w:t xml:space="preserve"> shares of our common stock are reserved for </w:t>
      </w:r>
      <w:r>
        <w:rPr>
          <w:color w:val="000000"/>
          <w:u w:val="none"/>
        </w:rPr>
        <w:t xml:space="preserve">future </w:t>
      </w:r>
      <w:r w:rsidRPr="006749F1">
        <w:rPr>
          <w:color w:val="000000"/>
          <w:u w:val="none"/>
        </w:rPr>
        <w:t>issuance pursuant to the Plan</w:t>
      </w:r>
      <w:r>
        <w:rPr>
          <w:color w:val="000000"/>
          <w:u w:val="none"/>
        </w:rPr>
        <w:t>s</w:t>
      </w:r>
      <w:r w:rsidRPr="009F52C6">
        <w:rPr>
          <w:color w:val="000000"/>
          <w:u w:val="none"/>
        </w:rPr>
        <w:t>.</w:t>
      </w:r>
      <w:r w:rsidR="009F52C6" w:rsidRPr="009F52C6">
        <w:rPr>
          <w:color w:val="000000"/>
          <w:u w:val="none"/>
        </w:rPr>
        <w:t xml:space="preserve"> </w:t>
      </w:r>
      <w:r w:rsidR="00817FA2" w:rsidRPr="00817FA2">
        <w:rPr>
          <w:u w:val="none"/>
        </w:rPr>
        <w:t xml:space="preserve">A summary of the Company’s stock option activity during </w:t>
      </w:r>
      <w:r w:rsidR="00817FA2" w:rsidRPr="009F52C6">
        <w:rPr>
          <w:u w:val="none"/>
        </w:rPr>
        <w:t xml:space="preserve">the </w:t>
      </w:r>
      <w:bookmarkStart w:id="17" w:name="_Hlk195342191"/>
      <w:r w:rsidR="00817FA2" w:rsidRPr="009F52C6">
        <w:rPr>
          <w:u w:val="none"/>
        </w:rPr>
        <w:t xml:space="preserve">three months ended March 31, </w:t>
      </w:r>
      <w:r w:rsidR="00817FA2" w:rsidRPr="00817FA2">
        <w:rPr>
          <w:u w:val="none"/>
        </w:rPr>
        <w:t>202</w:t>
      </w:r>
      <w:r w:rsidR="00817FA2" w:rsidRPr="009F52C6">
        <w:rPr>
          <w:u w:val="none"/>
        </w:rPr>
        <w:t>5</w:t>
      </w:r>
      <w:r w:rsidR="00817FA2" w:rsidRPr="00817FA2">
        <w:rPr>
          <w:u w:val="none"/>
        </w:rPr>
        <w:t xml:space="preserve"> </w:t>
      </w:r>
      <w:bookmarkEnd w:id="17"/>
      <w:r w:rsidR="00817FA2" w:rsidRPr="00817FA2">
        <w:rPr>
          <w:u w:val="none"/>
        </w:rPr>
        <w:t>is presented below.</w:t>
      </w:r>
    </w:p>
    <w:tbl>
      <w:tblPr>
        <w:tblW w:w="0" w:type="auto"/>
        <w:tblLook w:val="01E0" w:firstRow="1" w:lastRow="1" w:firstColumn="1" w:lastColumn="1" w:noHBand="0" w:noVBand="0"/>
      </w:tblPr>
      <w:tblGrid>
        <w:gridCol w:w="4011"/>
        <w:gridCol w:w="1482"/>
        <w:gridCol w:w="1481"/>
        <w:gridCol w:w="1482"/>
        <w:gridCol w:w="1480"/>
      </w:tblGrid>
      <w:tr w:rsidR="00817FA2" w:rsidRPr="00817FA2" w14:paraId="325EF7DA" w14:textId="77777777" w:rsidTr="00F21826">
        <w:tc>
          <w:tcPr>
            <w:tcW w:w="4011" w:type="dxa"/>
          </w:tcPr>
          <w:p w14:paraId="272FDC03" w14:textId="77777777" w:rsidR="00817FA2" w:rsidRPr="00817FA2" w:rsidRDefault="00817FA2" w:rsidP="00817FA2">
            <w:pPr>
              <w:suppressAutoHyphens/>
              <w:spacing w:line="240" w:lineRule="exact"/>
            </w:pPr>
          </w:p>
        </w:tc>
        <w:tc>
          <w:tcPr>
            <w:tcW w:w="1482" w:type="dxa"/>
            <w:tcBorders>
              <w:bottom w:val="single" w:sz="4" w:space="0" w:color="auto"/>
            </w:tcBorders>
          </w:tcPr>
          <w:p w14:paraId="7218170F" w14:textId="77777777" w:rsidR="00817FA2" w:rsidRPr="00817FA2" w:rsidRDefault="00817FA2" w:rsidP="00817FA2">
            <w:pPr>
              <w:suppressAutoHyphens/>
              <w:spacing w:line="240" w:lineRule="exact"/>
              <w:jc w:val="center"/>
            </w:pPr>
          </w:p>
          <w:p w14:paraId="21398E97" w14:textId="77777777" w:rsidR="00817FA2" w:rsidRPr="00817FA2" w:rsidRDefault="00817FA2" w:rsidP="00817FA2">
            <w:pPr>
              <w:suppressAutoHyphens/>
              <w:spacing w:line="240" w:lineRule="exact"/>
              <w:jc w:val="center"/>
            </w:pPr>
          </w:p>
          <w:p w14:paraId="381FFF50" w14:textId="77777777" w:rsidR="00817FA2" w:rsidRPr="00817FA2" w:rsidRDefault="00817FA2" w:rsidP="00817FA2">
            <w:pPr>
              <w:suppressAutoHyphens/>
              <w:spacing w:line="240" w:lineRule="exact"/>
              <w:jc w:val="center"/>
            </w:pPr>
          </w:p>
          <w:p w14:paraId="3E926C57" w14:textId="77777777" w:rsidR="00817FA2" w:rsidRPr="00817FA2" w:rsidRDefault="00817FA2" w:rsidP="00817FA2">
            <w:pPr>
              <w:suppressAutoHyphens/>
              <w:spacing w:line="240" w:lineRule="exact"/>
              <w:jc w:val="center"/>
            </w:pPr>
            <w:r w:rsidRPr="00817FA2">
              <w:t>Number</w:t>
            </w:r>
          </w:p>
          <w:p w14:paraId="12531C00" w14:textId="77777777" w:rsidR="00817FA2" w:rsidRPr="00817FA2" w:rsidRDefault="00817FA2" w:rsidP="00817FA2">
            <w:pPr>
              <w:suppressAutoHyphens/>
              <w:spacing w:line="240" w:lineRule="exact"/>
              <w:jc w:val="center"/>
            </w:pPr>
            <w:r w:rsidRPr="00817FA2">
              <w:t>of Shares</w:t>
            </w:r>
          </w:p>
        </w:tc>
        <w:tc>
          <w:tcPr>
            <w:tcW w:w="1481" w:type="dxa"/>
            <w:tcBorders>
              <w:bottom w:val="single" w:sz="4" w:space="0" w:color="auto"/>
            </w:tcBorders>
          </w:tcPr>
          <w:p w14:paraId="1965F00A" w14:textId="77777777" w:rsidR="00817FA2" w:rsidRPr="00817FA2" w:rsidRDefault="00817FA2" w:rsidP="00817FA2">
            <w:pPr>
              <w:suppressAutoHyphens/>
              <w:spacing w:line="240" w:lineRule="exact"/>
              <w:jc w:val="center"/>
            </w:pPr>
          </w:p>
          <w:p w14:paraId="76B66068" w14:textId="77777777" w:rsidR="00817FA2" w:rsidRPr="00817FA2" w:rsidRDefault="00817FA2" w:rsidP="00817FA2">
            <w:pPr>
              <w:suppressAutoHyphens/>
              <w:spacing w:line="240" w:lineRule="exact"/>
              <w:jc w:val="center"/>
            </w:pPr>
            <w:r w:rsidRPr="00817FA2">
              <w:t>Weighted-</w:t>
            </w:r>
          </w:p>
          <w:p w14:paraId="4D9D7F80" w14:textId="77777777" w:rsidR="00817FA2" w:rsidRPr="00817FA2" w:rsidRDefault="00817FA2" w:rsidP="00817FA2">
            <w:pPr>
              <w:suppressAutoHyphens/>
              <w:spacing w:line="240" w:lineRule="exact"/>
              <w:jc w:val="center"/>
            </w:pPr>
            <w:r w:rsidRPr="00817FA2">
              <w:t>Average</w:t>
            </w:r>
          </w:p>
          <w:p w14:paraId="2E3125F2" w14:textId="77777777" w:rsidR="00817FA2" w:rsidRPr="00817FA2" w:rsidRDefault="00817FA2" w:rsidP="00817FA2">
            <w:pPr>
              <w:suppressAutoHyphens/>
              <w:spacing w:line="240" w:lineRule="exact"/>
              <w:jc w:val="center"/>
            </w:pPr>
            <w:r w:rsidRPr="00817FA2">
              <w:t>Exercise</w:t>
            </w:r>
          </w:p>
          <w:p w14:paraId="2E898397" w14:textId="77777777" w:rsidR="00817FA2" w:rsidRPr="00817FA2" w:rsidRDefault="00817FA2" w:rsidP="00817FA2">
            <w:pPr>
              <w:suppressAutoHyphens/>
              <w:spacing w:line="240" w:lineRule="exact"/>
              <w:jc w:val="center"/>
            </w:pPr>
            <w:r w:rsidRPr="00817FA2">
              <w:t>Price</w:t>
            </w:r>
          </w:p>
        </w:tc>
        <w:tc>
          <w:tcPr>
            <w:tcW w:w="1482" w:type="dxa"/>
            <w:tcBorders>
              <w:bottom w:val="single" w:sz="4" w:space="0" w:color="auto"/>
            </w:tcBorders>
          </w:tcPr>
          <w:p w14:paraId="6C8A070D" w14:textId="77777777" w:rsidR="00817FA2" w:rsidRPr="00817FA2" w:rsidRDefault="00817FA2" w:rsidP="00817FA2">
            <w:pPr>
              <w:suppressAutoHyphens/>
              <w:spacing w:line="240" w:lineRule="exact"/>
              <w:jc w:val="center"/>
            </w:pPr>
            <w:r w:rsidRPr="00817FA2">
              <w:t>Weighted-</w:t>
            </w:r>
          </w:p>
          <w:p w14:paraId="063D7DB4" w14:textId="77777777" w:rsidR="00817FA2" w:rsidRPr="00817FA2" w:rsidRDefault="00817FA2" w:rsidP="00817FA2">
            <w:pPr>
              <w:suppressAutoHyphens/>
              <w:spacing w:line="240" w:lineRule="exact"/>
              <w:jc w:val="center"/>
            </w:pPr>
            <w:r w:rsidRPr="00817FA2">
              <w:t>Average</w:t>
            </w:r>
          </w:p>
          <w:p w14:paraId="000C1F29" w14:textId="77777777" w:rsidR="00817FA2" w:rsidRPr="00817FA2" w:rsidRDefault="00817FA2" w:rsidP="00817FA2">
            <w:pPr>
              <w:suppressAutoHyphens/>
              <w:spacing w:line="240" w:lineRule="exact"/>
              <w:jc w:val="center"/>
            </w:pPr>
            <w:r w:rsidRPr="00817FA2">
              <w:t>Remaining</w:t>
            </w:r>
          </w:p>
          <w:p w14:paraId="6C142748" w14:textId="77777777" w:rsidR="00817FA2" w:rsidRPr="00817FA2" w:rsidRDefault="00817FA2" w:rsidP="00817FA2">
            <w:pPr>
              <w:suppressAutoHyphens/>
              <w:spacing w:line="240" w:lineRule="exact"/>
              <w:jc w:val="center"/>
            </w:pPr>
            <w:r w:rsidRPr="00817FA2">
              <w:t>Contractual</w:t>
            </w:r>
          </w:p>
          <w:p w14:paraId="5C33E89F" w14:textId="77777777" w:rsidR="00817FA2" w:rsidRPr="00817FA2" w:rsidRDefault="00817FA2" w:rsidP="00817FA2">
            <w:pPr>
              <w:suppressAutoHyphens/>
              <w:spacing w:line="240" w:lineRule="exact"/>
              <w:jc w:val="center"/>
            </w:pPr>
            <w:r w:rsidRPr="00817FA2">
              <w:t>Term (yrs)</w:t>
            </w:r>
          </w:p>
        </w:tc>
        <w:tc>
          <w:tcPr>
            <w:tcW w:w="1480" w:type="dxa"/>
            <w:tcBorders>
              <w:bottom w:val="single" w:sz="4" w:space="0" w:color="auto"/>
            </w:tcBorders>
          </w:tcPr>
          <w:p w14:paraId="4E6FFFCA" w14:textId="77777777" w:rsidR="00817FA2" w:rsidRPr="00817FA2" w:rsidRDefault="00817FA2" w:rsidP="00817FA2">
            <w:pPr>
              <w:suppressAutoHyphens/>
              <w:spacing w:line="240" w:lineRule="exact"/>
              <w:jc w:val="center"/>
            </w:pPr>
          </w:p>
          <w:p w14:paraId="39B4D508" w14:textId="77777777" w:rsidR="00817FA2" w:rsidRPr="00817FA2" w:rsidRDefault="00817FA2" w:rsidP="00817FA2">
            <w:pPr>
              <w:suppressAutoHyphens/>
              <w:spacing w:line="240" w:lineRule="exact"/>
              <w:jc w:val="center"/>
            </w:pPr>
          </w:p>
          <w:p w14:paraId="695D55EA" w14:textId="77777777" w:rsidR="00817FA2" w:rsidRPr="00817FA2" w:rsidRDefault="00817FA2" w:rsidP="00817FA2">
            <w:pPr>
              <w:suppressAutoHyphens/>
              <w:spacing w:line="240" w:lineRule="exact"/>
              <w:jc w:val="center"/>
            </w:pPr>
            <w:r w:rsidRPr="00817FA2">
              <w:t>Aggregate</w:t>
            </w:r>
          </w:p>
          <w:p w14:paraId="3CB5F32F" w14:textId="77777777" w:rsidR="00817FA2" w:rsidRPr="00817FA2" w:rsidRDefault="00817FA2" w:rsidP="00817FA2">
            <w:pPr>
              <w:suppressAutoHyphens/>
              <w:spacing w:line="240" w:lineRule="exact"/>
              <w:jc w:val="center"/>
            </w:pPr>
            <w:r w:rsidRPr="00817FA2">
              <w:t>Intrinsic</w:t>
            </w:r>
          </w:p>
          <w:p w14:paraId="2B3F319C" w14:textId="77777777" w:rsidR="00817FA2" w:rsidRPr="00817FA2" w:rsidRDefault="00817FA2" w:rsidP="00817FA2">
            <w:pPr>
              <w:suppressAutoHyphens/>
              <w:spacing w:line="240" w:lineRule="exact"/>
              <w:jc w:val="center"/>
            </w:pPr>
            <w:r w:rsidRPr="00817FA2">
              <w:t>Value</w:t>
            </w:r>
          </w:p>
        </w:tc>
      </w:tr>
      <w:tr w:rsidR="00817FA2" w:rsidRPr="00817FA2" w14:paraId="5122BEC3" w14:textId="77777777" w:rsidTr="00F21826">
        <w:tc>
          <w:tcPr>
            <w:tcW w:w="4011" w:type="dxa"/>
          </w:tcPr>
          <w:p w14:paraId="0057394C" w14:textId="64BFC0A9" w:rsidR="00817FA2" w:rsidRPr="00817FA2" w:rsidRDefault="00817FA2" w:rsidP="00817FA2">
            <w:pPr>
              <w:suppressAutoHyphens/>
              <w:spacing w:line="240" w:lineRule="exact"/>
            </w:pPr>
            <w:bookmarkStart w:id="18" w:name="_Hlk123825799"/>
            <w:r w:rsidRPr="00817FA2">
              <w:t>Outstanding at December 31, 202</w:t>
            </w:r>
            <w:r>
              <w:t>4</w:t>
            </w:r>
          </w:p>
        </w:tc>
        <w:tc>
          <w:tcPr>
            <w:tcW w:w="1482" w:type="dxa"/>
            <w:tcBorders>
              <w:top w:val="single" w:sz="4" w:space="0" w:color="auto"/>
            </w:tcBorders>
          </w:tcPr>
          <w:p w14:paraId="2D3DB695" w14:textId="7B92A8AC" w:rsidR="00817FA2" w:rsidRPr="00817FA2" w:rsidRDefault="00817FA2" w:rsidP="00817FA2">
            <w:pPr>
              <w:tabs>
                <w:tab w:val="decimal" w:pos="1105"/>
              </w:tabs>
              <w:suppressAutoHyphens/>
              <w:spacing w:line="240" w:lineRule="exact"/>
            </w:pPr>
            <w:r>
              <w:t>333,648</w:t>
            </w:r>
          </w:p>
        </w:tc>
        <w:tc>
          <w:tcPr>
            <w:tcW w:w="1481" w:type="dxa"/>
            <w:tcBorders>
              <w:top w:val="single" w:sz="4" w:space="0" w:color="auto"/>
            </w:tcBorders>
          </w:tcPr>
          <w:p w14:paraId="33923EC8" w14:textId="797E803C" w:rsidR="00817FA2" w:rsidRPr="00817FA2" w:rsidRDefault="00817FA2" w:rsidP="00817FA2">
            <w:pPr>
              <w:suppressAutoHyphens/>
              <w:spacing w:line="240" w:lineRule="exact"/>
              <w:ind w:right="22"/>
            </w:pPr>
            <w:r w:rsidRPr="00817FA2">
              <w:t>$</w:t>
            </w:r>
            <w:r w:rsidRPr="00817FA2">
              <w:tab/>
            </w:r>
            <w:r>
              <w:t>12.71</w:t>
            </w:r>
          </w:p>
        </w:tc>
        <w:tc>
          <w:tcPr>
            <w:tcW w:w="1482" w:type="dxa"/>
            <w:tcBorders>
              <w:top w:val="single" w:sz="4" w:space="0" w:color="auto"/>
            </w:tcBorders>
          </w:tcPr>
          <w:p w14:paraId="0C7F5FEB" w14:textId="5039FBDE" w:rsidR="00817FA2" w:rsidRPr="00817FA2" w:rsidRDefault="00817FA2" w:rsidP="00817FA2">
            <w:pPr>
              <w:tabs>
                <w:tab w:val="right" w:pos="1102"/>
              </w:tabs>
              <w:suppressAutoHyphens/>
              <w:spacing w:line="240" w:lineRule="exact"/>
            </w:pPr>
            <w:r w:rsidRPr="00817FA2">
              <w:tab/>
            </w:r>
            <w:r>
              <w:t>8.6</w:t>
            </w:r>
          </w:p>
        </w:tc>
        <w:tc>
          <w:tcPr>
            <w:tcW w:w="1480" w:type="dxa"/>
            <w:tcBorders>
              <w:top w:val="single" w:sz="4" w:space="0" w:color="auto"/>
            </w:tcBorders>
          </w:tcPr>
          <w:p w14:paraId="0D8F6502" w14:textId="35D3EBFF" w:rsidR="00817FA2" w:rsidRPr="00817FA2" w:rsidRDefault="00817FA2" w:rsidP="00817FA2">
            <w:pPr>
              <w:tabs>
                <w:tab w:val="right" w:pos="1107"/>
              </w:tabs>
              <w:suppressAutoHyphens/>
              <w:spacing w:line="240" w:lineRule="exact"/>
            </w:pPr>
            <w:r w:rsidRPr="00817FA2">
              <w:t>$</w:t>
            </w:r>
            <w:r w:rsidRPr="00817FA2">
              <w:tab/>
            </w:r>
            <w:r>
              <w:t>58,500</w:t>
            </w:r>
          </w:p>
        </w:tc>
      </w:tr>
      <w:bookmarkEnd w:id="18"/>
      <w:tr w:rsidR="00817FA2" w:rsidRPr="00817FA2" w14:paraId="4DE07248" w14:textId="77777777" w:rsidTr="00F21826">
        <w:tc>
          <w:tcPr>
            <w:tcW w:w="4011" w:type="dxa"/>
          </w:tcPr>
          <w:p w14:paraId="3CFD3228" w14:textId="4A2710B5" w:rsidR="00817FA2" w:rsidRPr="00817FA2" w:rsidRDefault="00232ECE" w:rsidP="00817FA2">
            <w:pPr>
              <w:suppressAutoHyphens/>
              <w:spacing w:line="240" w:lineRule="exact"/>
            </w:pPr>
            <w:r>
              <w:t>Stock options g</w:t>
            </w:r>
            <w:r w:rsidR="00817FA2" w:rsidRPr="00817FA2">
              <w:t>ranted</w:t>
            </w:r>
          </w:p>
        </w:tc>
        <w:tc>
          <w:tcPr>
            <w:tcW w:w="1482" w:type="dxa"/>
          </w:tcPr>
          <w:p w14:paraId="5879F0E9" w14:textId="0DCFD6A3" w:rsidR="00817FA2" w:rsidRPr="00817FA2" w:rsidRDefault="00817FA2" w:rsidP="00817FA2">
            <w:pPr>
              <w:tabs>
                <w:tab w:val="decimal" w:pos="1105"/>
              </w:tabs>
              <w:suppressAutoHyphens/>
              <w:spacing w:line="240" w:lineRule="exact"/>
            </w:pPr>
            <w:r>
              <w:t>805,300</w:t>
            </w:r>
          </w:p>
        </w:tc>
        <w:tc>
          <w:tcPr>
            <w:tcW w:w="1481" w:type="dxa"/>
          </w:tcPr>
          <w:p w14:paraId="591C0651" w14:textId="6AAA66FA" w:rsidR="00817FA2" w:rsidRPr="00817FA2" w:rsidRDefault="00817FA2" w:rsidP="00817FA2">
            <w:pPr>
              <w:suppressAutoHyphens/>
              <w:spacing w:line="240" w:lineRule="exact"/>
              <w:ind w:right="112"/>
              <w:jc w:val="right"/>
            </w:pPr>
            <w:r w:rsidRPr="00817FA2">
              <w:tab/>
            </w:r>
            <w:r>
              <w:t>2.48</w:t>
            </w:r>
          </w:p>
        </w:tc>
        <w:tc>
          <w:tcPr>
            <w:tcW w:w="1482" w:type="dxa"/>
          </w:tcPr>
          <w:p w14:paraId="232B2BF1" w14:textId="77777777" w:rsidR="00817FA2" w:rsidRPr="00817FA2" w:rsidRDefault="00817FA2" w:rsidP="00817FA2">
            <w:pPr>
              <w:suppressAutoHyphens/>
              <w:spacing w:line="240" w:lineRule="exact"/>
            </w:pPr>
          </w:p>
        </w:tc>
        <w:tc>
          <w:tcPr>
            <w:tcW w:w="1480" w:type="dxa"/>
          </w:tcPr>
          <w:p w14:paraId="4A418036" w14:textId="77777777" w:rsidR="00817FA2" w:rsidRPr="00817FA2" w:rsidRDefault="00817FA2" w:rsidP="00817FA2">
            <w:pPr>
              <w:tabs>
                <w:tab w:val="right" w:pos="1107"/>
              </w:tabs>
              <w:suppressAutoHyphens/>
              <w:spacing w:line="240" w:lineRule="exact"/>
            </w:pPr>
          </w:p>
        </w:tc>
      </w:tr>
      <w:tr w:rsidR="00817FA2" w:rsidRPr="00817FA2" w14:paraId="7B4911B2" w14:textId="77777777" w:rsidTr="00F21826">
        <w:tc>
          <w:tcPr>
            <w:tcW w:w="4011" w:type="dxa"/>
          </w:tcPr>
          <w:p w14:paraId="5A849E69" w14:textId="2A7891F2" w:rsidR="00817FA2" w:rsidRPr="00817FA2" w:rsidRDefault="00817FA2" w:rsidP="00817FA2">
            <w:pPr>
              <w:suppressAutoHyphens/>
              <w:spacing w:line="240" w:lineRule="exact"/>
            </w:pPr>
            <w:r w:rsidRPr="00817FA2">
              <w:t xml:space="preserve">Outstanding at </w:t>
            </w:r>
            <w:r>
              <w:t>March</w:t>
            </w:r>
            <w:r w:rsidRPr="00817FA2">
              <w:t xml:space="preserve"> 31, 202</w:t>
            </w:r>
            <w:r>
              <w:t>5</w:t>
            </w:r>
          </w:p>
        </w:tc>
        <w:tc>
          <w:tcPr>
            <w:tcW w:w="1482" w:type="dxa"/>
            <w:tcBorders>
              <w:top w:val="single" w:sz="4" w:space="0" w:color="auto"/>
              <w:bottom w:val="double" w:sz="4" w:space="0" w:color="auto"/>
            </w:tcBorders>
          </w:tcPr>
          <w:p w14:paraId="2CBDF58B" w14:textId="7C3F699B" w:rsidR="00817FA2" w:rsidRPr="00817FA2" w:rsidRDefault="00817FA2" w:rsidP="00817FA2">
            <w:pPr>
              <w:tabs>
                <w:tab w:val="decimal" w:pos="1105"/>
              </w:tabs>
              <w:suppressAutoHyphens/>
              <w:spacing w:line="240" w:lineRule="exact"/>
            </w:pPr>
            <w:r>
              <w:t>1,138,948</w:t>
            </w:r>
          </w:p>
        </w:tc>
        <w:tc>
          <w:tcPr>
            <w:tcW w:w="1481" w:type="dxa"/>
            <w:tcBorders>
              <w:top w:val="single" w:sz="4" w:space="0" w:color="auto"/>
              <w:bottom w:val="double" w:sz="4" w:space="0" w:color="auto"/>
            </w:tcBorders>
          </w:tcPr>
          <w:p w14:paraId="0E818F58" w14:textId="74716D40" w:rsidR="00817FA2" w:rsidRPr="00817FA2" w:rsidRDefault="00817FA2" w:rsidP="00817FA2">
            <w:pPr>
              <w:suppressAutoHyphens/>
              <w:spacing w:line="240" w:lineRule="exact"/>
            </w:pPr>
            <w:r w:rsidRPr="00817FA2">
              <w:t>$</w:t>
            </w:r>
            <w:r w:rsidRPr="00817FA2">
              <w:tab/>
            </w:r>
            <w:r>
              <w:t>5.48</w:t>
            </w:r>
          </w:p>
        </w:tc>
        <w:tc>
          <w:tcPr>
            <w:tcW w:w="1482" w:type="dxa"/>
            <w:tcBorders>
              <w:top w:val="single" w:sz="4" w:space="0" w:color="auto"/>
              <w:bottom w:val="double" w:sz="4" w:space="0" w:color="auto"/>
            </w:tcBorders>
          </w:tcPr>
          <w:p w14:paraId="1B64DF24" w14:textId="44FCE73A" w:rsidR="00817FA2" w:rsidRPr="00817FA2" w:rsidRDefault="00817FA2" w:rsidP="00817FA2">
            <w:pPr>
              <w:tabs>
                <w:tab w:val="right" w:pos="1102"/>
              </w:tabs>
              <w:suppressAutoHyphens/>
              <w:spacing w:line="240" w:lineRule="exact"/>
            </w:pPr>
            <w:r w:rsidRPr="00817FA2">
              <w:tab/>
            </w:r>
            <w:r>
              <w:t>9.4</w:t>
            </w:r>
          </w:p>
        </w:tc>
        <w:tc>
          <w:tcPr>
            <w:tcW w:w="1480" w:type="dxa"/>
            <w:tcBorders>
              <w:top w:val="single" w:sz="4" w:space="0" w:color="auto"/>
              <w:bottom w:val="double" w:sz="4" w:space="0" w:color="auto"/>
            </w:tcBorders>
          </w:tcPr>
          <w:p w14:paraId="07D11616" w14:textId="752E7198" w:rsidR="00817FA2" w:rsidRPr="00817FA2" w:rsidRDefault="00817FA2" w:rsidP="00817FA2">
            <w:pPr>
              <w:tabs>
                <w:tab w:val="right" w:pos="1107"/>
              </w:tabs>
              <w:suppressAutoHyphens/>
              <w:spacing w:line="240" w:lineRule="exact"/>
            </w:pPr>
            <w:r w:rsidRPr="00817FA2">
              <w:t>$</w:t>
            </w:r>
            <w:r w:rsidRPr="00817FA2">
              <w:tab/>
            </w:r>
            <w:r>
              <w:t>-</w:t>
            </w:r>
          </w:p>
        </w:tc>
      </w:tr>
      <w:tr w:rsidR="00817FA2" w:rsidRPr="00817FA2" w14:paraId="231FF2AB" w14:textId="77777777" w:rsidTr="00F21826">
        <w:tc>
          <w:tcPr>
            <w:tcW w:w="4011" w:type="dxa"/>
          </w:tcPr>
          <w:p w14:paraId="3D38D359" w14:textId="4DDE6420" w:rsidR="00817FA2" w:rsidRPr="00817FA2" w:rsidRDefault="00817FA2" w:rsidP="00817FA2">
            <w:pPr>
              <w:suppressAutoHyphens/>
              <w:spacing w:line="240" w:lineRule="exact"/>
            </w:pPr>
            <w:r w:rsidRPr="00817FA2">
              <w:t xml:space="preserve">Exercisable at </w:t>
            </w:r>
            <w:r>
              <w:t>March</w:t>
            </w:r>
            <w:r w:rsidRPr="00817FA2">
              <w:t xml:space="preserve"> 31, 202</w:t>
            </w:r>
            <w:r>
              <w:t>5</w:t>
            </w:r>
          </w:p>
        </w:tc>
        <w:tc>
          <w:tcPr>
            <w:tcW w:w="1482" w:type="dxa"/>
            <w:tcBorders>
              <w:top w:val="double" w:sz="4" w:space="0" w:color="auto"/>
              <w:bottom w:val="double" w:sz="4" w:space="0" w:color="auto"/>
            </w:tcBorders>
          </w:tcPr>
          <w:p w14:paraId="4810D692" w14:textId="7B028ACC" w:rsidR="00817FA2" w:rsidRPr="00817FA2" w:rsidRDefault="009F52C6" w:rsidP="00817FA2">
            <w:pPr>
              <w:tabs>
                <w:tab w:val="decimal" w:pos="1105"/>
              </w:tabs>
              <w:suppressAutoHyphens/>
              <w:spacing w:line="240" w:lineRule="exact"/>
            </w:pPr>
            <w:r>
              <w:t>117,905</w:t>
            </w:r>
          </w:p>
        </w:tc>
        <w:tc>
          <w:tcPr>
            <w:tcW w:w="1481" w:type="dxa"/>
            <w:tcBorders>
              <w:top w:val="double" w:sz="4" w:space="0" w:color="auto"/>
              <w:bottom w:val="double" w:sz="4" w:space="0" w:color="auto"/>
            </w:tcBorders>
          </w:tcPr>
          <w:p w14:paraId="490485B1" w14:textId="77777777" w:rsidR="00817FA2" w:rsidRPr="00817FA2" w:rsidRDefault="00817FA2" w:rsidP="00817FA2">
            <w:pPr>
              <w:suppressAutoHyphens/>
              <w:spacing w:line="240" w:lineRule="exact"/>
            </w:pPr>
            <w:r w:rsidRPr="00817FA2">
              <w:t>$</w:t>
            </w:r>
            <w:r w:rsidRPr="00817FA2">
              <w:tab/>
              <w:t>30.67</w:t>
            </w:r>
          </w:p>
        </w:tc>
        <w:tc>
          <w:tcPr>
            <w:tcW w:w="1482" w:type="dxa"/>
            <w:tcBorders>
              <w:top w:val="double" w:sz="4" w:space="0" w:color="auto"/>
              <w:bottom w:val="double" w:sz="4" w:space="0" w:color="auto"/>
            </w:tcBorders>
          </w:tcPr>
          <w:p w14:paraId="4D89AB4B" w14:textId="6737C093" w:rsidR="00817FA2" w:rsidRPr="00817FA2" w:rsidRDefault="00817FA2" w:rsidP="00817FA2">
            <w:pPr>
              <w:tabs>
                <w:tab w:val="right" w:pos="1102"/>
              </w:tabs>
              <w:suppressAutoHyphens/>
              <w:spacing w:line="240" w:lineRule="exact"/>
            </w:pPr>
            <w:r w:rsidRPr="00817FA2">
              <w:tab/>
            </w:r>
            <w:r w:rsidR="009F52C6">
              <w:t>6.8</w:t>
            </w:r>
          </w:p>
        </w:tc>
        <w:tc>
          <w:tcPr>
            <w:tcW w:w="1480" w:type="dxa"/>
            <w:tcBorders>
              <w:top w:val="double" w:sz="4" w:space="0" w:color="auto"/>
              <w:bottom w:val="double" w:sz="4" w:space="0" w:color="auto"/>
            </w:tcBorders>
          </w:tcPr>
          <w:p w14:paraId="357D4DD7" w14:textId="77777777" w:rsidR="00817FA2" w:rsidRPr="00817FA2" w:rsidRDefault="00817FA2" w:rsidP="00817FA2">
            <w:pPr>
              <w:tabs>
                <w:tab w:val="right" w:pos="1107"/>
              </w:tabs>
              <w:suppressAutoHyphens/>
              <w:spacing w:line="240" w:lineRule="exact"/>
            </w:pPr>
            <w:r w:rsidRPr="00817FA2">
              <w:t>$</w:t>
            </w:r>
            <w:r w:rsidRPr="00817FA2">
              <w:tab/>
              <w:t>-</w:t>
            </w:r>
          </w:p>
        </w:tc>
      </w:tr>
    </w:tbl>
    <w:p w14:paraId="53FF3F92" w14:textId="77777777" w:rsidR="00817FA2" w:rsidRDefault="00817FA2" w:rsidP="00C33214">
      <w:pPr>
        <w:rPr>
          <w:color w:val="000000"/>
        </w:rPr>
      </w:pPr>
    </w:p>
    <w:p w14:paraId="725D33F7" w14:textId="5E4E78C5" w:rsidR="00320EAE" w:rsidRDefault="00320EAE" w:rsidP="00320EAE">
      <w:pPr>
        <w:suppressAutoHyphens/>
        <w:spacing w:line="240" w:lineRule="exact"/>
        <w:rPr>
          <w:i/>
          <w:color w:val="000000"/>
        </w:rPr>
      </w:pPr>
      <w:r w:rsidRPr="00914DFD">
        <w:rPr>
          <w:i/>
          <w:color w:val="000000"/>
        </w:rPr>
        <w:t>Stock Purchase Warrants</w:t>
      </w:r>
    </w:p>
    <w:p w14:paraId="42CC3DE6" w14:textId="77777777" w:rsidR="000514F7" w:rsidRDefault="000514F7" w:rsidP="000A55AE">
      <w:pPr>
        <w:rPr>
          <w:color w:val="000000"/>
        </w:rPr>
      </w:pPr>
    </w:p>
    <w:p w14:paraId="1D0BF2FA" w14:textId="3C17A881" w:rsidR="007B404A" w:rsidRDefault="009F52C6" w:rsidP="009F52C6">
      <w:pPr>
        <w:suppressAutoHyphens/>
        <w:spacing w:line="240" w:lineRule="exact"/>
      </w:pPr>
      <w:r w:rsidRPr="009F52C6">
        <w:t xml:space="preserve">A summary of the Company’s warrant activity during </w:t>
      </w:r>
      <w:r w:rsidR="007B404A">
        <w:t xml:space="preserve">the </w:t>
      </w:r>
      <w:r w:rsidRPr="009F52C6">
        <w:t xml:space="preserve">three months ended March 31, </w:t>
      </w:r>
      <w:r w:rsidRPr="00817FA2">
        <w:t>202</w:t>
      </w:r>
      <w:r w:rsidRPr="009F52C6">
        <w:t>5</w:t>
      </w:r>
      <w:r w:rsidRPr="00817FA2">
        <w:t xml:space="preserve"> </w:t>
      </w:r>
      <w:r w:rsidRPr="009F52C6">
        <w:t>is presented below.</w:t>
      </w:r>
    </w:p>
    <w:p w14:paraId="262644E4" w14:textId="77777777" w:rsidR="007B404A" w:rsidRPr="009F52C6" w:rsidRDefault="007B404A" w:rsidP="009F52C6">
      <w:pPr>
        <w:suppressAutoHyphens/>
        <w:spacing w:line="24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1432"/>
        <w:gridCol w:w="1290"/>
        <w:gridCol w:w="1150"/>
        <w:gridCol w:w="1269"/>
        <w:gridCol w:w="341"/>
        <w:gridCol w:w="1381"/>
      </w:tblGrid>
      <w:tr w:rsidR="009F52C6" w:rsidRPr="009F52C6" w14:paraId="63E35D94" w14:textId="77777777" w:rsidTr="00F21826">
        <w:tc>
          <w:tcPr>
            <w:tcW w:w="3063" w:type="dxa"/>
          </w:tcPr>
          <w:p w14:paraId="6DAA02A1" w14:textId="77777777" w:rsidR="009F52C6" w:rsidRPr="009F52C6" w:rsidRDefault="009F52C6" w:rsidP="009F52C6"/>
        </w:tc>
        <w:tc>
          <w:tcPr>
            <w:tcW w:w="3872" w:type="dxa"/>
            <w:gridSpan w:val="3"/>
            <w:tcBorders>
              <w:bottom w:val="single" w:sz="4" w:space="0" w:color="auto"/>
            </w:tcBorders>
          </w:tcPr>
          <w:p w14:paraId="165C69D9" w14:textId="77777777" w:rsidR="009F52C6" w:rsidRPr="009F52C6" w:rsidRDefault="009F52C6" w:rsidP="007B404A">
            <w:pPr>
              <w:jc w:val="center"/>
            </w:pPr>
            <w:r w:rsidRPr="009F52C6">
              <w:t>Common Warrants</w:t>
            </w:r>
          </w:p>
        </w:tc>
        <w:tc>
          <w:tcPr>
            <w:tcW w:w="1269" w:type="dxa"/>
          </w:tcPr>
          <w:p w14:paraId="4F3A1942" w14:textId="77777777" w:rsidR="009F52C6" w:rsidRPr="009F52C6" w:rsidRDefault="009F52C6" w:rsidP="007B404A"/>
        </w:tc>
        <w:tc>
          <w:tcPr>
            <w:tcW w:w="341" w:type="dxa"/>
          </w:tcPr>
          <w:p w14:paraId="02E7E7A6" w14:textId="77777777" w:rsidR="009F52C6" w:rsidRPr="009F52C6" w:rsidRDefault="009F52C6" w:rsidP="009F52C6"/>
        </w:tc>
        <w:tc>
          <w:tcPr>
            <w:tcW w:w="1381" w:type="dxa"/>
          </w:tcPr>
          <w:p w14:paraId="15AE89A6" w14:textId="77777777" w:rsidR="009F52C6" w:rsidRPr="009F52C6" w:rsidRDefault="009F52C6" w:rsidP="009F52C6"/>
        </w:tc>
      </w:tr>
      <w:tr w:rsidR="009F52C6" w:rsidRPr="009F52C6" w14:paraId="5A0EFE80" w14:textId="77777777" w:rsidTr="00F21826">
        <w:tc>
          <w:tcPr>
            <w:tcW w:w="3063" w:type="dxa"/>
          </w:tcPr>
          <w:p w14:paraId="2489D10E" w14:textId="77777777" w:rsidR="009F52C6" w:rsidRPr="009F52C6" w:rsidRDefault="009F52C6" w:rsidP="009F52C6"/>
        </w:tc>
        <w:tc>
          <w:tcPr>
            <w:tcW w:w="1432" w:type="dxa"/>
            <w:tcBorders>
              <w:top w:val="single" w:sz="4" w:space="0" w:color="auto"/>
              <w:bottom w:val="single" w:sz="4" w:space="0" w:color="auto"/>
            </w:tcBorders>
          </w:tcPr>
          <w:p w14:paraId="5625DB34" w14:textId="77777777" w:rsidR="009F52C6" w:rsidRPr="009F52C6" w:rsidRDefault="009F52C6" w:rsidP="009F52C6">
            <w:pPr>
              <w:jc w:val="center"/>
            </w:pPr>
          </w:p>
          <w:p w14:paraId="055740EC" w14:textId="77777777" w:rsidR="009F52C6" w:rsidRPr="009F52C6" w:rsidRDefault="009F52C6" w:rsidP="009F52C6">
            <w:pPr>
              <w:jc w:val="center"/>
            </w:pPr>
          </w:p>
          <w:p w14:paraId="7F6247D7" w14:textId="77777777" w:rsidR="009F52C6" w:rsidRPr="009F52C6" w:rsidRDefault="009F52C6" w:rsidP="009F52C6">
            <w:pPr>
              <w:jc w:val="center"/>
            </w:pPr>
          </w:p>
          <w:p w14:paraId="786B0674" w14:textId="77777777" w:rsidR="009F52C6" w:rsidRPr="009F52C6" w:rsidRDefault="009F52C6" w:rsidP="009F52C6">
            <w:pPr>
              <w:jc w:val="center"/>
            </w:pPr>
            <w:r w:rsidRPr="009F52C6">
              <w:t>Number</w:t>
            </w:r>
          </w:p>
          <w:p w14:paraId="3CE37A04" w14:textId="77777777" w:rsidR="009F52C6" w:rsidRPr="009F52C6" w:rsidRDefault="009F52C6" w:rsidP="009F52C6">
            <w:pPr>
              <w:jc w:val="center"/>
            </w:pPr>
            <w:r w:rsidRPr="009F52C6">
              <w:t>of Shares</w:t>
            </w:r>
          </w:p>
        </w:tc>
        <w:tc>
          <w:tcPr>
            <w:tcW w:w="1290" w:type="dxa"/>
            <w:tcBorders>
              <w:top w:val="single" w:sz="4" w:space="0" w:color="auto"/>
              <w:bottom w:val="single" w:sz="4" w:space="0" w:color="auto"/>
            </w:tcBorders>
          </w:tcPr>
          <w:p w14:paraId="7DCCB840" w14:textId="77777777" w:rsidR="009F52C6" w:rsidRPr="009F52C6" w:rsidRDefault="009F52C6" w:rsidP="009F52C6"/>
          <w:p w14:paraId="31C5766C" w14:textId="77777777" w:rsidR="009F52C6" w:rsidRPr="009F52C6" w:rsidRDefault="009F52C6" w:rsidP="009F52C6">
            <w:pPr>
              <w:jc w:val="center"/>
            </w:pPr>
            <w:r w:rsidRPr="009F52C6">
              <w:t>Weighted-Average Exercise Price</w:t>
            </w:r>
          </w:p>
        </w:tc>
        <w:tc>
          <w:tcPr>
            <w:tcW w:w="1150" w:type="dxa"/>
            <w:tcBorders>
              <w:top w:val="single" w:sz="4" w:space="0" w:color="auto"/>
              <w:bottom w:val="single" w:sz="4" w:space="0" w:color="auto"/>
            </w:tcBorders>
          </w:tcPr>
          <w:p w14:paraId="7F5CDAC8" w14:textId="77777777" w:rsidR="009F52C6" w:rsidRPr="009F52C6" w:rsidRDefault="009F52C6" w:rsidP="009F52C6">
            <w:pPr>
              <w:jc w:val="center"/>
            </w:pPr>
            <w:r w:rsidRPr="009F52C6">
              <w:t>Weighted-Average</w:t>
            </w:r>
          </w:p>
          <w:p w14:paraId="28422AC9" w14:textId="77777777" w:rsidR="009F52C6" w:rsidRPr="009F52C6" w:rsidRDefault="009F52C6" w:rsidP="009F52C6">
            <w:pPr>
              <w:jc w:val="center"/>
            </w:pPr>
            <w:r w:rsidRPr="009F52C6">
              <w:t>Remaining Contractual Term (yrs)</w:t>
            </w:r>
          </w:p>
        </w:tc>
        <w:tc>
          <w:tcPr>
            <w:tcW w:w="1269" w:type="dxa"/>
            <w:tcBorders>
              <w:bottom w:val="single" w:sz="4" w:space="0" w:color="auto"/>
            </w:tcBorders>
          </w:tcPr>
          <w:p w14:paraId="0D702BE0" w14:textId="77777777" w:rsidR="009F52C6" w:rsidRPr="009F52C6" w:rsidRDefault="009F52C6" w:rsidP="009F52C6">
            <w:pPr>
              <w:jc w:val="center"/>
            </w:pPr>
          </w:p>
          <w:p w14:paraId="234FF576" w14:textId="77777777" w:rsidR="009F52C6" w:rsidRPr="009F52C6" w:rsidRDefault="009F52C6" w:rsidP="009F52C6">
            <w:pPr>
              <w:jc w:val="center"/>
            </w:pPr>
            <w:r w:rsidRPr="009F52C6">
              <w:t>Pre-Funded</w:t>
            </w:r>
          </w:p>
          <w:p w14:paraId="4D88757A" w14:textId="77777777" w:rsidR="009F52C6" w:rsidRPr="009F52C6" w:rsidRDefault="009F52C6" w:rsidP="009F52C6">
            <w:pPr>
              <w:jc w:val="center"/>
            </w:pPr>
            <w:r w:rsidRPr="009F52C6">
              <w:t>Warrants</w:t>
            </w:r>
          </w:p>
          <w:p w14:paraId="070F9959" w14:textId="77777777" w:rsidR="009F52C6" w:rsidRPr="009F52C6" w:rsidRDefault="009F52C6" w:rsidP="009F52C6">
            <w:pPr>
              <w:jc w:val="center"/>
            </w:pPr>
            <w:r w:rsidRPr="009F52C6">
              <w:t>Number</w:t>
            </w:r>
          </w:p>
          <w:p w14:paraId="7C7A9E81" w14:textId="77777777" w:rsidR="009F52C6" w:rsidRPr="009F52C6" w:rsidRDefault="009F52C6" w:rsidP="009F52C6">
            <w:pPr>
              <w:jc w:val="center"/>
            </w:pPr>
            <w:r w:rsidRPr="009F52C6">
              <w:t>of Shares</w:t>
            </w:r>
          </w:p>
        </w:tc>
        <w:tc>
          <w:tcPr>
            <w:tcW w:w="341" w:type="dxa"/>
            <w:tcBorders>
              <w:bottom w:val="single" w:sz="4" w:space="0" w:color="auto"/>
            </w:tcBorders>
          </w:tcPr>
          <w:p w14:paraId="071FBD64" w14:textId="77777777" w:rsidR="009F52C6" w:rsidRPr="009F52C6" w:rsidRDefault="009F52C6" w:rsidP="009F52C6">
            <w:pPr>
              <w:jc w:val="center"/>
            </w:pPr>
          </w:p>
        </w:tc>
        <w:tc>
          <w:tcPr>
            <w:tcW w:w="1381" w:type="dxa"/>
            <w:tcBorders>
              <w:bottom w:val="single" w:sz="4" w:space="0" w:color="auto"/>
            </w:tcBorders>
          </w:tcPr>
          <w:p w14:paraId="67B168FC" w14:textId="77777777" w:rsidR="009F52C6" w:rsidRPr="009F52C6" w:rsidRDefault="009F52C6" w:rsidP="009F52C6">
            <w:pPr>
              <w:jc w:val="center"/>
            </w:pPr>
          </w:p>
          <w:p w14:paraId="1C158C93" w14:textId="77777777" w:rsidR="009F52C6" w:rsidRPr="009F52C6" w:rsidRDefault="009F52C6" w:rsidP="009F52C6">
            <w:pPr>
              <w:jc w:val="center"/>
            </w:pPr>
          </w:p>
          <w:p w14:paraId="01BEB501" w14:textId="77777777" w:rsidR="009F52C6" w:rsidRPr="009F52C6" w:rsidRDefault="009F52C6" w:rsidP="009F52C6">
            <w:pPr>
              <w:jc w:val="center"/>
            </w:pPr>
          </w:p>
          <w:p w14:paraId="0C32936D" w14:textId="77777777" w:rsidR="009F52C6" w:rsidRPr="009F52C6" w:rsidRDefault="009F52C6" w:rsidP="009F52C6">
            <w:pPr>
              <w:jc w:val="center"/>
            </w:pPr>
            <w:r w:rsidRPr="009F52C6">
              <w:t>Total</w:t>
            </w:r>
          </w:p>
          <w:p w14:paraId="0B4E6896" w14:textId="77777777" w:rsidR="009F52C6" w:rsidRPr="009F52C6" w:rsidRDefault="009F52C6" w:rsidP="009F52C6">
            <w:pPr>
              <w:jc w:val="center"/>
            </w:pPr>
            <w:r w:rsidRPr="009F52C6">
              <w:t>Warrants</w:t>
            </w:r>
          </w:p>
        </w:tc>
      </w:tr>
      <w:tr w:rsidR="009F52C6" w:rsidRPr="009F52C6" w14:paraId="3A85F4D0" w14:textId="77777777" w:rsidTr="00F21826">
        <w:tc>
          <w:tcPr>
            <w:tcW w:w="3063" w:type="dxa"/>
          </w:tcPr>
          <w:p w14:paraId="0C46520B" w14:textId="567DFCED" w:rsidR="009F52C6" w:rsidRPr="009F52C6" w:rsidRDefault="009F52C6" w:rsidP="009F52C6">
            <w:r w:rsidRPr="009F52C6">
              <w:t>Outstanding at December 31, 202</w:t>
            </w:r>
            <w:r>
              <w:t>4</w:t>
            </w:r>
          </w:p>
        </w:tc>
        <w:tc>
          <w:tcPr>
            <w:tcW w:w="1432" w:type="dxa"/>
            <w:tcBorders>
              <w:top w:val="single" w:sz="4" w:space="0" w:color="auto"/>
            </w:tcBorders>
          </w:tcPr>
          <w:p w14:paraId="00C61EE8" w14:textId="2A878DB2" w:rsidR="009F52C6" w:rsidRPr="009F52C6" w:rsidRDefault="009F52C6" w:rsidP="009F52C6">
            <w:pPr>
              <w:tabs>
                <w:tab w:val="decimal" w:pos="1050"/>
              </w:tabs>
            </w:pPr>
            <w:r>
              <w:t>6,617,747</w:t>
            </w:r>
          </w:p>
        </w:tc>
        <w:tc>
          <w:tcPr>
            <w:tcW w:w="1290" w:type="dxa"/>
            <w:tcBorders>
              <w:top w:val="single" w:sz="4" w:space="0" w:color="auto"/>
            </w:tcBorders>
          </w:tcPr>
          <w:p w14:paraId="4B9C5284" w14:textId="0375A470" w:rsidR="009F52C6" w:rsidRPr="009F52C6" w:rsidRDefault="009F52C6" w:rsidP="009F52C6">
            <w:pPr>
              <w:tabs>
                <w:tab w:val="right" w:pos="1045"/>
              </w:tabs>
              <w:ind w:right="28"/>
            </w:pPr>
            <w:r w:rsidRPr="009F52C6">
              <w:t>$</w:t>
            </w:r>
            <w:r w:rsidRPr="009F52C6">
              <w:tab/>
            </w:r>
            <w:r>
              <w:t>5.13</w:t>
            </w:r>
          </w:p>
        </w:tc>
        <w:tc>
          <w:tcPr>
            <w:tcW w:w="1150" w:type="dxa"/>
            <w:tcBorders>
              <w:top w:val="single" w:sz="4" w:space="0" w:color="auto"/>
            </w:tcBorders>
          </w:tcPr>
          <w:p w14:paraId="4716808C" w14:textId="59A05EB8" w:rsidR="009F52C6" w:rsidRPr="009F52C6" w:rsidRDefault="009F52C6" w:rsidP="009F52C6">
            <w:pPr>
              <w:tabs>
                <w:tab w:val="right" w:pos="877"/>
              </w:tabs>
            </w:pPr>
            <w:r w:rsidRPr="009F52C6">
              <w:tab/>
            </w:r>
            <w:r>
              <w:t>4.6</w:t>
            </w:r>
          </w:p>
        </w:tc>
        <w:tc>
          <w:tcPr>
            <w:tcW w:w="1269" w:type="dxa"/>
            <w:tcBorders>
              <w:top w:val="single" w:sz="4" w:space="0" w:color="auto"/>
            </w:tcBorders>
          </w:tcPr>
          <w:p w14:paraId="454E640F" w14:textId="77777777" w:rsidR="009F52C6" w:rsidRPr="009F52C6" w:rsidRDefault="009F52C6" w:rsidP="009F52C6">
            <w:pPr>
              <w:tabs>
                <w:tab w:val="right" w:pos="1053"/>
              </w:tabs>
            </w:pPr>
            <w:r w:rsidRPr="009F52C6">
              <w:tab/>
              <w:t>-</w:t>
            </w:r>
          </w:p>
        </w:tc>
        <w:tc>
          <w:tcPr>
            <w:tcW w:w="341" w:type="dxa"/>
            <w:tcBorders>
              <w:top w:val="single" w:sz="4" w:space="0" w:color="auto"/>
            </w:tcBorders>
          </w:tcPr>
          <w:p w14:paraId="6B616E2F" w14:textId="77777777" w:rsidR="009F52C6" w:rsidRPr="009F52C6" w:rsidRDefault="009F52C6" w:rsidP="009F52C6"/>
        </w:tc>
        <w:tc>
          <w:tcPr>
            <w:tcW w:w="1381" w:type="dxa"/>
            <w:tcBorders>
              <w:top w:val="single" w:sz="4" w:space="0" w:color="auto"/>
            </w:tcBorders>
          </w:tcPr>
          <w:p w14:paraId="13CD0001" w14:textId="66AA1B9B" w:rsidR="009F52C6" w:rsidRPr="009F52C6" w:rsidRDefault="009F52C6" w:rsidP="009F52C6">
            <w:pPr>
              <w:tabs>
                <w:tab w:val="decimal" w:pos="978"/>
              </w:tabs>
            </w:pPr>
            <w:r>
              <w:t>6,617,747</w:t>
            </w:r>
          </w:p>
        </w:tc>
      </w:tr>
      <w:tr w:rsidR="009F52C6" w:rsidRPr="009F52C6" w14:paraId="336853DC" w14:textId="77777777" w:rsidTr="00F21826">
        <w:tc>
          <w:tcPr>
            <w:tcW w:w="3063" w:type="dxa"/>
          </w:tcPr>
          <w:p w14:paraId="400DB038" w14:textId="4B7C5949" w:rsidR="009F52C6" w:rsidRPr="009F52C6" w:rsidRDefault="00232ECE" w:rsidP="009F52C6">
            <w:r>
              <w:t>Warrants i</w:t>
            </w:r>
            <w:r w:rsidR="009F52C6" w:rsidRPr="009F52C6">
              <w:t>ssued</w:t>
            </w:r>
          </w:p>
        </w:tc>
        <w:tc>
          <w:tcPr>
            <w:tcW w:w="1432" w:type="dxa"/>
          </w:tcPr>
          <w:p w14:paraId="682E3A52" w14:textId="514FCFE9" w:rsidR="009F52C6" w:rsidRPr="009F52C6" w:rsidRDefault="009F52C6" w:rsidP="009F52C6">
            <w:pPr>
              <w:tabs>
                <w:tab w:val="decimal" w:pos="1050"/>
              </w:tabs>
            </w:pPr>
            <w:r>
              <w:t>3,435,115</w:t>
            </w:r>
          </w:p>
        </w:tc>
        <w:tc>
          <w:tcPr>
            <w:tcW w:w="1290" w:type="dxa"/>
          </w:tcPr>
          <w:p w14:paraId="50803DCB" w14:textId="57D15B3A" w:rsidR="009F52C6" w:rsidRPr="009F52C6" w:rsidRDefault="009F52C6" w:rsidP="009F52C6">
            <w:pPr>
              <w:tabs>
                <w:tab w:val="right" w:pos="1045"/>
              </w:tabs>
              <w:ind w:right="28"/>
            </w:pPr>
            <w:r w:rsidRPr="009F52C6">
              <w:tab/>
            </w:r>
            <w:r>
              <w:t>1.31</w:t>
            </w:r>
          </w:p>
        </w:tc>
        <w:tc>
          <w:tcPr>
            <w:tcW w:w="1150" w:type="dxa"/>
          </w:tcPr>
          <w:p w14:paraId="62CF8510" w14:textId="77777777" w:rsidR="009F52C6" w:rsidRPr="009F52C6" w:rsidRDefault="009F52C6" w:rsidP="009F52C6">
            <w:pPr>
              <w:tabs>
                <w:tab w:val="right" w:pos="877"/>
              </w:tabs>
            </w:pPr>
          </w:p>
        </w:tc>
        <w:tc>
          <w:tcPr>
            <w:tcW w:w="1269" w:type="dxa"/>
          </w:tcPr>
          <w:p w14:paraId="4E309B5E" w14:textId="54674E02" w:rsidR="009F52C6" w:rsidRPr="009F52C6" w:rsidRDefault="009F52C6" w:rsidP="009F52C6">
            <w:pPr>
              <w:tabs>
                <w:tab w:val="right" w:pos="1053"/>
              </w:tabs>
            </w:pPr>
            <w:r w:rsidRPr="009F52C6">
              <w:tab/>
            </w:r>
            <w:r>
              <w:t>2,085,115</w:t>
            </w:r>
          </w:p>
        </w:tc>
        <w:tc>
          <w:tcPr>
            <w:tcW w:w="341" w:type="dxa"/>
          </w:tcPr>
          <w:p w14:paraId="39C535D9" w14:textId="77777777" w:rsidR="009F52C6" w:rsidRPr="009F52C6" w:rsidRDefault="009F52C6" w:rsidP="009F52C6"/>
        </w:tc>
        <w:tc>
          <w:tcPr>
            <w:tcW w:w="1381" w:type="dxa"/>
          </w:tcPr>
          <w:p w14:paraId="5DAF915C" w14:textId="2C384F53" w:rsidR="009F52C6" w:rsidRPr="009F52C6" w:rsidRDefault="009F52C6" w:rsidP="009F52C6">
            <w:pPr>
              <w:tabs>
                <w:tab w:val="decimal" w:pos="990"/>
              </w:tabs>
            </w:pPr>
            <w:r>
              <w:t>5,520,230</w:t>
            </w:r>
          </w:p>
        </w:tc>
      </w:tr>
      <w:tr w:rsidR="009F52C6" w:rsidRPr="009F52C6" w14:paraId="223AAA4C" w14:textId="77777777" w:rsidTr="00F21826">
        <w:tc>
          <w:tcPr>
            <w:tcW w:w="3063" w:type="dxa"/>
          </w:tcPr>
          <w:p w14:paraId="41A1D7E4" w14:textId="787CBBA2" w:rsidR="009F52C6" w:rsidRPr="009F52C6" w:rsidRDefault="009F52C6" w:rsidP="009F52C6">
            <w:r w:rsidRPr="009F52C6">
              <w:t xml:space="preserve">Outstanding at </w:t>
            </w:r>
            <w:r>
              <w:t>March</w:t>
            </w:r>
            <w:r w:rsidRPr="009F52C6">
              <w:t xml:space="preserve"> 31, 202</w:t>
            </w:r>
            <w:r>
              <w:t>5</w:t>
            </w:r>
          </w:p>
        </w:tc>
        <w:tc>
          <w:tcPr>
            <w:tcW w:w="1432" w:type="dxa"/>
            <w:tcBorders>
              <w:top w:val="single" w:sz="4" w:space="0" w:color="auto"/>
              <w:bottom w:val="double" w:sz="4" w:space="0" w:color="auto"/>
            </w:tcBorders>
          </w:tcPr>
          <w:p w14:paraId="78E415C6" w14:textId="3CFD8C75" w:rsidR="009F52C6" w:rsidRPr="009F52C6" w:rsidRDefault="009F52C6" w:rsidP="009F52C6">
            <w:pPr>
              <w:tabs>
                <w:tab w:val="decimal" w:pos="1050"/>
              </w:tabs>
            </w:pPr>
            <w:r>
              <w:t>10,052,862</w:t>
            </w:r>
          </w:p>
        </w:tc>
        <w:tc>
          <w:tcPr>
            <w:tcW w:w="1290" w:type="dxa"/>
            <w:tcBorders>
              <w:top w:val="single" w:sz="4" w:space="0" w:color="auto"/>
              <w:bottom w:val="double" w:sz="4" w:space="0" w:color="auto"/>
            </w:tcBorders>
          </w:tcPr>
          <w:p w14:paraId="612445DD" w14:textId="7D70EB0C" w:rsidR="009F52C6" w:rsidRPr="009F52C6" w:rsidRDefault="009F52C6" w:rsidP="009F52C6">
            <w:pPr>
              <w:tabs>
                <w:tab w:val="right" w:pos="1045"/>
              </w:tabs>
              <w:ind w:right="28"/>
            </w:pPr>
            <w:r w:rsidRPr="009F52C6">
              <w:t>$</w:t>
            </w:r>
            <w:r w:rsidRPr="009F52C6">
              <w:tab/>
            </w:r>
            <w:r>
              <w:t>2.61</w:t>
            </w:r>
          </w:p>
        </w:tc>
        <w:tc>
          <w:tcPr>
            <w:tcW w:w="1150" w:type="dxa"/>
            <w:tcBorders>
              <w:top w:val="single" w:sz="4" w:space="0" w:color="auto"/>
              <w:bottom w:val="double" w:sz="4" w:space="0" w:color="auto"/>
            </w:tcBorders>
          </w:tcPr>
          <w:p w14:paraId="47990FB8" w14:textId="2FF88DF3" w:rsidR="009F52C6" w:rsidRPr="009F52C6" w:rsidRDefault="009F52C6" w:rsidP="009F52C6">
            <w:pPr>
              <w:tabs>
                <w:tab w:val="right" w:pos="877"/>
              </w:tabs>
            </w:pPr>
            <w:r w:rsidRPr="009F52C6">
              <w:tab/>
              <w:t>4</w:t>
            </w:r>
            <w:r>
              <w:t>.8</w:t>
            </w:r>
          </w:p>
        </w:tc>
        <w:tc>
          <w:tcPr>
            <w:tcW w:w="1269" w:type="dxa"/>
            <w:tcBorders>
              <w:top w:val="single" w:sz="4" w:space="0" w:color="auto"/>
              <w:bottom w:val="double" w:sz="4" w:space="0" w:color="auto"/>
            </w:tcBorders>
          </w:tcPr>
          <w:p w14:paraId="55FCD6EA" w14:textId="77777777" w:rsidR="009F52C6" w:rsidRPr="009F52C6" w:rsidRDefault="009F52C6" w:rsidP="009F52C6">
            <w:pPr>
              <w:tabs>
                <w:tab w:val="right" w:pos="1053"/>
              </w:tabs>
            </w:pPr>
            <w:r w:rsidRPr="009F52C6">
              <w:tab/>
              <w:t>-</w:t>
            </w:r>
          </w:p>
        </w:tc>
        <w:tc>
          <w:tcPr>
            <w:tcW w:w="341" w:type="dxa"/>
            <w:tcBorders>
              <w:top w:val="single" w:sz="4" w:space="0" w:color="auto"/>
              <w:bottom w:val="double" w:sz="4" w:space="0" w:color="auto"/>
            </w:tcBorders>
          </w:tcPr>
          <w:p w14:paraId="5FCDBD60" w14:textId="77777777" w:rsidR="009F52C6" w:rsidRPr="009F52C6" w:rsidRDefault="009F52C6" w:rsidP="009F52C6"/>
        </w:tc>
        <w:tc>
          <w:tcPr>
            <w:tcW w:w="1381" w:type="dxa"/>
            <w:tcBorders>
              <w:top w:val="single" w:sz="4" w:space="0" w:color="auto"/>
              <w:bottom w:val="double" w:sz="4" w:space="0" w:color="auto"/>
            </w:tcBorders>
          </w:tcPr>
          <w:p w14:paraId="72E6FB11" w14:textId="7E77B083" w:rsidR="009F52C6" w:rsidRPr="009F52C6" w:rsidRDefault="009F52C6" w:rsidP="009F52C6">
            <w:pPr>
              <w:tabs>
                <w:tab w:val="decimal" w:pos="978"/>
              </w:tabs>
            </w:pPr>
            <w:r>
              <w:t>12,137,977</w:t>
            </w:r>
          </w:p>
        </w:tc>
      </w:tr>
    </w:tbl>
    <w:p w14:paraId="2CD1B4BF" w14:textId="77777777" w:rsidR="009F52C6" w:rsidRDefault="009F52C6" w:rsidP="000A55AE">
      <w:pPr>
        <w:rPr>
          <w:color w:val="000000"/>
        </w:rPr>
      </w:pPr>
    </w:p>
    <w:p w14:paraId="2E1A1E66" w14:textId="4950D85D" w:rsidR="00D807EA" w:rsidRDefault="00D807EA" w:rsidP="00D807EA">
      <w:pPr>
        <w:rPr>
          <w:color w:val="000000"/>
        </w:rPr>
      </w:pPr>
      <w:r w:rsidRPr="00D807EA">
        <w:rPr>
          <w:color w:val="000000"/>
        </w:rPr>
        <w:t>The table below summarizes</w:t>
      </w:r>
      <w:r w:rsidR="009F52C6">
        <w:rPr>
          <w:color w:val="000000"/>
        </w:rPr>
        <w:t xml:space="preserve"> additional</w:t>
      </w:r>
      <w:r w:rsidRPr="00D807EA">
        <w:rPr>
          <w:color w:val="000000"/>
        </w:rPr>
        <w:t xml:space="preserve"> information concerning warrants outstanding as of </w:t>
      </w:r>
      <w:r>
        <w:rPr>
          <w:color w:val="000000"/>
        </w:rPr>
        <w:t>March</w:t>
      </w:r>
      <w:r w:rsidRPr="00D807EA">
        <w:rPr>
          <w:color w:val="000000"/>
        </w:rPr>
        <w:t xml:space="preserve"> 31, 202</w:t>
      </w:r>
      <w:r>
        <w:rPr>
          <w:color w:val="000000"/>
        </w:rPr>
        <w:t>5</w:t>
      </w:r>
      <w:r w:rsidRPr="00D807EA">
        <w:rPr>
          <w:color w:val="000000"/>
        </w:rPr>
        <w:t>.</w:t>
      </w:r>
    </w:p>
    <w:p w14:paraId="60FC2460" w14:textId="77777777" w:rsidR="007B404A" w:rsidRPr="00D807EA" w:rsidRDefault="007B404A" w:rsidP="00D807EA">
      <w:pPr>
        <w:rPr>
          <w:color w:val="000000"/>
        </w:rPr>
      </w:pPr>
    </w:p>
    <w:tbl>
      <w:tblPr>
        <w:tblW w:w="0" w:type="auto"/>
        <w:tblLook w:val="04A0" w:firstRow="1" w:lastRow="0" w:firstColumn="1" w:lastColumn="0" w:noHBand="0" w:noVBand="1"/>
      </w:tblPr>
      <w:tblGrid>
        <w:gridCol w:w="4950"/>
        <w:gridCol w:w="1260"/>
        <w:gridCol w:w="1253"/>
        <w:gridCol w:w="2139"/>
      </w:tblGrid>
      <w:tr w:rsidR="00D807EA" w:rsidRPr="00D807EA" w14:paraId="0BF4DCBA" w14:textId="77777777" w:rsidTr="00471707">
        <w:tc>
          <w:tcPr>
            <w:tcW w:w="4950" w:type="dxa"/>
            <w:tcBorders>
              <w:bottom w:val="single" w:sz="4" w:space="0" w:color="auto"/>
            </w:tcBorders>
          </w:tcPr>
          <w:p w14:paraId="3B0CF51D" w14:textId="77777777" w:rsidR="00D807EA" w:rsidRPr="00D807EA" w:rsidRDefault="00D807EA" w:rsidP="00D807EA">
            <w:pPr>
              <w:rPr>
                <w:color w:val="000000"/>
              </w:rPr>
            </w:pPr>
          </w:p>
          <w:p w14:paraId="7B242D01" w14:textId="77777777" w:rsidR="00D807EA" w:rsidRPr="00D807EA" w:rsidRDefault="00D807EA" w:rsidP="00D807EA">
            <w:pPr>
              <w:rPr>
                <w:color w:val="000000"/>
              </w:rPr>
            </w:pPr>
            <w:r w:rsidRPr="00D807EA">
              <w:rPr>
                <w:color w:val="000000"/>
              </w:rPr>
              <w:t>Issue Date</w:t>
            </w:r>
          </w:p>
        </w:tc>
        <w:tc>
          <w:tcPr>
            <w:tcW w:w="1260" w:type="dxa"/>
            <w:tcBorders>
              <w:bottom w:val="single" w:sz="4" w:space="0" w:color="auto"/>
            </w:tcBorders>
          </w:tcPr>
          <w:p w14:paraId="35DF668A" w14:textId="77777777" w:rsidR="00D807EA" w:rsidRPr="00D807EA" w:rsidRDefault="00D807EA" w:rsidP="00D807EA">
            <w:pPr>
              <w:jc w:val="center"/>
              <w:rPr>
                <w:color w:val="000000"/>
              </w:rPr>
            </w:pPr>
            <w:r w:rsidRPr="00D807EA">
              <w:rPr>
                <w:color w:val="000000"/>
              </w:rPr>
              <w:t>Number</w:t>
            </w:r>
          </w:p>
          <w:p w14:paraId="566D9A9E" w14:textId="77777777" w:rsidR="00D807EA" w:rsidRPr="00D807EA" w:rsidRDefault="00D807EA" w:rsidP="00D807EA">
            <w:pPr>
              <w:jc w:val="center"/>
              <w:rPr>
                <w:color w:val="000000"/>
              </w:rPr>
            </w:pPr>
            <w:r w:rsidRPr="00D807EA">
              <w:rPr>
                <w:color w:val="000000"/>
              </w:rPr>
              <w:t>of Shares</w:t>
            </w:r>
          </w:p>
        </w:tc>
        <w:tc>
          <w:tcPr>
            <w:tcW w:w="1253" w:type="dxa"/>
            <w:tcBorders>
              <w:bottom w:val="single" w:sz="4" w:space="0" w:color="auto"/>
            </w:tcBorders>
          </w:tcPr>
          <w:p w14:paraId="45D17B1C" w14:textId="77777777" w:rsidR="00D807EA" w:rsidRPr="00D807EA" w:rsidRDefault="00D807EA" w:rsidP="00D807EA">
            <w:pPr>
              <w:jc w:val="center"/>
              <w:rPr>
                <w:color w:val="000000"/>
              </w:rPr>
            </w:pPr>
            <w:r w:rsidRPr="00D807EA">
              <w:rPr>
                <w:color w:val="000000"/>
              </w:rPr>
              <w:t>Exercise</w:t>
            </w:r>
          </w:p>
          <w:p w14:paraId="106CC79A" w14:textId="77777777" w:rsidR="00D807EA" w:rsidRPr="00D807EA" w:rsidRDefault="00D807EA" w:rsidP="00D807EA">
            <w:pPr>
              <w:jc w:val="center"/>
              <w:rPr>
                <w:color w:val="000000"/>
              </w:rPr>
            </w:pPr>
            <w:r w:rsidRPr="00D807EA">
              <w:rPr>
                <w:color w:val="000000"/>
              </w:rPr>
              <w:t>Price</w:t>
            </w:r>
          </w:p>
        </w:tc>
        <w:tc>
          <w:tcPr>
            <w:tcW w:w="2139" w:type="dxa"/>
            <w:tcBorders>
              <w:bottom w:val="single" w:sz="4" w:space="0" w:color="auto"/>
            </w:tcBorders>
          </w:tcPr>
          <w:p w14:paraId="38321E09" w14:textId="77777777" w:rsidR="00D807EA" w:rsidRPr="00D807EA" w:rsidRDefault="00D807EA" w:rsidP="00D807EA">
            <w:pPr>
              <w:jc w:val="center"/>
              <w:rPr>
                <w:color w:val="000000"/>
              </w:rPr>
            </w:pPr>
          </w:p>
          <w:p w14:paraId="75B716DC" w14:textId="77777777" w:rsidR="00D807EA" w:rsidRPr="00D807EA" w:rsidRDefault="00D807EA" w:rsidP="00D807EA">
            <w:pPr>
              <w:jc w:val="center"/>
              <w:rPr>
                <w:color w:val="000000"/>
              </w:rPr>
            </w:pPr>
            <w:r w:rsidRPr="00D807EA">
              <w:rPr>
                <w:color w:val="000000"/>
              </w:rPr>
              <w:t>Expiration</w:t>
            </w:r>
          </w:p>
        </w:tc>
      </w:tr>
      <w:tr w:rsidR="00D807EA" w:rsidRPr="00D807EA" w14:paraId="5E38B758" w14:textId="77777777" w:rsidTr="00471707">
        <w:tc>
          <w:tcPr>
            <w:tcW w:w="4950" w:type="dxa"/>
          </w:tcPr>
          <w:p w14:paraId="4BC48723" w14:textId="77777777" w:rsidR="00D807EA" w:rsidRPr="00D807EA" w:rsidRDefault="00D807EA" w:rsidP="00D807EA">
            <w:pPr>
              <w:rPr>
                <w:color w:val="000000"/>
              </w:rPr>
            </w:pPr>
            <w:r w:rsidRPr="00D807EA">
              <w:rPr>
                <w:color w:val="000000"/>
              </w:rPr>
              <w:t xml:space="preserve">September 2020 </w:t>
            </w:r>
          </w:p>
        </w:tc>
        <w:tc>
          <w:tcPr>
            <w:tcW w:w="1260" w:type="dxa"/>
          </w:tcPr>
          <w:p w14:paraId="4D813310" w14:textId="77777777" w:rsidR="00D807EA" w:rsidRPr="00D807EA" w:rsidRDefault="00D807EA" w:rsidP="00D807EA">
            <w:pPr>
              <w:tabs>
                <w:tab w:val="decimal" w:pos="971"/>
              </w:tabs>
              <w:rPr>
                <w:color w:val="000000"/>
              </w:rPr>
            </w:pPr>
            <w:r w:rsidRPr="00D807EA">
              <w:rPr>
                <w:color w:val="000000"/>
              </w:rPr>
              <w:t>159,781</w:t>
            </w:r>
          </w:p>
        </w:tc>
        <w:tc>
          <w:tcPr>
            <w:tcW w:w="1253" w:type="dxa"/>
          </w:tcPr>
          <w:p w14:paraId="7090D57C" w14:textId="77777777" w:rsidR="00D807EA" w:rsidRPr="00D807EA" w:rsidRDefault="00D807EA" w:rsidP="00D807EA">
            <w:pPr>
              <w:tabs>
                <w:tab w:val="decimal" w:pos="426"/>
              </w:tabs>
              <w:rPr>
                <w:color w:val="000000"/>
              </w:rPr>
            </w:pPr>
            <w:r w:rsidRPr="00D807EA">
              <w:rPr>
                <w:color w:val="000000"/>
              </w:rPr>
              <w:t>$  75.00</w:t>
            </w:r>
          </w:p>
        </w:tc>
        <w:tc>
          <w:tcPr>
            <w:tcW w:w="2139" w:type="dxa"/>
          </w:tcPr>
          <w:p w14:paraId="7F5AECBB" w14:textId="77777777" w:rsidR="00D807EA" w:rsidRPr="00D807EA" w:rsidRDefault="00D807EA" w:rsidP="007B404A">
            <w:pPr>
              <w:ind w:left="254"/>
              <w:rPr>
                <w:color w:val="000000"/>
              </w:rPr>
            </w:pPr>
            <w:r w:rsidRPr="00D807EA">
              <w:rPr>
                <w:color w:val="000000"/>
              </w:rPr>
              <w:t>September 2025</w:t>
            </w:r>
          </w:p>
        </w:tc>
      </w:tr>
      <w:tr w:rsidR="00D807EA" w:rsidRPr="00D807EA" w14:paraId="6A5E983F" w14:textId="77777777" w:rsidTr="00471707">
        <w:tc>
          <w:tcPr>
            <w:tcW w:w="4950" w:type="dxa"/>
          </w:tcPr>
          <w:p w14:paraId="40DE9D16" w14:textId="77777777" w:rsidR="00D807EA" w:rsidRPr="00D807EA" w:rsidRDefault="00D807EA" w:rsidP="00D807EA">
            <w:pPr>
              <w:rPr>
                <w:color w:val="000000"/>
              </w:rPr>
            </w:pPr>
            <w:r w:rsidRPr="00D807EA">
              <w:rPr>
                <w:color w:val="000000"/>
              </w:rPr>
              <w:t xml:space="preserve">September 2021 </w:t>
            </w:r>
          </w:p>
        </w:tc>
        <w:tc>
          <w:tcPr>
            <w:tcW w:w="1260" w:type="dxa"/>
          </w:tcPr>
          <w:p w14:paraId="373D20F8" w14:textId="77777777" w:rsidR="00D807EA" w:rsidRPr="00D807EA" w:rsidRDefault="00D807EA" w:rsidP="00D807EA">
            <w:pPr>
              <w:tabs>
                <w:tab w:val="decimal" w:pos="971"/>
              </w:tabs>
              <w:rPr>
                <w:color w:val="000000"/>
              </w:rPr>
            </w:pPr>
            <w:r w:rsidRPr="00D807EA">
              <w:rPr>
                <w:color w:val="000000"/>
              </w:rPr>
              <w:t>6,668</w:t>
            </w:r>
          </w:p>
        </w:tc>
        <w:tc>
          <w:tcPr>
            <w:tcW w:w="1253" w:type="dxa"/>
          </w:tcPr>
          <w:p w14:paraId="3F26AAFA" w14:textId="77777777" w:rsidR="00D807EA" w:rsidRPr="00D807EA" w:rsidRDefault="00D807EA" w:rsidP="00D807EA">
            <w:pPr>
              <w:tabs>
                <w:tab w:val="decimal" w:pos="426"/>
              </w:tabs>
              <w:rPr>
                <w:color w:val="000000"/>
              </w:rPr>
            </w:pPr>
            <w:r w:rsidRPr="00D807EA">
              <w:rPr>
                <w:color w:val="000000"/>
              </w:rPr>
              <w:t>195.00</w:t>
            </w:r>
          </w:p>
        </w:tc>
        <w:tc>
          <w:tcPr>
            <w:tcW w:w="2139" w:type="dxa"/>
          </w:tcPr>
          <w:p w14:paraId="497A0D57" w14:textId="77777777" w:rsidR="00D807EA" w:rsidRPr="00D807EA" w:rsidRDefault="00D807EA" w:rsidP="007B404A">
            <w:pPr>
              <w:ind w:left="254"/>
              <w:rPr>
                <w:color w:val="000000"/>
              </w:rPr>
            </w:pPr>
            <w:r w:rsidRPr="00D807EA">
              <w:rPr>
                <w:color w:val="000000"/>
              </w:rPr>
              <w:t>September 2026</w:t>
            </w:r>
          </w:p>
        </w:tc>
      </w:tr>
      <w:tr w:rsidR="00D807EA" w:rsidRPr="00D807EA" w14:paraId="42F3DFC8" w14:textId="77777777" w:rsidTr="00471707">
        <w:tc>
          <w:tcPr>
            <w:tcW w:w="4950" w:type="dxa"/>
          </w:tcPr>
          <w:p w14:paraId="4A039A54" w14:textId="77777777" w:rsidR="00D807EA" w:rsidRPr="00D807EA" w:rsidRDefault="00D807EA" w:rsidP="00D807EA">
            <w:pPr>
              <w:rPr>
                <w:color w:val="000000"/>
              </w:rPr>
            </w:pPr>
            <w:bookmarkStart w:id="19" w:name="_Hlk125702294"/>
            <w:r w:rsidRPr="00D807EA">
              <w:rPr>
                <w:color w:val="000000"/>
              </w:rPr>
              <w:t xml:space="preserve">May 2024 </w:t>
            </w:r>
            <w:bookmarkEnd w:id="19"/>
          </w:p>
        </w:tc>
        <w:tc>
          <w:tcPr>
            <w:tcW w:w="1260" w:type="dxa"/>
          </w:tcPr>
          <w:p w14:paraId="07446282" w14:textId="77777777" w:rsidR="00D807EA" w:rsidRPr="00D807EA" w:rsidRDefault="00D807EA" w:rsidP="00D807EA">
            <w:pPr>
              <w:tabs>
                <w:tab w:val="decimal" w:pos="971"/>
              </w:tabs>
              <w:rPr>
                <w:color w:val="000000"/>
              </w:rPr>
            </w:pPr>
            <w:r w:rsidRPr="00D807EA">
              <w:rPr>
                <w:color w:val="000000"/>
              </w:rPr>
              <w:t>1,605,688</w:t>
            </w:r>
          </w:p>
        </w:tc>
        <w:tc>
          <w:tcPr>
            <w:tcW w:w="1253" w:type="dxa"/>
          </w:tcPr>
          <w:p w14:paraId="6583CE78" w14:textId="706D8393" w:rsidR="00D807EA" w:rsidRPr="00D807EA" w:rsidRDefault="00D807EA" w:rsidP="00D807EA">
            <w:pPr>
              <w:tabs>
                <w:tab w:val="decimal" w:pos="426"/>
              </w:tabs>
              <w:rPr>
                <w:color w:val="000000"/>
              </w:rPr>
            </w:pPr>
            <w:r w:rsidRPr="00D807EA">
              <w:rPr>
                <w:color w:val="000000"/>
              </w:rPr>
              <w:t>1.</w:t>
            </w:r>
            <w:r>
              <w:rPr>
                <w:color w:val="000000"/>
              </w:rPr>
              <w:t>31</w:t>
            </w:r>
          </w:p>
        </w:tc>
        <w:tc>
          <w:tcPr>
            <w:tcW w:w="2139" w:type="dxa"/>
          </w:tcPr>
          <w:p w14:paraId="0C94C91C" w14:textId="77777777" w:rsidR="00D807EA" w:rsidRPr="00D807EA" w:rsidRDefault="00D807EA" w:rsidP="007B404A">
            <w:pPr>
              <w:ind w:left="254"/>
              <w:rPr>
                <w:color w:val="000000"/>
              </w:rPr>
            </w:pPr>
            <w:r w:rsidRPr="00D807EA">
              <w:rPr>
                <w:color w:val="000000"/>
              </w:rPr>
              <w:t>May 2029</w:t>
            </w:r>
          </w:p>
        </w:tc>
      </w:tr>
      <w:tr w:rsidR="00D807EA" w:rsidRPr="00D807EA" w14:paraId="1A663341" w14:textId="77777777" w:rsidTr="00D807EA">
        <w:tc>
          <w:tcPr>
            <w:tcW w:w="4950" w:type="dxa"/>
          </w:tcPr>
          <w:p w14:paraId="20DCE6BB" w14:textId="77777777" w:rsidR="00D807EA" w:rsidRPr="00D807EA" w:rsidRDefault="00D807EA" w:rsidP="00D807EA">
            <w:pPr>
              <w:rPr>
                <w:color w:val="000000"/>
              </w:rPr>
            </w:pPr>
            <w:r w:rsidRPr="00D807EA">
              <w:rPr>
                <w:color w:val="000000"/>
              </w:rPr>
              <w:t>July 2024</w:t>
            </w:r>
          </w:p>
        </w:tc>
        <w:tc>
          <w:tcPr>
            <w:tcW w:w="1260" w:type="dxa"/>
          </w:tcPr>
          <w:p w14:paraId="558C5D10" w14:textId="77777777" w:rsidR="00D807EA" w:rsidRPr="00D807EA" w:rsidRDefault="00D807EA" w:rsidP="00D807EA">
            <w:pPr>
              <w:tabs>
                <w:tab w:val="decimal" w:pos="971"/>
              </w:tabs>
              <w:rPr>
                <w:color w:val="000000"/>
              </w:rPr>
            </w:pPr>
            <w:r w:rsidRPr="00D807EA">
              <w:rPr>
                <w:color w:val="000000"/>
              </w:rPr>
              <w:t>2,170,000</w:t>
            </w:r>
          </w:p>
        </w:tc>
        <w:tc>
          <w:tcPr>
            <w:tcW w:w="1253" w:type="dxa"/>
          </w:tcPr>
          <w:p w14:paraId="04DB1372" w14:textId="44BC5547" w:rsidR="00D807EA" w:rsidRPr="00D807EA" w:rsidRDefault="00D807EA" w:rsidP="00D807EA">
            <w:pPr>
              <w:tabs>
                <w:tab w:val="decimal" w:pos="426"/>
              </w:tabs>
              <w:rPr>
                <w:color w:val="000000"/>
              </w:rPr>
            </w:pPr>
            <w:r>
              <w:rPr>
                <w:color w:val="000000"/>
              </w:rPr>
              <w:t>1.31</w:t>
            </w:r>
          </w:p>
        </w:tc>
        <w:tc>
          <w:tcPr>
            <w:tcW w:w="2139" w:type="dxa"/>
          </w:tcPr>
          <w:p w14:paraId="6385ADB7" w14:textId="77777777" w:rsidR="00D807EA" w:rsidRPr="00D807EA" w:rsidRDefault="00D807EA" w:rsidP="007B404A">
            <w:pPr>
              <w:ind w:left="254"/>
              <w:rPr>
                <w:color w:val="000000"/>
              </w:rPr>
            </w:pPr>
            <w:r w:rsidRPr="00D807EA">
              <w:rPr>
                <w:color w:val="000000"/>
              </w:rPr>
              <w:t>January 2030</w:t>
            </w:r>
          </w:p>
        </w:tc>
      </w:tr>
      <w:tr w:rsidR="00D807EA" w:rsidRPr="00D807EA" w14:paraId="22E4C809" w14:textId="77777777" w:rsidTr="00D807EA">
        <w:tc>
          <w:tcPr>
            <w:tcW w:w="4950" w:type="dxa"/>
          </w:tcPr>
          <w:p w14:paraId="5DC8FC0F" w14:textId="77777777" w:rsidR="00D807EA" w:rsidRPr="00D807EA" w:rsidRDefault="00D807EA" w:rsidP="00D807EA">
            <w:pPr>
              <w:rPr>
                <w:color w:val="000000"/>
              </w:rPr>
            </w:pPr>
            <w:r w:rsidRPr="00D807EA">
              <w:rPr>
                <w:color w:val="000000"/>
              </w:rPr>
              <w:t xml:space="preserve">August 2024 </w:t>
            </w:r>
          </w:p>
        </w:tc>
        <w:tc>
          <w:tcPr>
            <w:tcW w:w="1260" w:type="dxa"/>
          </w:tcPr>
          <w:p w14:paraId="027AB52D" w14:textId="77777777" w:rsidR="00D807EA" w:rsidRPr="00D807EA" w:rsidRDefault="00D807EA" w:rsidP="00D807EA">
            <w:pPr>
              <w:tabs>
                <w:tab w:val="decimal" w:pos="971"/>
              </w:tabs>
              <w:rPr>
                <w:color w:val="000000"/>
              </w:rPr>
            </w:pPr>
            <w:r w:rsidRPr="00D807EA">
              <w:rPr>
                <w:color w:val="000000"/>
              </w:rPr>
              <w:t>2,675,610</w:t>
            </w:r>
          </w:p>
        </w:tc>
        <w:tc>
          <w:tcPr>
            <w:tcW w:w="1253" w:type="dxa"/>
          </w:tcPr>
          <w:p w14:paraId="38853E23" w14:textId="7BF14DFE" w:rsidR="00D807EA" w:rsidRPr="00D807EA" w:rsidRDefault="00D807EA" w:rsidP="00D807EA">
            <w:pPr>
              <w:tabs>
                <w:tab w:val="decimal" w:pos="426"/>
              </w:tabs>
              <w:rPr>
                <w:color w:val="000000"/>
              </w:rPr>
            </w:pPr>
            <w:r>
              <w:rPr>
                <w:color w:val="000000"/>
              </w:rPr>
              <w:t>1.31</w:t>
            </w:r>
          </w:p>
        </w:tc>
        <w:tc>
          <w:tcPr>
            <w:tcW w:w="2139" w:type="dxa"/>
          </w:tcPr>
          <w:p w14:paraId="6AADA6CC" w14:textId="7753E18E" w:rsidR="00D807EA" w:rsidRPr="00D807EA" w:rsidRDefault="00D807EA" w:rsidP="007B404A">
            <w:pPr>
              <w:ind w:left="254"/>
              <w:rPr>
                <w:color w:val="000000"/>
              </w:rPr>
            </w:pPr>
            <w:r>
              <w:rPr>
                <w:color w:val="000000"/>
              </w:rPr>
              <w:t>March</w:t>
            </w:r>
            <w:r w:rsidRPr="00D807EA">
              <w:rPr>
                <w:color w:val="000000"/>
              </w:rPr>
              <w:t xml:space="preserve"> 20</w:t>
            </w:r>
            <w:r>
              <w:rPr>
                <w:color w:val="000000"/>
              </w:rPr>
              <w:t>30</w:t>
            </w:r>
          </w:p>
        </w:tc>
      </w:tr>
      <w:tr w:rsidR="00D807EA" w:rsidRPr="00D807EA" w14:paraId="53AE1D84" w14:textId="77777777" w:rsidTr="00D807EA">
        <w:tc>
          <w:tcPr>
            <w:tcW w:w="4950" w:type="dxa"/>
          </w:tcPr>
          <w:p w14:paraId="5790E654" w14:textId="732E8CB9" w:rsidR="00D807EA" w:rsidRPr="00D807EA" w:rsidRDefault="00D807EA" w:rsidP="00D807EA">
            <w:pPr>
              <w:rPr>
                <w:color w:val="000000"/>
              </w:rPr>
            </w:pPr>
            <w:r>
              <w:rPr>
                <w:color w:val="000000"/>
              </w:rPr>
              <w:t>March 2025</w:t>
            </w:r>
          </w:p>
        </w:tc>
        <w:tc>
          <w:tcPr>
            <w:tcW w:w="1260" w:type="dxa"/>
          </w:tcPr>
          <w:p w14:paraId="6CE10B04" w14:textId="7BF2EDFB" w:rsidR="00D807EA" w:rsidRPr="00D807EA" w:rsidRDefault="00D807EA" w:rsidP="00D807EA">
            <w:pPr>
              <w:tabs>
                <w:tab w:val="decimal" w:pos="971"/>
              </w:tabs>
              <w:rPr>
                <w:color w:val="000000"/>
              </w:rPr>
            </w:pPr>
            <w:r>
              <w:rPr>
                <w:color w:val="000000"/>
              </w:rPr>
              <w:t>2,085,115</w:t>
            </w:r>
          </w:p>
        </w:tc>
        <w:tc>
          <w:tcPr>
            <w:tcW w:w="1253" w:type="dxa"/>
          </w:tcPr>
          <w:p w14:paraId="107084E1" w14:textId="6B889333" w:rsidR="00D807EA" w:rsidRPr="00D807EA" w:rsidRDefault="00D807EA" w:rsidP="00D807EA">
            <w:pPr>
              <w:tabs>
                <w:tab w:val="decimal" w:pos="426"/>
              </w:tabs>
              <w:rPr>
                <w:color w:val="000000"/>
              </w:rPr>
            </w:pPr>
            <w:r>
              <w:rPr>
                <w:color w:val="000000"/>
              </w:rPr>
              <w:t>0.</w:t>
            </w:r>
            <w:r w:rsidR="003118CA">
              <w:rPr>
                <w:color w:val="000000"/>
              </w:rPr>
              <w:t>0</w:t>
            </w:r>
            <w:r>
              <w:rPr>
                <w:color w:val="000000"/>
              </w:rPr>
              <w:t>001</w:t>
            </w:r>
          </w:p>
        </w:tc>
        <w:tc>
          <w:tcPr>
            <w:tcW w:w="2139" w:type="dxa"/>
          </w:tcPr>
          <w:p w14:paraId="47A658EB" w14:textId="68701A44" w:rsidR="00D807EA" w:rsidRPr="00D807EA" w:rsidRDefault="007B404A" w:rsidP="007B404A">
            <w:pPr>
              <w:ind w:left="254"/>
              <w:rPr>
                <w:color w:val="000000"/>
              </w:rPr>
            </w:pPr>
            <w:r>
              <w:rPr>
                <w:color w:val="000000"/>
              </w:rPr>
              <w:t>n/a</w:t>
            </w:r>
          </w:p>
        </w:tc>
      </w:tr>
      <w:tr w:rsidR="00D807EA" w:rsidRPr="00D807EA" w14:paraId="11DB2050" w14:textId="77777777" w:rsidTr="00D807EA">
        <w:tc>
          <w:tcPr>
            <w:tcW w:w="4950" w:type="dxa"/>
          </w:tcPr>
          <w:p w14:paraId="0E6D2939" w14:textId="31E4D138" w:rsidR="00D807EA" w:rsidRPr="00D807EA" w:rsidRDefault="00D807EA" w:rsidP="00D807EA">
            <w:pPr>
              <w:rPr>
                <w:color w:val="000000"/>
              </w:rPr>
            </w:pPr>
            <w:r>
              <w:rPr>
                <w:color w:val="000000"/>
              </w:rPr>
              <w:t>March 2025</w:t>
            </w:r>
          </w:p>
        </w:tc>
        <w:tc>
          <w:tcPr>
            <w:tcW w:w="1260" w:type="dxa"/>
            <w:tcBorders>
              <w:bottom w:val="single" w:sz="4" w:space="0" w:color="auto"/>
            </w:tcBorders>
          </w:tcPr>
          <w:p w14:paraId="0CD32DD3" w14:textId="4EED5A98" w:rsidR="00D807EA" w:rsidRPr="00D807EA" w:rsidRDefault="00D807EA" w:rsidP="00D807EA">
            <w:pPr>
              <w:tabs>
                <w:tab w:val="decimal" w:pos="971"/>
              </w:tabs>
              <w:rPr>
                <w:color w:val="000000"/>
              </w:rPr>
            </w:pPr>
            <w:r>
              <w:rPr>
                <w:color w:val="000000"/>
              </w:rPr>
              <w:t>3,435,115</w:t>
            </w:r>
          </w:p>
        </w:tc>
        <w:tc>
          <w:tcPr>
            <w:tcW w:w="1253" w:type="dxa"/>
          </w:tcPr>
          <w:p w14:paraId="1C91C162" w14:textId="47B94159" w:rsidR="00D807EA" w:rsidRPr="00D807EA" w:rsidRDefault="00D807EA" w:rsidP="00D807EA">
            <w:pPr>
              <w:tabs>
                <w:tab w:val="decimal" w:pos="426"/>
              </w:tabs>
              <w:rPr>
                <w:color w:val="000000"/>
              </w:rPr>
            </w:pPr>
            <w:r>
              <w:rPr>
                <w:color w:val="000000"/>
              </w:rPr>
              <w:t>1.31</w:t>
            </w:r>
          </w:p>
        </w:tc>
        <w:tc>
          <w:tcPr>
            <w:tcW w:w="2139" w:type="dxa"/>
          </w:tcPr>
          <w:p w14:paraId="1EB49C41" w14:textId="2B3E8317" w:rsidR="00D807EA" w:rsidRPr="00D807EA" w:rsidRDefault="00D807EA" w:rsidP="007B404A">
            <w:pPr>
              <w:ind w:left="254"/>
              <w:rPr>
                <w:color w:val="000000"/>
              </w:rPr>
            </w:pPr>
            <w:r>
              <w:rPr>
                <w:color w:val="000000"/>
              </w:rPr>
              <w:t>June 2030</w:t>
            </w:r>
          </w:p>
        </w:tc>
      </w:tr>
      <w:tr w:rsidR="00D807EA" w:rsidRPr="00D807EA" w14:paraId="64EDB161" w14:textId="77777777" w:rsidTr="00471707">
        <w:tc>
          <w:tcPr>
            <w:tcW w:w="4950" w:type="dxa"/>
          </w:tcPr>
          <w:p w14:paraId="3DDAD8A3" w14:textId="7D64BC58" w:rsidR="00D807EA" w:rsidRPr="00D807EA" w:rsidRDefault="00D807EA" w:rsidP="00D807EA">
            <w:pPr>
              <w:rPr>
                <w:color w:val="000000"/>
              </w:rPr>
            </w:pPr>
            <w:r w:rsidRPr="00D807EA">
              <w:rPr>
                <w:color w:val="000000"/>
              </w:rPr>
              <w:t xml:space="preserve">Outstanding at </w:t>
            </w:r>
            <w:r>
              <w:rPr>
                <w:color w:val="000000"/>
              </w:rPr>
              <w:t>March</w:t>
            </w:r>
            <w:r w:rsidRPr="00D807EA">
              <w:rPr>
                <w:color w:val="000000"/>
              </w:rPr>
              <w:t xml:space="preserve"> 31, 202</w:t>
            </w:r>
            <w:r>
              <w:rPr>
                <w:color w:val="000000"/>
              </w:rPr>
              <w:t>5</w:t>
            </w:r>
          </w:p>
        </w:tc>
        <w:tc>
          <w:tcPr>
            <w:tcW w:w="1260" w:type="dxa"/>
            <w:tcBorders>
              <w:top w:val="single" w:sz="4" w:space="0" w:color="auto"/>
              <w:bottom w:val="double" w:sz="4" w:space="0" w:color="auto"/>
            </w:tcBorders>
          </w:tcPr>
          <w:p w14:paraId="0FB5B71D" w14:textId="49E81320" w:rsidR="00D807EA" w:rsidRPr="00D807EA" w:rsidRDefault="00D807EA" w:rsidP="00D807EA">
            <w:pPr>
              <w:tabs>
                <w:tab w:val="decimal" w:pos="971"/>
              </w:tabs>
              <w:rPr>
                <w:color w:val="000000"/>
              </w:rPr>
            </w:pPr>
            <w:r>
              <w:rPr>
                <w:color w:val="000000"/>
              </w:rPr>
              <w:t>12,137,977</w:t>
            </w:r>
          </w:p>
        </w:tc>
        <w:tc>
          <w:tcPr>
            <w:tcW w:w="1253" w:type="dxa"/>
          </w:tcPr>
          <w:p w14:paraId="493E9B77" w14:textId="77777777" w:rsidR="00D807EA" w:rsidRPr="00D807EA" w:rsidRDefault="00D807EA" w:rsidP="00D807EA">
            <w:pPr>
              <w:rPr>
                <w:color w:val="000000"/>
              </w:rPr>
            </w:pPr>
          </w:p>
        </w:tc>
        <w:tc>
          <w:tcPr>
            <w:tcW w:w="2139" w:type="dxa"/>
          </w:tcPr>
          <w:p w14:paraId="01DF0C76" w14:textId="77777777" w:rsidR="00D807EA" w:rsidRPr="00D807EA" w:rsidRDefault="00D807EA" w:rsidP="00D807EA">
            <w:pPr>
              <w:rPr>
                <w:color w:val="000000"/>
              </w:rPr>
            </w:pPr>
          </w:p>
        </w:tc>
      </w:tr>
    </w:tbl>
    <w:p w14:paraId="7D8ED8C4" w14:textId="77777777" w:rsidR="00D807EA" w:rsidRDefault="00D807EA" w:rsidP="000A55AE">
      <w:pPr>
        <w:rPr>
          <w:color w:val="000000"/>
        </w:rPr>
      </w:pPr>
    </w:p>
    <w:p w14:paraId="78E20A9F" w14:textId="45F60F55" w:rsidR="005B58B3" w:rsidRPr="00F53171" w:rsidRDefault="00AE2834" w:rsidP="005B58B3">
      <w:pPr>
        <w:pStyle w:val="BodyTitle"/>
        <w:spacing w:after="0"/>
        <w:rPr>
          <w:rFonts w:eastAsia="Times New Roman"/>
          <w:b/>
          <w:bCs/>
          <w:iCs/>
          <w:color w:val="000000"/>
          <w:u w:val="none"/>
        </w:rPr>
      </w:pPr>
      <w:r>
        <w:rPr>
          <w:rFonts w:eastAsia="Times New Roman"/>
          <w:b/>
          <w:bCs/>
          <w:iCs/>
          <w:color w:val="000000"/>
          <w:u w:val="none"/>
        </w:rPr>
        <w:lastRenderedPageBreak/>
        <w:t>6</w:t>
      </w:r>
      <w:r w:rsidR="00F53171">
        <w:rPr>
          <w:rFonts w:eastAsia="Times New Roman"/>
          <w:b/>
          <w:bCs/>
          <w:iCs/>
          <w:color w:val="000000"/>
          <w:u w:val="none"/>
        </w:rPr>
        <w:t>.</w:t>
      </w:r>
      <w:r w:rsidR="00F53171">
        <w:rPr>
          <w:rFonts w:eastAsia="Times New Roman"/>
          <w:b/>
          <w:bCs/>
          <w:iCs/>
          <w:color w:val="000000"/>
          <w:u w:val="none"/>
        </w:rPr>
        <w:tab/>
      </w:r>
      <w:r w:rsidR="005B58B3" w:rsidRPr="00F53171">
        <w:rPr>
          <w:rFonts w:eastAsia="Times New Roman"/>
          <w:b/>
          <w:bCs/>
          <w:iCs/>
          <w:color w:val="000000"/>
          <w:u w:val="none"/>
        </w:rPr>
        <w:t>Stock-Based Compensation Expense</w:t>
      </w:r>
    </w:p>
    <w:p w14:paraId="12BE80FB" w14:textId="2973B6FC" w:rsidR="005B58B3" w:rsidRDefault="005B58B3" w:rsidP="005B58B3"/>
    <w:p w14:paraId="7394AF9E" w14:textId="68249C9D" w:rsidR="00CF24AC" w:rsidRPr="00CF24AC" w:rsidRDefault="008C1886" w:rsidP="00CF24AC">
      <w:r w:rsidRPr="00B26306">
        <w:rPr>
          <w:color w:val="000000"/>
        </w:rPr>
        <w:t xml:space="preserve">Stock-based compensation expense related to stock options is recognized on a straight-line basis over the requisite service period for the award and is allocated to research and development expense or general and administrative expense based upon the classification of the individual to whom the award is granted. </w:t>
      </w:r>
      <w:r w:rsidR="00CF24AC">
        <w:t>Stock-based compensation expense related to stock option grants was $</w:t>
      </w:r>
      <w:r w:rsidR="001136D7">
        <w:t>292,744</w:t>
      </w:r>
      <w:r w:rsidR="00CF24AC">
        <w:t xml:space="preserve"> and $103,569 during the three-month periods ended March 31, 2025 and 2024, respectively.  A</w:t>
      </w:r>
      <w:r w:rsidR="00CF24AC">
        <w:rPr>
          <w:color w:val="000000"/>
        </w:rPr>
        <w:t xml:space="preserve">s of March 31, 2025, there is </w:t>
      </w:r>
      <w:r w:rsidR="001136D7">
        <w:rPr>
          <w:color w:val="000000"/>
        </w:rPr>
        <w:t>approximately $2.2 million</w:t>
      </w:r>
      <w:r w:rsidR="00CF24AC">
        <w:rPr>
          <w:color w:val="000000"/>
        </w:rPr>
        <w:t xml:space="preserve"> of unrecognized compensation expense that we expect to recognize over a weighted-average period of </w:t>
      </w:r>
      <w:r w:rsidR="001136D7">
        <w:rPr>
          <w:color w:val="000000"/>
        </w:rPr>
        <w:t>2.4</w:t>
      </w:r>
      <w:r w:rsidR="00CF24AC">
        <w:rPr>
          <w:color w:val="000000"/>
        </w:rPr>
        <w:t xml:space="preserve"> years.</w:t>
      </w:r>
    </w:p>
    <w:p w14:paraId="608CAE10" w14:textId="77777777" w:rsidR="00CF24AC" w:rsidRPr="00B26306" w:rsidRDefault="00CF24AC" w:rsidP="009B589E">
      <w:pPr>
        <w:rPr>
          <w:color w:val="000000"/>
        </w:rPr>
      </w:pPr>
    </w:p>
    <w:p w14:paraId="3AC7BD54" w14:textId="6F212DB2" w:rsidR="00C55A83" w:rsidRDefault="008C1886" w:rsidP="000A55AE">
      <w:pPr>
        <w:rPr>
          <w:color w:val="000000"/>
        </w:rPr>
      </w:pPr>
      <w:r w:rsidRPr="00B26306">
        <w:t xml:space="preserve">We </w:t>
      </w:r>
      <w:r w:rsidR="00C55A83">
        <w:t>occasionally issue</w:t>
      </w:r>
      <w:r w:rsidRPr="00B26306">
        <w:t xml:space="preserve"> shares of </w:t>
      </w:r>
      <w:r w:rsidR="00CC7B89" w:rsidRPr="00B26306">
        <w:t xml:space="preserve">our </w:t>
      </w:r>
      <w:r w:rsidRPr="00B26306">
        <w:t xml:space="preserve">restricted common stock </w:t>
      </w:r>
      <w:r w:rsidR="00C55A83">
        <w:t>for consulting and other services</w:t>
      </w:r>
      <w:r w:rsidRPr="00B26306">
        <w:t xml:space="preserve"> and recognize the expense over the terms of the related agreements. </w:t>
      </w:r>
      <w:r w:rsidR="00C55A83">
        <w:t>During the three-month periods ended March 31, 2025 and 2024 we recorded stock-based compensation expense of $-0- and $54,167, respectively, associated with common stock issued for consulting services.</w:t>
      </w:r>
    </w:p>
    <w:p w14:paraId="56F350A8" w14:textId="77777777" w:rsidR="00C55A83" w:rsidRDefault="00C55A83" w:rsidP="000A55AE">
      <w:pPr>
        <w:rPr>
          <w:color w:val="000000"/>
        </w:rPr>
      </w:pPr>
    </w:p>
    <w:p w14:paraId="228424D6" w14:textId="08E08374" w:rsidR="0090404A" w:rsidRPr="001C6303" w:rsidRDefault="00AE2834" w:rsidP="0090404A">
      <w:pPr>
        <w:pStyle w:val="ListNumbering"/>
        <w:spacing w:after="0"/>
      </w:pPr>
      <w:r>
        <w:t>7</w:t>
      </w:r>
      <w:r w:rsidR="0090404A" w:rsidRPr="00CA6DDA">
        <w:t>.</w:t>
      </w:r>
      <w:r w:rsidR="0090404A" w:rsidRPr="00CA6DDA">
        <w:tab/>
      </w:r>
      <w:r w:rsidR="0090404A">
        <w:t>Revenue</w:t>
      </w:r>
      <w:r w:rsidR="00972725">
        <w:t xml:space="preserve"> from Government Contrac</w:t>
      </w:r>
      <w:r w:rsidR="00120EBC">
        <w:t>t</w:t>
      </w:r>
    </w:p>
    <w:p w14:paraId="4285F2D8" w14:textId="77777777" w:rsidR="0090404A" w:rsidRDefault="0090404A" w:rsidP="0090404A">
      <w:pPr>
        <w:pStyle w:val="BodyText"/>
        <w:spacing w:after="0"/>
      </w:pPr>
    </w:p>
    <w:p w14:paraId="68AB5ECB" w14:textId="27D58D95" w:rsidR="002868C3" w:rsidRPr="002868C3" w:rsidRDefault="001136D7" w:rsidP="002868C3">
      <w:r w:rsidRPr="001136D7">
        <w:t xml:space="preserve">In June 2024, GeoVax was awarded a contract through the Rapid Response Partnership Vehicle (RRPV) to advance the clinical development of GEO-CM04S1, the Company’s next-generation COVID-19 vaccine. The RRPV is a consortium funded by the Biomedical Advanced Research and Development Authority (BARDA), part of the Administration for Strategic Preparedness and Response (ASPR) in the U.S. Department of Health and Human Services (HHS). </w:t>
      </w:r>
      <w:r w:rsidR="002868C3">
        <w:rPr>
          <w:rFonts w:ascii="CG Times (WN)" w:hAnsi="CG Times (WN)"/>
          <w:color w:val="212529"/>
        </w:rPr>
        <w:t>The award was formalized through an</w:t>
      </w:r>
      <w:r w:rsidRPr="001136D7">
        <w:rPr>
          <w:rFonts w:ascii="CG Times (WN)" w:hAnsi="CG Times (WN)"/>
          <w:color w:val="212529"/>
        </w:rPr>
        <w:t xml:space="preserve"> agreement with Advanced Technology International</w:t>
      </w:r>
      <w:r w:rsidR="00940E80">
        <w:rPr>
          <w:rFonts w:ascii="CG Times (WN)" w:hAnsi="CG Times (WN)"/>
          <w:color w:val="212529"/>
        </w:rPr>
        <w:t xml:space="preserve"> (ATI)</w:t>
      </w:r>
      <w:r w:rsidRPr="001136D7">
        <w:rPr>
          <w:rFonts w:ascii="CG Times (WN)" w:hAnsi="CG Times (WN)"/>
          <w:color w:val="212529"/>
        </w:rPr>
        <w:t>, the RRPV’s consortium management firm (the “ATI-RRPV Contract”)</w:t>
      </w:r>
      <w:r w:rsidR="002868C3">
        <w:t xml:space="preserve">. </w:t>
      </w:r>
    </w:p>
    <w:p w14:paraId="5CEF616A" w14:textId="77777777" w:rsidR="002868C3" w:rsidRDefault="002868C3" w:rsidP="001136D7"/>
    <w:p w14:paraId="2B1EFE4F" w14:textId="641CCE8C" w:rsidR="001136D7" w:rsidRPr="001136D7" w:rsidRDefault="001136D7" w:rsidP="001136D7">
      <w:r w:rsidRPr="001136D7">
        <w:t xml:space="preserve">During </w:t>
      </w:r>
      <w:r>
        <w:t>the three months ended March 31, 2025</w:t>
      </w:r>
      <w:r w:rsidRPr="001136D7">
        <w:t xml:space="preserve">, </w:t>
      </w:r>
      <w:r w:rsidR="002868C3">
        <w:t>we</w:t>
      </w:r>
      <w:r w:rsidRPr="001136D7">
        <w:t xml:space="preserve"> recognized revenue of </w:t>
      </w:r>
      <w:r w:rsidR="006138A7">
        <w:t xml:space="preserve">$1,636,863 </w:t>
      </w:r>
      <w:r w:rsidRPr="001136D7">
        <w:t>associated with the ATI-RRPV Contract.</w:t>
      </w:r>
      <w:r w:rsidR="00A9163D" w:rsidRPr="00A9163D">
        <w:rPr>
          <w:color w:val="000000"/>
          <w:shd w:val="clear" w:color="auto" w:fill="FFFFFF"/>
        </w:rPr>
        <w:t xml:space="preserve"> </w:t>
      </w:r>
      <w:r w:rsidR="00A9163D" w:rsidRPr="002D4E15">
        <w:rPr>
          <w:color w:val="000000"/>
          <w:shd w:val="clear" w:color="auto" w:fill="FFFFFF"/>
        </w:rPr>
        <w:t xml:space="preserve">On </w:t>
      </w:r>
      <w:r w:rsidR="00A9163D">
        <w:rPr>
          <w:color w:val="000000"/>
          <w:shd w:val="clear" w:color="auto" w:fill="FFFFFF"/>
        </w:rPr>
        <w:t>April</w:t>
      </w:r>
      <w:r w:rsidR="00A9163D" w:rsidRPr="002D4E15">
        <w:rPr>
          <w:color w:val="000000"/>
          <w:shd w:val="clear" w:color="auto" w:fill="FFFFFF"/>
        </w:rPr>
        <w:t xml:space="preserve"> </w:t>
      </w:r>
      <w:r w:rsidR="00A9163D">
        <w:rPr>
          <w:color w:val="000000"/>
          <w:shd w:val="clear" w:color="auto" w:fill="FFFFFF"/>
        </w:rPr>
        <w:t>1</w:t>
      </w:r>
      <w:r w:rsidR="00A9163D" w:rsidRPr="002D4E15">
        <w:rPr>
          <w:color w:val="000000"/>
          <w:shd w:val="clear" w:color="auto" w:fill="FFFFFF"/>
        </w:rPr>
        <w:t xml:space="preserve">1, 2025, </w:t>
      </w:r>
      <w:r w:rsidR="00A9163D">
        <w:rPr>
          <w:color w:val="000000"/>
          <w:shd w:val="clear" w:color="auto" w:fill="FFFFFF"/>
        </w:rPr>
        <w:t xml:space="preserve">we </w:t>
      </w:r>
      <w:r w:rsidR="00A9163D" w:rsidRPr="00940E80">
        <w:rPr>
          <w:color w:val="000000"/>
          <w:shd w:val="clear" w:color="auto" w:fill="FFFFFF"/>
        </w:rPr>
        <w:t>received written notification from ATI directing the Company to immediately cease all work</w:t>
      </w:r>
      <w:r w:rsidR="00A9163D">
        <w:rPr>
          <w:color w:val="000000"/>
          <w:shd w:val="clear" w:color="auto" w:fill="FFFFFF"/>
        </w:rPr>
        <w:t xml:space="preserve"> and indicating </w:t>
      </w:r>
      <w:r w:rsidR="00A9163D">
        <w:t xml:space="preserve">that </w:t>
      </w:r>
      <w:r w:rsidR="00A9163D" w:rsidRPr="00644ECA">
        <w:rPr>
          <w:color w:val="000000"/>
          <w:shd w:val="clear" w:color="auto" w:fill="FFFFFF"/>
        </w:rPr>
        <w:t xml:space="preserve">BARDA </w:t>
      </w:r>
      <w:r w:rsidR="00A9163D">
        <w:rPr>
          <w:color w:val="000000"/>
          <w:shd w:val="clear" w:color="auto" w:fill="FFFFFF"/>
        </w:rPr>
        <w:t>determined</w:t>
      </w:r>
      <w:r w:rsidR="00A9163D" w:rsidRPr="00644ECA">
        <w:rPr>
          <w:color w:val="000000"/>
          <w:shd w:val="clear" w:color="auto" w:fill="FFFFFF"/>
        </w:rPr>
        <w:t xml:space="preserve"> to terminate the contract for convenience</w:t>
      </w:r>
      <w:r w:rsidR="00A9163D">
        <w:rPr>
          <w:color w:val="000000"/>
          <w:shd w:val="clear" w:color="auto" w:fill="FFFFFF"/>
        </w:rPr>
        <w:t xml:space="preserve"> to the government</w:t>
      </w:r>
      <w:r w:rsidR="00A9163D" w:rsidRPr="00644ECA">
        <w:rPr>
          <w:color w:val="000000"/>
          <w:shd w:val="clear" w:color="auto" w:fill="FFFFFF"/>
        </w:rPr>
        <w:t xml:space="preserve"> pursuant to </w:t>
      </w:r>
      <w:r w:rsidR="00A9163D">
        <w:rPr>
          <w:color w:val="000000"/>
          <w:shd w:val="clear" w:color="auto" w:fill="FFFFFF"/>
        </w:rPr>
        <w:t>terms contained in the ATI-RRPV Contract.</w:t>
      </w:r>
    </w:p>
    <w:p w14:paraId="780EBF85" w14:textId="77777777" w:rsidR="002868C3" w:rsidRDefault="002868C3" w:rsidP="000A55AE">
      <w:pPr>
        <w:rPr>
          <w:color w:val="000000"/>
        </w:rPr>
      </w:pPr>
    </w:p>
    <w:p w14:paraId="2E26F5C9" w14:textId="3647D3FA" w:rsidR="00C33214" w:rsidRPr="001C6303" w:rsidRDefault="00AE2834" w:rsidP="00C33214">
      <w:pPr>
        <w:pStyle w:val="ListNumbering"/>
        <w:spacing w:after="0"/>
      </w:pPr>
      <w:r>
        <w:t>8</w:t>
      </w:r>
      <w:r w:rsidR="00C33214" w:rsidRPr="001C6303">
        <w:t>.</w:t>
      </w:r>
      <w:r w:rsidR="00C33214" w:rsidRPr="001C6303">
        <w:tab/>
      </w:r>
      <w:r w:rsidR="00C33214">
        <w:t xml:space="preserve">Net </w:t>
      </w:r>
      <w:r w:rsidR="00C33214" w:rsidRPr="001C6303">
        <w:t>Loss Per Share</w:t>
      </w:r>
    </w:p>
    <w:p w14:paraId="27AFE495" w14:textId="77777777" w:rsidR="00C33214" w:rsidRDefault="00C33214" w:rsidP="00C33214">
      <w:pPr>
        <w:pStyle w:val="BodyText"/>
        <w:spacing w:after="0"/>
      </w:pPr>
    </w:p>
    <w:p w14:paraId="21E0E353" w14:textId="29799A38" w:rsidR="00C33214" w:rsidRDefault="00C33214" w:rsidP="00C33214">
      <w:pPr>
        <w:pStyle w:val="BodyText"/>
        <w:spacing w:after="0"/>
      </w:pPr>
      <w:r w:rsidRPr="00E576BB">
        <w:t>Basic and diluted loss per common share are computed based on the weighted average number of common shares outstanding</w:t>
      </w:r>
      <w:r w:rsidR="00ED3AED">
        <w:t>, including pre</w:t>
      </w:r>
      <w:r w:rsidR="00C16FBA">
        <w:t>-</w:t>
      </w:r>
      <w:r w:rsidR="00ED3AED">
        <w:t>funded warrants outstanding as of March 31, 2025</w:t>
      </w:r>
      <w:r w:rsidRPr="00E576BB">
        <w:t xml:space="preserve">. </w:t>
      </w:r>
      <w:r w:rsidRPr="00E321CC">
        <w:t xml:space="preserve">The Company’s potentially dilutive securities, which include </w:t>
      </w:r>
      <w:r>
        <w:t xml:space="preserve">stock </w:t>
      </w:r>
      <w:r w:rsidRPr="00E321CC">
        <w:t>options</w:t>
      </w:r>
      <w:r>
        <w:t xml:space="preserve"> and stock purchase warrants</w:t>
      </w:r>
      <w:r w:rsidRPr="00E321CC">
        <w:t xml:space="preserve">, have been excluded from the computation of diluted net loss per share as the effect would be </w:t>
      </w:r>
      <w:r>
        <w:t xml:space="preserve">antidilutive. </w:t>
      </w:r>
      <w:bookmarkStart w:id="20" w:name="_Hlk107585474"/>
      <w:r>
        <w:t xml:space="preserve">The securities that could potentially dilute basic </w:t>
      </w:r>
      <w:r w:rsidRPr="00CE0C17">
        <w:t xml:space="preserve">earnings per share in the future and that have been excluded </w:t>
      </w:r>
      <w:bookmarkEnd w:id="20"/>
      <w:r w:rsidRPr="00CE0C17">
        <w:t xml:space="preserve">from the computation of diluted net loss per share totaled </w:t>
      </w:r>
      <w:r w:rsidR="001136D7">
        <w:t>11,191,810</w:t>
      </w:r>
      <w:r w:rsidRPr="00CE0C17">
        <w:t xml:space="preserve"> and </w:t>
      </w:r>
      <w:r w:rsidR="00AE2834">
        <w:t>1,721,895</w:t>
      </w:r>
      <w:r w:rsidRPr="00CE0C17">
        <w:t xml:space="preserve"> shares at</w:t>
      </w:r>
      <w:r w:rsidR="00AE2834">
        <w:t xml:space="preserve"> March</w:t>
      </w:r>
      <w:r w:rsidRPr="00CE0C17">
        <w:t xml:space="preserve"> 3</w:t>
      </w:r>
      <w:r w:rsidR="00AE2834">
        <w:t>1</w:t>
      </w:r>
      <w:r w:rsidRPr="00CE0C17">
        <w:t>, 202</w:t>
      </w:r>
      <w:r w:rsidR="00AE2834">
        <w:t>5</w:t>
      </w:r>
      <w:r w:rsidRPr="00CE0C17">
        <w:t xml:space="preserve"> and 202</w:t>
      </w:r>
      <w:r w:rsidR="00AE2834">
        <w:t>4</w:t>
      </w:r>
      <w:r w:rsidRPr="00CE0C17">
        <w:t>, respectively.</w:t>
      </w:r>
    </w:p>
    <w:p w14:paraId="5F29D6AE" w14:textId="77777777" w:rsidR="00C33214" w:rsidRDefault="00C33214" w:rsidP="000A55AE">
      <w:pPr>
        <w:rPr>
          <w:color w:val="000000"/>
        </w:rPr>
      </w:pPr>
    </w:p>
    <w:p w14:paraId="45163D60" w14:textId="510EBEA6" w:rsidR="00881E20" w:rsidRPr="001C6303" w:rsidRDefault="00AE2834" w:rsidP="000A55AE">
      <w:pPr>
        <w:pStyle w:val="ListNumbering"/>
        <w:spacing w:after="0"/>
      </w:pPr>
      <w:r>
        <w:t>9</w:t>
      </w:r>
      <w:r w:rsidR="00881E20" w:rsidRPr="001C6303">
        <w:t>.</w:t>
      </w:r>
      <w:r w:rsidR="00881E20" w:rsidRPr="001C6303">
        <w:tab/>
        <w:t>Income Taxes</w:t>
      </w:r>
    </w:p>
    <w:p w14:paraId="0850CD3F" w14:textId="38305047" w:rsidR="000A55AE" w:rsidRDefault="000A55AE" w:rsidP="000A55AE">
      <w:pPr>
        <w:pStyle w:val="BodyText"/>
        <w:spacing w:after="0"/>
      </w:pPr>
    </w:p>
    <w:p w14:paraId="5D139C65" w14:textId="6B1A747E" w:rsidR="00C33214" w:rsidRDefault="00C33214" w:rsidP="00C33214">
      <w:pPr>
        <w:pStyle w:val="BodyText"/>
        <w:spacing w:after="0"/>
      </w:pPr>
      <w:r>
        <w:t xml:space="preserve">No provision for income taxes was recorded in either of the </w:t>
      </w:r>
      <w:r w:rsidR="00AE2834">
        <w:t>three</w:t>
      </w:r>
      <w:r>
        <w:t xml:space="preserve">-month periods ended </w:t>
      </w:r>
      <w:r w:rsidR="00AE2834">
        <w:t>March</w:t>
      </w:r>
      <w:r>
        <w:t xml:space="preserve"> 3</w:t>
      </w:r>
      <w:r w:rsidR="00AE2834">
        <w:t>1</w:t>
      </w:r>
      <w:r>
        <w:t>, 202</w:t>
      </w:r>
      <w:r w:rsidR="00AE2834">
        <w:t>5</w:t>
      </w:r>
      <w:r>
        <w:t xml:space="preserve"> and 202</w:t>
      </w:r>
      <w:r w:rsidR="00AE2834">
        <w:t>4</w:t>
      </w:r>
      <w:r>
        <w:t xml:space="preserve">. The Company remains in a cumulative loss position with a full valuation allowance recorded against its net deferred income tax assets as of </w:t>
      </w:r>
      <w:r w:rsidR="00AE2834">
        <w:t>March</w:t>
      </w:r>
      <w:r>
        <w:t xml:space="preserve"> 3</w:t>
      </w:r>
      <w:r w:rsidR="00AE2834">
        <w:t>1</w:t>
      </w:r>
      <w:r>
        <w:t>, 202</w:t>
      </w:r>
      <w:r w:rsidR="00AE2834">
        <w:t>5</w:t>
      </w:r>
      <w:r>
        <w:t>.</w:t>
      </w:r>
    </w:p>
    <w:p w14:paraId="0C44511C" w14:textId="74075BE4" w:rsidR="000A55AE" w:rsidRDefault="000A55AE" w:rsidP="000A55AE">
      <w:pPr>
        <w:pStyle w:val="BodyText"/>
        <w:spacing w:after="0"/>
      </w:pPr>
    </w:p>
    <w:p w14:paraId="7E6C912B" w14:textId="0100F947" w:rsidR="000877FE" w:rsidRPr="007B404A" w:rsidRDefault="007B404A" w:rsidP="000877FE">
      <w:pPr>
        <w:rPr>
          <w:b/>
          <w:bCs/>
        </w:rPr>
      </w:pPr>
      <w:r w:rsidRPr="007B404A">
        <w:rPr>
          <w:b/>
          <w:bCs/>
        </w:rPr>
        <w:t>10.</w:t>
      </w:r>
      <w:r w:rsidRPr="007B404A">
        <w:rPr>
          <w:b/>
          <w:bCs/>
        </w:rPr>
        <w:tab/>
        <w:t>Subsequent Events</w:t>
      </w:r>
    </w:p>
    <w:p w14:paraId="6A031C5D" w14:textId="77777777" w:rsidR="000877FE" w:rsidRDefault="000877FE" w:rsidP="000877FE"/>
    <w:p w14:paraId="32CF1C56" w14:textId="46A5458D" w:rsidR="007B404A" w:rsidRDefault="007B404A" w:rsidP="000877FE">
      <w:r>
        <w:t xml:space="preserve">During April 2025, we issued </w:t>
      </w:r>
      <w:r w:rsidR="009409E5">
        <w:t>1,354,115</w:t>
      </w:r>
      <w:r>
        <w:t xml:space="preserve"> shares of common stock upon the exercise of pre-funded warrants.</w:t>
      </w:r>
    </w:p>
    <w:p w14:paraId="71C2BA46" w14:textId="77777777" w:rsidR="007B404A" w:rsidRPr="000877FE" w:rsidRDefault="007B404A" w:rsidP="000877FE"/>
    <w:p w14:paraId="3D8946E7" w14:textId="77777777" w:rsidR="00EB02C5" w:rsidRDefault="00EB02C5">
      <w:pPr>
        <w:rPr>
          <w:b/>
          <w:highlight w:val="yellow"/>
        </w:rPr>
      </w:pPr>
      <w:r>
        <w:rPr>
          <w:highlight w:val="yellow"/>
        </w:rPr>
        <w:br w:type="page"/>
      </w:r>
    </w:p>
    <w:p w14:paraId="511152B0" w14:textId="0F54A6A2" w:rsidR="00BD6BBE" w:rsidRPr="001C6303" w:rsidRDefault="0054260E" w:rsidP="000A55AE">
      <w:pPr>
        <w:pStyle w:val="Heading2"/>
        <w:numPr>
          <w:ilvl w:val="0"/>
          <w:numId w:val="0"/>
        </w:numPr>
        <w:tabs>
          <w:tab w:val="left" w:pos="1080"/>
        </w:tabs>
        <w:spacing w:after="0"/>
      </w:pPr>
      <w:r w:rsidRPr="003304B6">
        <w:rPr>
          <w:u w:val="none"/>
        </w:rPr>
        <w:lastRenderedPageBreak/>
        <w:t>Item 2</w:t>
      </w:r>
      <w:r w:rsidRPr="003304B6">
        <w:rPr>
          <w:u w:val="none"/>
        </w:rPr>
        <w:tab/>
      </w:r>
      <w:r w:rsidR="00BD6BBE" w:rsidRPr="003304B6">
        <w:t>Management</w:t>
      </w:r>
      <w:r w:rsidR="00B44A4C" w:rsidRPr="003304B6">
        <w:t>’</w:t>
      </w:r>
      <w:r w:rsidR="00BD6BBE" w:rsidRPr="003304B6">
        <w:t>s Discussion and Analysis of Financial Condition And Results of Operations</w:t>
      </w:r>
      <w:bookmarkEnd w:id="14"/>
    </w:p>
    <w:p w14:paraId="10D16227" w14:textId="7DF0C357" w:rsidR="000A55AE" w:rsidRDefault="000A55AE" w:rsidP="000A55AE">
      <w:pPr>
        <w:pStyle w:val="Subtitle"/>
        <w:spacing w:after="0"/>
      </w:pPr>
    </w:p>
    <w:p w14:paraId="7E153B7A" w14:textId="0C72C509" w:rsidR="00F2707B" w:rsidRPr="0009354D" w:rsidRDefault="00F2707B" w:rsidP="00F2707B">
      <w:pPr>
        <w:tabs>
          <w:tab w:val="decimal" w:pos="9180"/>
        </w:tabs>
        <w:rPr>
          <w:bCs/>
          <w:i/>
          <w:iCs/>
        </w:rPr>
      </w:pPr>
      <w:r w:rsidRPr="0009354D">
        <w:rPr>
          <w:bCs/>
          <w:i/>
          <w:iCs/>
        </w:rPr>
        <w:t>The following Management’s Discussion and Analysis of Financial Condition and Results of Operations (“MD&amp;A”) is intended to help the reader understand our results of operations and financial condition. This MD&amp;A is provided as a supplement to, and should be read in conjunction with, our condensed consolidated financial statements and the accompanying notes thereto and other disclosures included in this Quarterly Report on Form 10-Q (this “</w:t>
      </w:r>
      <w:r w:rsidR="002666CA">
        <w:rPr>
          <w:bCs/>
          <w:i/>
          <w:iCs/>
        </w:rPr>
        <w:t xml:space="preserve">Quarterly </w:t>
      </w:r>
      <w:r w:rsidRPr="0009354D">
        <w:rPr>
          <w:bCs/>
          <w:i/>
          <w:iCs/>
        </w:rPr>
        <w:t>Report”), and our audited financial statements and the accompanying notes thereto included in our Annual Report on Form 10-K for the year ended December 31, 202</w:t>
      </w:r>
      <w:r w:rsidR="00285742">
        <w:rPr>
          <w:bCs/>
          <w:i/>
          <w:iCs/>
        </w:rPr>
        <w:t>4</w:t>
      </w:r>
      <w:r w:rsidRPr="0009354D">
        <w:rPr>
          <w:bCs/>
          <w:i/>
          <w:iCs/>
        </w:rPr>
        <w:t>, which was filed with the Securities and Exchange Commission</w:t>
      </w:r>
      <w:r w:rsidR="002666CA">
        <w:rPr>
          <w:bCs/>
          <w:i/>
          <w:iCs/>
        </w:rPr>
        <w:t xml:space="preserve"> (the “SEC”)</w:t>
      </w:r>
      <w:r w:rsidRPr="0009354D">
        <w:rPr>
          <w:bCs/>
          <w:i/>
          <w:iCs/>
        </w:rPr>
        <w:t xml:space="preserve"> on </w:t>
      </w:r>
      <w:r w:rsidR="00285742">
        <w:rPr>
          <w:bCs/>
          <w:i/>
          <w:iCs/>
        </w:rPr>
        <w:t>March 27</w:t>
      </w:r>
      <w:r w:rsidRPr="0009354D">
        <w:rPr>
          <w:bCs/>
          <w:i/>
          <w:iCs/>
        </w:rPr>
        <w:t>, 20</w:t>
      </w:r>
      <w:r>
        <w:rPr>
          <w:bCs/>
          <w:i/>
          <w:iCs/>
        </w:rPr>
        <w:t>2</w:t>
      </w:r>
      <w:r w:rsidR="00285742">
        <w:rPr>
          <w:bCs/>
          <w:i/>
          <w:iCs/>
        </w:rPr>
        <w:t>5</w:t>
      </w:r>
      <w:r w:rsidRPr="0009354D">
        <w:rPr>
          <w:bCs/>
          <w:i/>
          <w:iCs/>
        </w:rPr>
        <w:t>.</w:t>
      </w:r>
    </w:p>
    <w:p w14:paraId="50C394BC" w14:textId="77777777" w:rsidR="00B70FE8" w:rsidRPr="0009354D" w:rsidRDefault="00B70FE8" w:rsidP="00B70FE8">
      <w:pPr>
        <w:tabs>
          <w:tab w:val="decimal" w:pos="9180"/>
        </w:tabs>
        <w:rPr>
          <w:bCs/>
        </w:rPr>
      </w:pPr>
    </w:p>
    <w:p w14:paraId="7A2DE09C" w14:textId="77777777" w:rsidR="00B70FE8" w:rsidRPr="0009354D" w:rsidRDefault="00B70FE8" w:rsidP="00B70FE8">
      <w:pPr>
        <w:tabs>
          <w:tab w:val="decimal" w:pos="9180"/>
        </w:tabs>
        <w:rPr>
          <w:b/>
        </w:rPr>
      </w:pPr>
      <w:r w:rsidRPr="0009354D">
        <w:rPr>
          <w:b/>
        </w:rPr>
        <w:t>Forward-Looking Statements</w:t>
      </w:r>
    </w:p>
    <w:p w14:paraId="4D0ECB97" w14:textId="77777777" w:rsidR="00B70FE8" w:rsidRPr="0009354D" w:rsidRDefault="00B70FE8" w:rsidP="00B70FE8">
      <w:pPr>
        <w:tabs>
          <w:tab w:val="decimal" w:pos="9180"/>
        </w:tabs>
        <w:rPr>
          <w:bCs/>
        </w:rPr>
      </w:pPr>
    </w:p>
    <w:p w14:paraId="1DAFD1AD" w14:textId="749ED574" w:rsidR="00F2707B" w:rsidRPr="00CC7B89" w:rsidRDefault="00F2707B" w:rsidP="00F2707B">
      <w:pPr>
        <w:tabs>
          <w:tab w:val="decimal" w:pos="9180"/>
        </w:tabs>
        <w:rPr>
          <w:bCs/>
          <w:i/>
          <w:iCs/>
        </w:rPr>
      </w:pPr>
      <w:r w:rsidRPr="00CC7B89">
        <w:rPr>
          <w:bCs/>
          <w:i/>
          <w:iCs/>
        </w:rPr>
        <w:t xml:space="preserve">Information included in this </w:t>
      </w:r>
      <w:r w:rsidR="002666CA">
        <w:rPr>
          <w:bCs/>
          <w:i/>
          <w:iCs/>
        </w:rPr>
        <w:t xml:space="preserve">Quarterly </w:t>
      </w:r>
      <w:r w:rsidRPr="00CC7B89">
        <w:rPr>
          <w:bCs/>
          <w:i/>
          <w:iCs/>
        </w:rPr>
        <w:t>Report contains forward-looking statements within the meaning of Section 27A of the Securities Act of 1933, as amended, and Section 21E of the Securities Exchange Act of 1934, as amended (the “Exchange Act”). Forward-looking statements are not statements of historical facts, but rather reflect our current expectations concerning future events and results. We generally use the words “believes,” “expects,”</w:t>
      </w:r>
      <w:r w:rsidR="00C16FBA">
        <w:rPr>
          <w:bCs/>
          <w:i/>
          <w:iCs/>
        </w:rPr>
        <w:t>, “looks forward to”, “may”, “estimates”, “continues”, “should”, “could”, “target”, “potential”,</w:t>
      </w:r>
      <w:r w:rsidRPr="00CC7B89">
        <w:rPr>
          <w:bCs/>
          <w:i/>
          <w:iCs/>
        </w:rPr>
        <w:t xml:space="preserve">“intends,” “plans,” “anticipates,” “likely,” “will” and similar expressions to identify forward-looking statements. All statements in this </w:t>
      </w:r>
      <w:r w:rsidR="003C6624">
        <w:rPr>
          <w:bCs/>
          <w:i/>
          <w:iCs/>
        </w:rPr>
        <w:t xml:space="preserve">Quarterly </w:t>
      </w:r>
      <w:r w:rsidRPr="00CC7B89">
        <w:rPr>
          <w:bCs/>
          <w:i/>
          <w:iCs/>
        </w:rPr>
        <w:t xml:space="preserve">Report, other than statements of historical facts, including statements regarding our strategy, future operations, future financial position, future revenues, </w:t>
      </w:r>
      <w:r>
        <w:rPr>
          <w:bCs/>
          <w:i/>
          <w:iCs/>
        </w:rPr>
        <w:t xml:space="preserve">future governmental grants, </w:t>
      </w:r>
      <w:r w:rsidRPr="00CC7B89">
        <w:rPr>
          <w:bCs/>
          <w:i/>
          <w:iCs/>
        </w:rPr>
        <w:t>projected costs, prospects, plans, intentions, expectations and objectives could be forward-looking statements. Such forward-looking statements, including those concerning our expectations, involve risks, uncertainties and other factors, some of which are beyond our control, which may cause our actual results, performance or achievements, or industry results, to be materially different from any future results, performance or achievements expressed or implied by such forward-looking statements. These risks, uncertainties and factors include, but are not limited to, those factors set forth in our Annual Report on Form 10-K for the fiscal year ended December 31, 202</w:t>
      </w:r>
      <w:r w:rsidR="009409E5">
        <w:rPr>
          <w:bCs/>
          <w:i/>
          <w:iCs/>
        </w:rPr>
        <w:t>4</w:t>
      </w:r>
      <w:r w:rsidRPr="00CC7B89">
        <w:rPr>
          <w:bCs/>
          <w:i/>
          <w:iCs/>
        </w:rPr>
        <w:t xml:space="preserve">. We operate in a highly competitive, highly regulated and rapidly changing environment and our business is constantly evolving. Therefore, it is likely that new risks will emerge, and that the nature and elements of existing risks will change, over time. It is not possible for management to predict all such risk factors or changes therein, or to assess either the impact of all such risk factors on our business. We assume no obligation to publicly update or revise any forward-looking statements, whether as a result of new information, future events or otherwise. You are cautioned not to unduly rely on such forward-looking statements when evaluating the information presented in this </w:t>
      </w:r>
      <w:r w:rsidR="003C6624">
        <w:rPr>
          <w:bCs/>
          <w:i/>
          <w:iCs/>
        </w:rPr>
        <w:t xml:space="preserve">Quarterly </w:t>
      </w:r>
      <w:r w:rsidRPr="00CC7B89">
        <w:rPr>
          <w:bCs/>
          <w:i/>
          <w:iCs/>
        </w:rPr>
        <w:t>Report.</w:t>
      </w:r>
    </w:p>
    <w:p w14:paraId="7C583FCF" w14:textId="3D1CF61B" w:rsidR="000A55AE" w:rsidRDefault="000A55AE" w:rsidP="000A55AE">
      <w:pPr>
        <w:pStyle w:val="BodyTitle"/>
        <w:spacing w:after="0"/>
        <w:rPr>
          <w:b/>
          <w:u w:val="none"/>
        </w:rPr>
      </w:pPr>
    </w:p>
    <w:p w14:paraId="2A40CC35" w14:textId="46397962" w:rsidR="00285742" w:rsidRPr="00DE33AD" w:rsidRDefault="00285742" w:rsidP="00285742">
      <w:pPr>
        <w:jc w:val="both"/>
        <w:rPr>
          <w:b/>
          <w:bCs/>
        </w:rPr>
      </w:pPr>
      <w:r w:rsidRPr="00DE33AD">
        <w:rPr>
          <w:b/>
          <w:bCs/>
        </w:rPr>
        <w:t>Overview and Recent Developments</w:t>
      </w:r>
    </w:p>
    <w:p w14:paraId="12E6CA19" w14:textId="77777777" w:rsidR="00285742" w:rsidRPr="00DE33AD" w:rsidRDefault="00285742" w:rsidP="00285742">
      <w:pPr>
        <w:jc w:val="both"/>
      </w:pPr>
    </w:p>
    <w:p w14:paraId="3AE3E771" w14:textId="77777777" w:rsidR="00285742" w:rsidRPr="00DE33AD" w:rsidRDefault="00285742" w:rsidP="00B71C0F">
      <w:pPr>
        <w:rPr>
          <w:color w:val="000000"/>
        </w:rPr>
      </w:pPr>
      <w:r w:rsidRPr="00DE33AD">
        <w:rPr>
          <w:color w:val="000000"/>
        </w:rPr>
        <w:t xml:space="preserve">GeoVax is a clinical-stage biotechnology company developing </w:t>
      </w:r>
      <w:r w:rsidRPr="00047D94">
        <w:rPr>
          <w:bCs/>
        </w:rPr>
        <w:t xml:space="preserve">human vaccines and immunotherapies against infectious diseases and </w:t>
      </w:r>
      <w:r>
        <w:rPr>
          <w:bCs/>
        </w:rPr>
        <w:t>solid tumor</w:t>
      </w:r>
      <w:r w:rsidRPr="00047D94">
        <w:rPr>
          <w:bCs/>
        </w:rPr>
        <w:t xml:space="preserve"> cancers using novel proprietary platforms</w:t>
      </w:r>
      <w:r w:rsidRPr="00DE33AD">
        <w:rPr>
          <w:color w:val="000000"/>
        </w:rPr>
        <w:t xml:space="preserve">. GeoVax’s </w:t>
      </w:r>
      <w:r>
        <w:rPr>
          <w:color w:val="000000"/>
        </w:rPr>
        <w:t xml:space="preserve">most advanced </w:t>
      </w:r>
      <w:r w:rsidRPr="00DE33AD">
        <w:rPr>
          <w:color w:val="000000"/>
        </w:rPr>
        <w:t xml:space="preserve">product </w:t>
      </w:r>
      <w:r>
        <w:rPr>
          <w:color w:val="000000"/>
        </w:rPr>
        <w:t>candidates</w:t>
      </w:r>
      <w:r w:rsidRPr="00DE33AD">
        <w:rPr>
          <w:color w:val="000000"/>
        </w:rPr>
        <w:t xml:space="preserve"> include a next-generation COVID-19 vaccine</w:t>
      </w:r>
      <w:r>
        <w:rPr>
          <w:color w:val="000000"/>
        </w:rPr>
        <w:t xml:space="preserve">, </w:t>
      </w:r>
      <w:r w:rsidRPr="00DE33AD">
        <w:rPr>
          <w:color w:val="000000"/>
        </w:rPr>
        <w:t xml:space="preserve">a gene-directed therapy </w:t>
      </w:r>
      <w:r>
        <w:rPr>
          <w:color w:val="000000"/>
        </w:rPr>
        <w:t>for</w:t>
      </w:r>
      <w:r w:rsidRPr="00DE33AD">
        <w:rPr>
          <w:color w:val="000000"/>
        </w:rPr>
        <w:t xml:space="preserve"> </w:t>
      </w:r>
      <w:r>
        <w:rPr>
          <w:color w:val="000000"/>
        </w:rPr>
        <w:t>solid tumor cancers, and a vaccine against Mpox and smallpox</w:t>
      </w:r>
      <w:r w:rsidRPr="00DE33AD">
        <w:rPr>
          <w:color w:val="000000"/>
        </w:rPr>
        <w:t xml:space="preserve">. Additional research and development programs include preventive vaccines </w:t>
      </w:r>
      <w:r>
        <w:rPr>
          <w:color w:val="000000"/>
        </w:rPr>
        <w:t>for</w:t>
      </w:r>
      <w:r w:rsidRPr="00DE33AD">
        <w:rPr>
          <w:color w:val="000000"/>
        </w:rPr>
        <w:t xml:space="preserve"> hemorrhagic fever viruses (Ebola Zaire, Ebola Sudan and Marburg), and Zika virus</w:t>
      </w:r>
      <w:r>
        <w:rPr>
          <w:color w:val="000000"/>
        </w:rPr>
        <w:t>.</w:t>
      </w:r>
    </w:p>
    <w:p w14:paraId="5432A308" w14:textId="77777777" w:rsidR="00285742" w:rsidRDefault="00285742" w:rsidP="00B71C0F">
      <w:pPr>
        <w:rPr>
          <w:color w:val="000000"/>
        </w:rPr>
      </w:pPr>
    </w:p>
    <w:p w14:paraId="35A54099" w14:textId="77777777" w:rsidR="00285742" w:rsidRPr="00DE33AD" w:rsidRDefault="00285742" w:rsidP="00B71C0F">
      <w:pPr>
        <w:rPr>
          <w:color w:val="000000"/>
        </w:rPr>
      </w:pPr>
      <w:r w:rsidRPr="00DE33AD">
        <w:rPr>
          <w:color w:val="000000"/>
        </w:rPr>
        <w:t xml:space="preserve">Our corporate strategy is to advance, protect and exploit our differentiated vaccine/immunotherapy technologies leading to the successful development of preventive and therapeutic vaccines and immunotherapies against infectious diseases and various cancers. Our goal is to advance products </w:t>
      </w:r>
      <w:r>
        <w:rPr>
          <w:color w:val="000000"/>
        </w:rPr>
        <w:t>through</w:t>
      </w:r>
      <w:r w:rsidRPr="00DE33AD">
        <w:rPr>
          <w:color w:val="000000"/>
        </w:rPr>
        <w:t xml:space="preserve">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1FAC0D7E" w14:textId="77777777" w:rsidR="00285742" w:rsidRPr="0093775E" w:rsidRDefault="00285742" w:rsidP="00B71C0F"/>
    <w:p w14:paraId="268E616F" w14:textId="77777777" w:rsidR="00285742" w:rsidRPr="0093775E" w:rsidRDefault="00285742" w:rsidP="00B71C0F">
      <w:r w:rsidRPr="0093775E">
        <w:t>Our programs are in various stages of development</w:t>
      </w:r>
      <w:bookmarkStart w:id="21" w:name="_Hlk86323645"/>
      <w:r w:rsidRPr="0093775E">
        <w:t>, the most significant of which are summarized below along with recent developments:</w:t>
      </w:r>
    </w:p>
    <w:p w14:paraId="3F3C9DD1" w14:textId="77777777" w:rsidR="00285742" w:rsidRPr="0093775E" w:rsidRDefault="00285742" w:rsidP="00B71C0F">
      <w:pPr>
        <w:numPr>
          <w:ilvl w:val="0"/>
          <w:numId w:val="11"/>
        </w:numPr>
        <w:ind w:left="360"/>
        <w:rPr>
          <w:bCs/>
        </w:rPr>
      </w:pPr>
      <w:r w:rsidRPr="0093775E">
        <w:rPr>
          <w:bCs/>
        </w:rPr>
        <w:t>GEO-CM04S1 – Next Generation COVID-19 Vaccine:</w:t>
      </w:r>
    </w:p>
    <w:p w14:paraId="0F26F6C3" w14:textId="77777777" w:rsidR="00285742" w:rsidRPr="0093775E" w:rsidRDefault="00285742" w:rsidP="00B71C0F">
      <w:pPr>
        <w:numPr>
          <w:ilvl w:val="1"/>
          <w:numId w:val="11"/>
        </w:numPr>
        <w:ind w:left="720"/>
        <w:rPr>
          <w:bCs/>
        </w:rPr>
      </w:pPr>
      <w:r w:rsidRPr="0093775E">
        <w:rPr>
          <w:bCs/>
        </w:rPr>
        <w:t xml:space="preserve">GEO-CM04S1 is currently undergoing a Phase 2 clinical trial (ClinicalTrials.gov Identifier: NCT04977024), evaluating its safety and efficacy as a preventive COVID-19 vaccine in high-risk immunocompromised patients (i.e. patients with blood cancers who have previously received either an allogeneic hematopoietic cell transplant, an autologous hematopoietic cell transplant or CAR T cell therapy). Data published from the safety lead-in portion of the trial indicates that GEO-CM04S1 is highly immunogenic in these patients, inducing broad and durable neutralizing antibody and T cell responses. </w:t>
      </w:r>
    </w:p>
    <w:p w14:paraId="64D54F69" w14:textId="65EE87CB" w:rsidR="00285742" w:rsidRPr="0093775E" w:rsidRDefault="00285742" w:rsidP="00B71C0F">
      <w:pPr>
        <w:numPr>
          <w:ilvl w:val="1"/>
          <w:numId w:val="11"/>
        </w:numPr>
        <w:ind w:left="720"/>
        <w:rPr>
          <w:bCs/>
        </w:rPr>
      </w:pPr>
      <w:r w:rsidRPr="0093775E">
        <w:rPr>
          <w:bCs/>
        </w:rPr>
        <w:t>GEO-CM04S1 is also undergoing the Phase 2 portion of a Phase 1/2 trial (ClinicalTrials.gov Identifier: NCT04639466), evaluating two vaccine dose levels as a heterologous COVID-19 booster vaccine to current FDA-approved mRNA vaccines from Pfizer/BioNTech and Moderna.</w:t>
      </w:r>
      <w:r w:rsidRPr="0093775E">
        <w:t xml:space="preserve"> In February 2024, we announced positive interim safety and immune responses findings following vaccine administration. Consolidated data (blinded to vaccine </w:t>
      </w:r>
      <w:r w:rsidRPr="0093775E">
        <w:lastRenderedPageBreak/>
        <w:t>dose) from all subjects tested one-month post-vaccination documented statistically significant increases in neutralizing antibody responses against multiple SARS-CoV-2 variants, ranging from the original Wuhan strain through Delta and Omicron XBB 1.5.</w:t>
      </w:r>
    </w:p>
    <w:p w14:paraId="66544E4D" w14:textId="77777777" w:rsidR="00285742" w:rsidRPr="004E7AA1" w:rsidRDefault="00285742" w:rsidP="00B71C0F">
      <w:pPr>
        <w:numPr>
          <w:ilvl w:val="1"/>
          <w:numId w:val="11"/>
        </w:numPr>
        <w:ind w:left="720"/>
        <w:rPr>
          <w:bCs/>
        </w:rPr>
      </w:pPr>
      <w:r w:rsidRPr="0093775E">
        <w:rPr>
          <w:bCs/>
        </w:rPr>
        <w:t xml:space="preserve">An investigator-initiated Phase 2 clinical trial (ClinicalTrials.gov Identifier: NCT05672355) of GEO-CM04S1 is evaluating its use as a COVID-19 vaccine booster in patients with CLL </w:t>
      </w:r>
      <w:r w:rsidRPr="0093775E">
        <w:t>compared to the Pfizer/BioNTech mRNA-based vaccine.</w:t>
      </w:r>
    </w:p>
    <w:p w14:paraId="65C71A04" w14:textId="4932D4E2" w:rsidR="004E7AA1" w:rsidRPr="004E7AA1" w:rsidRDefault="004E7AA1" w:rsidP="004E7AA1">
      <w:pPr>
        <w:numPr>
          <w:ilvl w:val="1"/>
          <w:numId w:val="11"/>
        </w:numPr>
        <w:ind w:left="720"/>
        <w:rPr>
          <w:bCs/>
        </w:rPr>
      </w:pPr>
      <w:r>
        <w:t>In June</w:t>
      </w:r>
      <w:r w:rsidRPr="00047D94">
        <w:t xml:space="preserve"> 2024, </w:t>
      </w:r>
      <w:r>
        <w:t>GeoVax</w:t>
      </w:r>
      <w:r w:rsidRPr="00047D94">
        <w:t xml:space="preserve"> announced </w:t>
      </w:r>
      <w:r>
        <w:t>the</w:t>
      </w:r>
      <w:r w:rsidRPr="00047D94">
        <w:t xml:space="preserve"> receipt of an award through the RRPV to advance development of GEO-CM04S1 in a Phase 2b clinical trial. The RRPV is a </w:t>
      </w:r>
      <w:r>
        <w:t>c</w:t>
      </w:r>
      <w:r w:rsidRPr="00047D94">
        <w:t>onsortium funded by BARDA, part of the ASPR in the HHS</w:t>
      </w:r>
      <w:r>
        <w:rPr>
          <w:bCs/>
        </w:rPr>
        <w:t xml:space="preserve">. </w:t>
      </w:r>
      <w:bookmarkStart w:id="22" w:name="_Hlk195370706"/>
      <w:r w:rsidRPr="004E7AA1">
        <w:rPr>
          <w:color w:val="000000"/>
          <w:shd w:val="clear" w:color="auto" w:fill="FFFFFF"/>
        </w:rPr>
        <w:t>On April 11, 2025, we received written notification from ATI (the “Notice”) directing the Company to immediately cease all work related to the ATI-RRPV Contract.</w:t>
      </w:r>
      <w:r w:rsidRPr="004E7AA1">
        <w:rPr>
          <w:sz w:val="24"/>
          <w:szCs w:val="24"/>
        </w:rPr>
        <w:t xml:space="preserve"> </w:t>
      </w:r>
      <w:r w:rsidRPr="004E7AA1">
        <w:rPr>
          <w:color w:val="000000"/>
          <w:shd w:val="clear" w:color="auto" w:fill="FFFFFF"/>
        </w:rPr>
        <w:t>The Notice instructed GeoVax to halt all activities associated with the project agreement, including all subcontracting, procurement of materials, and any other project-related expenditures.</w:t>
      </w:r>
      <w:r w:rsidRPr="00644ECA">
        <w:t xml:space="preserve"> The Notice </w:t>
      </w:r>
      <w:r>
        <w:t xml:space="preserve">indicated that </w:t>
      </w:r>
      <w:r w:rsidRPr="004E7AA1">
        <w:rPr>
          <w:color w:val="000000"/>
          <w:shd w:val="clear" w:color="auto" w:fill="FFFFFF"/>
        </w:rPr>
        <w:t>BARDA determined to terminate the contract for convenience to the government pursuant terms contained in the ATI-RRPV Contract.</w:t>
      </w:r>
      <w:bookmarkEnd w:id="22"/>
    </w:p>
    <w:p w14:paraId="4B4CD409" w14:textId="77777777" w:rsidR="00285742" w:rsidRPr="0093775E" w:rsidRDefault="00285742" w:rsidP="00B71C0F">
      <w:pPr>
        <w:numPr>
          <w:ilvl w:val="0"/>
          <w:numId w:val="11"/>
        </w:numPr>
        <w:ind w:left="360"/>
        <w:rPr>
          <w:bCs/>
        </w:rPr>
      </w:pPr>
      <w:r w:rsidRPr="0093775E">
        <w:rPr>
          <w:bCs/>
        </w:rPr>
        <w:t>Gedeptin</w:t>
      </w:r>
      <w:r w:rsidRPr="0093775E">
        <w:rPr>
          <w:bCs/>
          <w:vertAlign w:val="superscript"/>
        </w:rPr>
        <w:t>®</w:t>
      </w:r>
      <w:r w:rsidRPr="0093775E">
        <w:rPr>
          <w:bCs/>
        </w:rPr>
        <w:t>:</w:t>
      </w:r>
    </w:p>
    <w:p w14:paraId="5D6F44F8" w14:textId="77777777" w:rsidR="00285742" w:rsidRPr="0093775E" w:rsidRDefault="00285742" w:rsidP="00B71C0F">
      <w:pPr>
        <w:numPr>
          <w:ilvl w:val="1"/>
          <w:numId w:val="11"/>
        </w:numPr>
        <w:ind w:left="720"/>
        <w:rPr>
          <w:bCs/>
        </w:rPr>
      </w:pPr>
      <w:r w:rsidRPr="0093775E">
        <w:rPr>
          <w:bCs/>
        </w:rPr>
        <w:t>Gedeptin recently completed a Phase 1/2 clinical trial (PNP-002) (ClinicalTrials.gov Identifier: NCT03754933) for treatment of patients with advanced HNSCC. This trial</w:t>
      </w:r>
      <w:bookmarkEnd w:id="21"/>
      <w:r w:rsidRPr="0093775E">
        <w:rPr>
          <w:bCs/>
        </w:rPr>
        <w:t xml:space="preserve"> is being funded in part by the FDA pursuant to its Orphan Products Clinical Trials Grants Program. </w:t>
      </w:r>
    </w:p>
    <w:p w14:paraId="289D03A2" w14:textId="77777777" w:rsidR="00285742" w:rsidRPr="0093775E" w:rsidRDefault="00285742" w:rsidP="00B71C0F">
      <w:pPr>
        <w:numPr>
          <w:ilvl w:val="1"/>
          <w:numId w:val="11"/>
        </w:numPr>
        <w:ind w:left="720"/>
        <w:rPr>
          <w:bCs/>
        </w:rPr>
      </w:pPr>
      <w:r w:rsidRPr="0093775E">
        <w:t>We have initiated activities in support of a Phase 2 trial in first-recurrence head and neck cancer. The primary goal of this trial will be to establish efficacy of neoadjuvant Gedeptin therapy combined with an immune checkpoint inhibitor in squamous cell head and neck cancer. This trial is anticipated to be a single cycle trial with surgery to follow in approximately 36 patients with pathologic response rate as the primary endpoint. We have initiated the necessary planning activities, including protocol development, manufacturing and CRO selection.</w:t>
      </w:r>
    </w:p>
    <w:p w14:paraId="2AA124A9" w14:textId="77777777" w:rsidR="00285742" w:rsidRPr="0093775E" w:rsidRDefault="00285742" w:rsidP="00B71C0F">
      <w:pPr>
        <w:numPr>
          <w:ilvl w:val="0"/>
          <w:numId w:val="11"/>
        </w:numPr>
        <w:ind w:left="360"/>
      </w:pPr>
      <w:r w:rsidRPr="0093775E">
        <w:t>GEO-MVA:</w:t>
      </w:r>
    </w:p>
    <w:p w14:paraId="030833D3" w14:textId="77777777" w:rsidR="00285742" w:rsidRPr="0093775E" w:rsidRDefault="00285742" w:rsidP="00B71C0F">
      <w:pPr>
        <w:numPr>
          <w:ilvl w:val="1"/>
          <w:numId w:val="11"/>
        </w:numPr>
        <w:ind w:left="720"/>
      </w:pPr>
      <w:r w:rsidRPr="0093775E">
        <w:t xml:space="preserve">GEO-MVA is the Company vaccine candidate in development for protection against Mpox and </w:t>
      </w:r>
      <w:r>
        <w:t>s</w:t>
      </w:r>
      <w:r w:rsidRPr="0093775E">
        <w:t>mallpox.</w:t>
      </w:r>
      <w:r w:rsidRPr="0093775E">
        <w:rPr>
          <w:rFonts w:eastAsia="Calibri"/>
          <w:color w:val="000000"/>
          <w:kern w:val="2"/>
          <w:sz w:val="22"/>
          <w:szCs w:val="22"/>
          <w14:ligatures w14:val="standardContextual"/>
        </w:rPr>
        <w:t xml:space="preserve"> </w:t>
      </w:r>
      <w:r w:rsidRPr="0093775E">
        <w:t xml:space="preserve">MVA is the vaccine recommended by both the WHO and the U.S. Centers for Disease Control and Prevention against both Mpox and </w:t>
      </w:r>
      <w:r>
        <w:t>s</w:t>
      </w:r>
      <w:r w:rsidRPr="0093775E">
        <w:t>mallpox, recognized for its safety and efficacy among all patient populations, including pregnant women, children and immunocompromised individuals.  MVA is the vaccine currently used and stockpiled in the United States Strategic National Stockpile for immunization against potential bioterrorism threats based on the smallpox virus.</w:t>
      </w:r>
    </w:p>
    <w:p w14:paraId="6CB8E39E" w14:textId="175A60DA" w:rsidR="00285742" w:rsidRPr="0093775E" w:rsidRDefault="00285742" w:rsidP="00B71C0F">
      <w:pPr>
        <w:numPr>
          <w:ilvl w:val="1"/>
          <w:numId w:val="11"/>
        </w:numPr>
        <w:ind w:left="720"/>
      </w:pPr>
      <w:r>
        <w:t>A</w:t>
      </w:r>
      <w:r w:rsidRPr="001E5FCE">
        <w:t xml:space="preserve"> clinical batch of GEO-MVA has recently been produced under cGMP production.  </w:t>
      </w:r>
      <w:r>
        <w:t xml:space="preserve">We </w:t>
      </w:r>
      <w:r w:rsidR="004E7AA1">
        <w:t>intend</w:t>
      </w:r>
      <w:r>
        <w:t xml:space="preserve"> to begin c</w:t>
      </w:r>
      <w:r w:rsidRPr="001E5FCE">
        <w:t xml:space="preserve">linical evaluation of the vaccine </w:t>
      </w:r>
      <w:r>
        <w:t>during 2025</w:t>
      </w:r>
      <w:r w:rsidRPr="0093775E">
        <w:t>.</w:t>
      </w:r>
    </w:p>
    <w:p w14:paraId="0C01068F" w14:textId="77777777" w:rsidR="00285742" w:rsidRPr="0093775E" w:rsidRDefault="00285742" w:rsidP="00B71C0F">
      <w:pPr>
        <w:numPr>
          <w:ilvl w:val="0"/>
          <w:numId w:val="11"/>
        </w:numPr>
        <w:ind w:left="360"/>
      </w:pPr>
      <w:r w:rsidRPr="0093775E">
        <w:t>Our additional research programs for vaccines and immunotherapies at various stages of preclinical development.</w:t>
      </w:r>
    </w:p>
    <w:p w14:paraId="4B0F4CCA" w14:textId="77777777" w:rsidR="00E377E4" w:rsidRDefault="00E377E4" w:rsidP="00B71C0F"/>
    <w:p w14:paraId="766472F2" w14:textId="77777777" w:rsidR="00F2707B" w:rsidRPr="00E55FA4" w:rsidRDefault="00F2707B" w:rsidP="00B71C0F">
      <w:pPr>
        <w:rPr>
          <w:b/>
          <w:bCs/>
        </w:rPr>
      </w:pPr>
      <w:r w:rsidRPr="00E55FA4">
        <w:rPr>
          <w:b/>
          <w:bCs/>
        </w:rPr>
        <w:t>Financial Overview</w:t>
      </w:r>
    </w:p>
    <w:p w14:paraId="069AB2EA" w14:textId="77777777" w:rsidR="00F2707B" w:rsidRPr="00E55FA4" w:rsidRDefault="00F2707B" w:rsidP="00B71C0F">
      <w:pPr>
        <w:rPr>
          <w:i/>
          <w:iCs/>
        </w:rPr>
      </w:pPr>
    </w:p>
    <w:p w14:paraId="00A448A7" w14:textId="77777777" w:rsidR="00B71C0F" w:rsidRPr="00E55FA4" w:rsidRDefault="00B71C0F" w:rsidP="00B71C0F">
      <w:pPr>
        <w:rPr>
          <w:i/>
          <w:iCs/>
        </w:rPr>
      </w:pPr>
      <w:r w:rsidRPr="00E55FA4">
        <w:rPr>
          <w:i/>
          <w:iCs/>
        </w:rPr>
        <w:t>Revenue</w:t>
      </w:r>
    </w:p>
    <w:p w14:paraId="3983DDA6" w14:textId="77777777" w:rsidR="00B71C0F" w:rsidRPr="00E55FA4" w:rsidRDefault="00B71C0F" w:rsidP="00B71C0F"/>
    <w:p w14:paraId="12DAFEE1" w14:textId="77777777" w:rsidR="00B71C0F" w:rsidRPr="00E55FA4" w:rsidRDefault="00B71C0F" w:rsidP="00B71C0F">
      <w:r>
        <w:rPr>
          <w:color w:val="000000"/>
        </w:rPr>
        <w:t xml:space="preserve">Our revenues to date have been related to government grants and contracts and other collaborative arrangements in support of our product development activities. </w:t>
      </w:r>
      <w:r w:rsidRPr="00DD33CB">
        <w:rPr>
          <w:color w:val="000000"/>
        </w:rPr>
        <w:t>We have not generated any revenue</w:t>
      </w:r>
      <w:r>
        <w:rPr>
          <w:color w:val="000000"/>
        </w:rPr>
        <w:t xml:space="preserve"> to date</w:t>
      </w:r>
      <w:r w:rsidRPr="00DD33CB">
        <w:rPr>
          <w:color w:val="000000"/>
        </w:rPr>
        <w:t xml:space="preserve"> from the sale of the products we are developing</w:t>
      </w:r>
      <w:r w:rsidRPr="00E55FA4">
        <w:t xml:space="preserve">.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t>
      </w:r>
    </w:p>
    <w:p w14:paraId="7670A6F2" w14:textId="77777777" w:rsidR="00B71C0F" w:rsidRPr="00E55FA4" w:rsidRDefault="00B71C0F" w:rsidP="00B71C0F"/>
    <w:p w14:paraId="5AC18E5E" w14:textId="77777777" w:rsidR="00B71C0F" w:rsidRPr="00E55FA4" w:rsidRDefault="00B71C0F" w:rsidP="00B71C0F">
      <w:pPr>
        <w:rPr>
          <w:i/>
          <w:iCs/>
        </w:rPr>
      </w:pPr>
      <w:r w:rsidRPr="00E55FA4">
        <w:rPr>
          <w:i/>
          <w:iCs/>
        </w:rPr>
        <w:t>Research and development expenses</w:t>
      </w:r>
    </w:p>
    <w:p w14:paraId="4E7FA11C" w14:textId="77777777" w:rsidR="00B71C0F" w:rsidRPr="00E55FA4" w:rsidRDefault="00B71C0F" w:rsidP="00B71C0F"/>
    <w:p w14:paraId="11549DC5" w14:textId="77777777" w:rsidR="00B71C0F" w:rsidRPr="00AE68C1" w:rsidRDefault="00B71C0F" w:rsidP="00B71C0F">
      <w:pPr>
        <w:rPr>
          <w:color w:val="000000"/>
        </w:rPr>
      </w:pPr>
      <w:r w:rsidRPr="00AE68C1">
        <w:rPr>
          <w:color w:val="000000"/>
        </w:rPr>
        <w:t>Since our inception, we have focused and we continue to focus significant resources on our research and development activities, including developing our vector platform and analytical testing methods, conducting preclinical studies, developing manufacturing processes, and conducting clinical trials. Research and development costs are expensed as incurred and consist primarily of the following:</w:t>
      </w:r>
    </w:p>
    <w:p w14:paraId="763545EF"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personnel costs in our research</w:t>
      </w:r>
      <w:r>
        <w:rPr>
          <w:color w:val="000000"/>
          <w:lang w:eastAsia="zh-CN"/>
        </w:rPr>
        <w:t xml:space="preserve"> and</w:t>
      </w:r>
      <w:r w:rsidRPr="00AE68C1">
        <w:rPr>
          <w:color w:val="000000"/>
          <w:lang w:eastAsia="zh-CN"/>
        </w:rPr>
        <w:t xml:space="preserve"> development functions, includ</w:t>
      </w:r>
      <w:r>
        <w:rPr>
          <w:color w:val="000000"/>
          <w:lang w:eastAsia="zh-CN"/>
        </w:rPr>
        <w:t>ing</w:t>
      </w:r>
      <w:r w:rsidRPr="00AE68C1">
        <w:rPr>
          <w:color w:val="000000"/>
          <w:lang w:eastAsia="zh-CN"/>
        </w:rPr>
        <w:t xml:space="preserve"> salaries, benefits and stock-based compensation;</w:t>
      </w:r>
    </w:p>
    <w:p w14:paraId="74C8EAF1"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 xml:space="preserve">expenses incurred under agreements with CROs, </w:t>
      </w:r>
      <w:r>
        <w:rPr>
          <w:color w:val="000000"/>
          <w:lang w:eastAsia="zh-CN"/>
        </w:rPr>
        <w:t>for the</w:t>
      </w:r>
      <w:r w:rsidRPr="00AE68C1">
        <w:rPr>
          <w:color w:val="000000"/>
          <w:lang w:eastAsia="zh-CN"/>
        </w:rPr>
        <w:t xml:space="preserve"> conduct </w:t>
      </w:r>
      <w:r>
        <w:rPr>
          <w:color w:val="000000"/>
          <w:lang w:eastAsia="zh-CN"/>
        </w:rPr>
        <w:t xml:space="preserve">of </w:t>
      </w:r>
      <w:r w:rsidRPr="00AE68C1">
        <w:rPr>
          <w:color w:val="000000"/>
          <w:lang w:eastAsia="zh-CN"/>
        </w:rPr>
        <w:t>clinical trials;</w:t>
      </w:r>
    </w:p>
    <w:p w14:paraId="5AEA08F9"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expenses incurred under agreements with contract manufacturing organizations (CMOs) that manufacture product used in clinical trials;</w:t>
      </w:r>
    </w:p>
    <w:p w14:paraId="5F67282C"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expenses incurred in procuring materials and for analytical and release testing services required to produce vaccine candidates used in clinical trials;</w:t>
      </w:r>
    </w:p>
    <w:p w14:paraId="137D1985"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process development expenses to improve the efficiency and yield of the bulk vaccine;</w:t>
      </w:r>
    </w:p>
    <w:p w14:paraId="4148CE9F"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laboratory supplies, vendor expenses and other third-party contract expenses related to preclinical research activities;</w:t>
      </w:r>
    </w:p>
    <w:p w14:paraId="212B724B"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technology license fees;</w:t>
      </w:r>
    </w:p>
    <w:p w14:paraId="1ACC7A7E" w14:textId="77777777" w:rsidR="00B71C0F" w:rsidRPr="00AE68C1" w:rsidRDefault="00B71C0F" w:rsidP="00B71C0F">
      <w:pPr>
        <w:ind w:left="360" w:hanging="360"/>
        <w:rPr>
          <w:color w:val="000000"/>
          <w:lang w:eastAsia="zh-CN"/>
        </w:rPr>
      </w:pPr>
      <w:r w:rsidRPr="00AE68C1">
        <w:rPr>
          <w:color w:val="000000"/>
          <w:lang w:eastAsia="zh-CN"/>
        </w:rPr>
        <w:t>•</w:t>
      </w:r>
      <w:r w:rsidRPr="00AE68C1">
        <w:rPr>
          <w:color w:val="000000"/>
          <w:lang w:eastAsia="zh-CN"/>
        </w:rPr>
        <w:tab/>
        <w:t>consultant expenses for services supporting our clinical, regulatory and manufacturing activities; and</w:t>
      </w:r>
    </w:p>
    <w:p w14:paraId="3184060C" w14:textId="77777777" w:rsidR="00B71C0F" w:rsidRPr="00AE68C1" w:rsidRDefault="00B71C0F" w:rsidP="00B71C0F">
      <w:pPr>
        <w:ind w:left="360" w:hanging="360"/>
        <w:rPr>
          <w:color w:val="000000"/>
          <w:lang w:eastAsia="zh-CN"/>
        </w:rPr>
      </w:pPr>
      <w:r w:rsidRPr="00AE68C1">
        <w:rPr>
          <w:color w:val="000000"/>
          <w:lang w:eastAsia="zh-CN"/>
        </w:rPr>
        <w:lastRenderedPageBreak/>
        <w:t>•</w:t>
      </w:r>
      <w:r w:rsidRPr="00AE68C1">
        <w:rPr>
          <w:color w:val="000000"/>
          <w:lang w:eastAsia="zh-CN"/>
        </w:rPr>
        <w:tab/>
        <w:t>facilities, depreciation and other general overhead expenses.</w:t>
      </w:r>
    </w:p>
    <w:p w14:paraId="30E8BEC5" w14:textId="77777777" w:rsidR="00B71C0F" w:rsidRPr="00AE68C1" w:rsidRDefault="00B71C0F" w:rsidP="00B71C0F">
      <w:pPr>
        <w:rPr>
          <w:color w:val="000000"/>
          <w:lang w:eastAsia="zh-CN"/>
        </w:rPr>
      </w:pPr>
    </w:p>
    <w:p w14:paraId="6BEB5F2F" w14:textId="77777777" w:rsidR="00B71C0F" w:rsidRPr="00AE68C1" w:rsidRDefault="00B71C0F" w:rsidP="00B71C0F">
      <w:pPr>
        <w:rPr>
          <w:color w:val="000000"/>
        </w:rPr>
      </w:pPr>
      <w:r w:rsidRPr="00AE68C1">
        <w:rPr>
          <w:color w:val="000000"/>
        </w:rPr>
        <w:t xml:space="preserve">We expect our research and development expenditures to increase as we advance our existing and future product candidates into and through clinical trials and pursue regulatory approval, especially with regard to the </w:t>
      </w:r>
      <w:r>
        <w:rPr>
          <w:color w:val="000000"/>
        </w:rPr>
        <w:t xml:space="preserve">ongoing and planned </w:t>
      </w:r>
      <w:r w:rsidRPr="00AE68C1">
        <w:rPr>
          <w:color w:val="000000"/>
        </w:rPr>
        <w:t>GEO-CM04S1</w:t>
      </w:r>
      <w:r>
        <w:rPr>
          <w:color w:val="000000"/>
        </w:rPr>
        <w:t>, Gedeptin and GEO-MVA</w:t>
      </w:r>
      <w:r w:rsidRPr="00AE68C1">
        <w:rPr>
          <w:color w:val="000000"/>
        </w:rPr>
        <w:t xml:space="preserve"> clinical programs. We do not provide forward-looking estimates of costs and time to complete our research programs due to the many uncertainties associated with biotechnology research and development. Due to these uncertainties, our future expenditures are likely to be highly volatile in future periods depending on the outcomes of the trials and studies. As we obtain data from preclinical studies and clinical trials, we may elect to discontinue or delay certain development programs to focus our resources on more promising product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 including the length of time required to enroll suitable patient subjects, the number of patients that ultimately participate in the clinical trial, the duration of patient follow-up, and the number of clinical sites included in the clinical trials.</w:t>
      </w:r>
    </w:p>
    <w:p w14:paraId="4D80668D" w14:textId="77777777" w:rsidR="00F2707B" w:rsidRPr="00E55FA4" w:rsidRDefault="00F2707B" w:rsidP="00B71C0F"/>
    <w:p w14:paraId="51EB00D2" w14:textId="77777777" w:rsidR="00F2707B" w:rsidRPr="00E55FA4" w:rsidRDefault="00F2707B" w:rsidP="00B71C0F">
      <w:pPr>
        <w:rPr>
          <w:i/>
          <w:iCs/>
        </w:rPr>
      </w:pPr>
      <w:r w:rsidRPr="00E55FA4">
        <w:rPr>
          <w:i/>
          <w:iCs/>
        </w:rPr>
        <w:t>General and administrative expenses</w:t>
      </w:r>
    </w:p>
    <w:p w14:paraId="3F8B4AB6" w14:textId="77777777" w:rsidR="00F2707B" w:rsidRPr="00E55FA4" w:rsidRDefault="00F2707B" w:rsidP="00B71C0F"/>
    <w:p w14:paraId="6F2908DB" w14:textId="77777777" w:rsidR="00B71C0F" w:rsidRPr="00AE68C1" w:rsidRDefault="00B71C0F" w:rsidP="00B71C0F">
      <w:pPr>
        <w:rPr>
          <w:color w:val="000000"/>
        </w:rPr>
      </w:pPr>
      <w:r w:rsidRPr="00AE68C1">
        <w:rPr>
          <w:color w:val="000000"/>
        </w:rPr>
        <w:t xml:space="preserve">Our general and administrative expenses consist primarily of personnel costs in our executive, </w:t>
      </w:r>
      <w:r>
        <w:rPr>
          <w:color w:val="000000"/>
        </w:rPr>
        <w:t xml:space="preserve">finance, </w:t>
      </w:r>
      <w:r w:rsidRPr="00AE68C1">
        <w:rPr>
          <w:color w:val="000000"/>
        </w:rPr>
        <w:t xml:space="preserve">business development and </w:t>
      </w:r>
      <w:r>
        <w:rPr>
          <w:color w:val="000000"/>
        </w:rPr>
        <w:t xml:space="preserve">other </w:t>
      </w:r>
      <w:r w:rsidRPr="00AE68C1">
        <w:rPr>
          <w:color w:val="000000"/>
        </w:rPr>
        <w:t xml:space="preserve">administrative functions, including stock-based compensation. Other general and administrative expenses include consulting fees, professional service fees for accounting and legal services, lease expenses related to our offices, insurance premiums, intellectual property costs incurred in connection with filing and prosecuting patent applications, depreciation and other costs. We expect our general and administrative expenses </w:t>
      </w:r>
      <w:r>
        <w:rPr>
          <w:color w:val="000000"/>
        </w:rPr>
        <w:t>will</w:t>
      </w:r>
      <w:r w:rsidRPr="00AE68C1">
        <w:rPr>
          <w:color w:val="000000"/>
        </w:rPr>
        <w:t xml:space="preserve"> increase in the future as we support expanded research and development activities, prepare for potential commercialization of our current and future product candidates, maintain compliance with requirements of Nasdaq and the </w:t>
      </w:r>
      <w:r>
        <w:rPr>
          <w:color w:val="000000"/>
        </w:rPr>
        <w:t>SEC</w:t>
      </w:r>
      <w:r w:rsidRPr="00AE68C1">
        <w:rPr>
          <w:color w:val="000000"/>
        </w:rPr>
        <w:t>, and other general corporate activities.</w:t>
      </w:r>
    </w:p>
    <w:p w14:paraId="5C3E729B" w14:textId="77777777" w:rsidR="00F2707B" w:rsidRDefault="00F2707B" w:rsidP="00B71C0F"/>
    <w:p w14:paraId="62BF9A2B" w14:textId="3CB919A1" w:rsidR="00F2707B" w:rsidRPr="0009354D" w:rsidRDefault="00F2707B" w:rsidP="00B71C0F">
      <w:pPr>
        <w:rPr>
          <w:rFonts w:eastAsia="????"/>
          <w:b/>
        </w:rPr>
      </w:pPr>
      <w:r w:rsidRPr="0009354D">
        <w:rPr>
          <w:rFonts w:eastAsia="????"/>
          <w:b/>
        </w:rPr>
        <w:t>Critical Accounting Policies and Estimates</w:t>
      </w:r>
    </w:p>
    <w:p w14:paraId="6B8A591B" w14:textId="77777777" w:rsidR="00F2707B" w:rsidRPr="0009354D" w:rsidRDefault="00F2707B" w:rsidP="00B71C0F"/>
    <w:p w14:paraId="768E2E74" w14:textId="77777777" w:rsidR="00B71C0F" w:rsidRPr="00DE33AD" w:rsidRDefault="00B71C0F" w:rsidP="00B71C0F">
      <w:r w:rsidRPr="00DE33AD">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them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71478E40" w14:textId="77777777" w:rsidR="00F2707B" w:rsidRPr="0009354D" w:rsidRDefault="00F2707B" w:rsidP="00B71C0F"/>
    <w:p w14:paraId="61291998" w14:textId="6A61E3E5" w:rsidR="00F2707B" w:rsidRPr="0009354D" w:rsidRDefault="00F2707B" w:rsidP="00B71C0F">
      <w:r w:rsidRPr="0009354D">
        <w:t xml:space="preserve">For a description of critical accounting policies that </w:t>
      </w:r>
      <w:r>
        <w:t>require</w:t>
      </w:r>
      <w:r w:rsidRPr="0009354D">
        <w:t xml:space="preserve"> significant judgments and estimates </w:t>
      </w:r>
      <w:r>
        <w:t>during the</w:t>
      </w:r>
      <w:r w:rsidRPr="0009354D">
        <w:t xml:space="preserve"> preparation of our financial statements, refer </w:t>
      </w:r>
      <w:r>
        <w:t>to the</w:t>
      </w:r>
      <w:r w:rsidRPr="0009354D">
        <w:t xml:space="preserve"> Management’s Discussion and Analysis of Financial Condition and Results of Operations in our Annual Report on Form 10-K for the year ended December 31, 202</w:t>
      </w:r>
      <w:r w:rsidR="00B71C0F">
        <w:t>4</w:t>
      </w:r>
      <w:r w:rsidRPr="0009354D">
        <w:t>. There have been no significant changes to our critical accounting policies from those disclosed in our 202</w:t>
      </w:r>
      <w:r w:rsidR="00B71C0F">
        <w:t>4</w:t>
      </w:r>
      <w:r w:rsidRPr="0009354D">
        <w:t xml:space="preserve"> Annual Report.</w:t>
      </w:r>
    </w:p>
    <w:p w14:paraId="00C7CF3D" w14:textId="77777777" w:rsidR="00F2707B" w:rsidRPr="0009354D" w:rsidRDefault="00F2707B" w:rsidP="00B71C0F">
      <w:pPr>
        <w:rPr>
          <w:rFonts w:eastAsia="????"/>
          <w:b/>
        </w:rPr>
      </w:pPr>
    </w:p>
    <w:p w14:paraId="0C6603AC" w14:textId="4539AC0E" w:rsidR="00F2707B" w:rsidRPr="0009354D" w:rsidRDefault="00F2707B" w:rsidP="00B71C0F">
      <w:pPr>
        <w:rPr>
          <w:rFonts w:eastAsia="????"/>
          <w:b/>
        </w:rPr>
      </w:pPr>
      <w:r w:rsidRPr="0009354D">
        <w:rPr>
          <w:rFonts w:eastAsia="????"/>
          <w:bCs/>
          <w:i/>
          <w:iCs/>
        </w:rPr>
        <w:t>Recent Accounting Pronouncements</w:t>
      </w:r>
      <w:r w:rsidRPr="0009354D">
        <w:rPr>
          <w:rFonts w:eastAsia="????"/>
          <w:b/>
        </w:rPr>
        <w:t xml:space="preserve"> – </w:t>
      </w:r>
      <w:r w:rsidRPr="0009354D">
        <w:rPr>
          <w:rFonts w:eastAsia="????"/>
        </w:rPr>
        <w:t>Information regarding recent accounting pronouncements is contained in Note </w:t>
      </w:r>
      <w:r>
        <w:rPr>
          <w:rFonts w:eastAsia="????"/>
        </w:rPr>
        <w:t>2</w:t>
      </w:r>
      <w:r w:rsidRPr="0009354D">
        <w:rPr>
          <w:rFonts w:eastAsia="????"/>
        </w:rPr>
        <w:t xml:space="preserve"> to the financial statements included in this Quarterly Report.</w:t>
      </w:r>
    </w:p>
    <w:p w14:paraId="40A78CEA" w14:textId="77777777" w:rsidR="00F2707B" w:rsidRDefault="00F2707B" w:rsidP="00B71C0F"/>
    <w:p w14:paraId="76D5D185" w14:textId="77777777" w:rsidR="00F2707B" w:rsidRPr="001C37F3" w:rsidRDefault="00F2707B" w:rsidP="00F2707B">
      <w:pPr>
        <w:rPr>
          <w:b/>
          <w:iCs/>
        </w:rPr>
      </w:pPr>
      <w:r w:rsidRPr="001C37F3">
        <w:rPr>
          <w:b/>
          <w:iCs/>
        </w:rPr>
        <w:t>Off-Balance Sheet Arrangements</w:t>
      </w:r>
    </w:p>
    <w:p w14:paraId="03D3E20B" w14:textId="77777777" w:rsidR="00F2707B" w:rsidRPr="00640BA0" w:rsidRDefault="00F2707B" w:rsidP="00F2707B"/>
    <w:p w14:paraId="729363E2" w14:textId="77777777" w:rsidR="00F2707B" w:rsidRDefault="00F2707B" w:rsidP="00F2707B">
      <w:pPr>
        <w:rPr>
          <w:color w:val="000000"/>
        </w:rPr>
      </w:pPr>
      <w:r w:rsidRPr="00640BA0">
        <w:rPr>
          <w:color w:val="000000"/>
        </w:rPr>
        <w:t>We have no off-balance sheet arrangements that are likely or reasonably likely to have a material effect on our financial condition or results of operations</w:t>
      </w:r>
      <w:r>
        <w:rPr>
          <w:color w:val="000000"/>
        </w:rPr>
        <w:t>, other than the operating lease for our office and laboratory space.</w:t>
      </w:r>
    </w:p>
    <w:p w14:paraId="5216869F" w14:textId="77777777" w:rsidR="00FC0E85" w:rsidRDefault="00FC0E85" w:rsidP="00177E79"/>
    <w:p w14:paraId="3BF4E9CD" w14:textId="77777777" w:rsidR="00902E0A" w:rsidRDefault="00902E0A">
      <w:pPr>
        <w:rPr>
          <w:rFonts w:eastAsia="????"/>
          <w:b/>
        </w:rPr>
      </w:pPr>
      <w:r>
        <w:rPr>
          <w:rFonts w:eastAsia="????"/>
          <w:b/>
        </w:rPr>
        <w:br w:type="page"/>
      </w:r>
    </w:p>
    <w:p w14:paraId="1FE83587" w14:textId="5C8A2D33" w:rsidR="00177E79" w:rsidRPr="0009354D" w:rsidRDefault="00177E79" w:rsidP="00177E79">
      <w:pPr>
        <w:rPr>
          <w:rFonts w:eastAsia="????"/>
          <w:b/>
        </w:rPr>
      </w:pPr>
      <w:r w:rsidRPr="0009354D">
        <w:rPr>
          <w:rFonts w:eastAsia="????"/>
          <w:b/>
        </w:rPr>
        <w:lastRenderedPageBreak/>
        <w:t>Results of Operations</w:t>
      </w:r>
    </w:p>
    <w:p w14:paraId="2A5A41A7" w14:textId="77777777" w:rsidR="00177E79" w:rsidRPr="0009354D" w:rsidRDefault="00177E79" w:rsidP="00177E79">
      <w:pPr>
        <w:rPr>
          <w:i/>
          <w:iCs/>
        </w:rPr>
      </w:pPr>
    </w:p>
    <w:p w14:paraId="5523F180" w14:textId="264EB3EE" w:rsidR="001F2E8C" w:rsidRDefault="00177E79" w:rsidP="00177E79">
      <w:pPr>
        <w:tabs>
          <w:tab w:val="left" w:pos="1080"/>
          <w:tab w:val="left" w:pos="1260"/>
          <w:tab w:val="left" w:pos="2340"/>
          <w:tab w:val="right" w:pos="9180"/>
        </w:tabs>
        <w:ind w:right="36"/>
        <w:rPr>
          <w:bCs/>
        </w:rPr>
      </w:pPr>
      <w:bookmarkStart w:id="23" w:name="_Hlk77172497"/>
      <w:r w:rsidRPr="0009354D">
        <w:rPr>
          <w:bCs/>
        </w:rPr>
        <w:t>The following table summarize</w:t>
      </w:r>
      <w:r w:rsidR="001F2E8C">
        <w:rPr>
          <w:bCs/>
        </w:rPr>
        <w:t>s</w:t>
      </w:r>
      <w:r w:rsidRPr="0009354D">
        <w:rPr>
          <w:bCs/>
        </w:rPr>
        <w:t xml:space="preserve"> our results of operations for the three-month periods ended </w:t>
      </w:r>
      <w:r w:rsidR="00B71C0F">
        <w:rPr>
          <w:bCs/>
        </w:rPr>
        <w:t>March</w:t>
      </w:r>
      <w:r w:rsidRPr="0009354D">
        <w:rPr>
          <w:bCs/>
        </w:rPr>
        <w:t xml:space="preserve"> 3</w:t>
      </w:r>
      <w:r w:rsidR="00B71C0F">
        <w:rPr>
          <w:bCs/>
        </w:rPr>
        <w:t>1</w:t>
      </w:r>
      <w:r w:rsidRPr="0009354D">
        <w:rPr>
          <w:bCs/>
        </w:rPr>
        <w:t>, 202</w:t>
      </w:r>
      <w:r w:rsidR="00B71C0F">
        <w:rPr>
          <w:bCs/>
        </w:rPr>
        <w:t>5</w:t>
      </w:r>
      <w:r w:rsidRPr="0009354D">
        <w:rPr>
          <w:bCs/>
        </w:rPr>
        <w:t xml:space="preserve"> and 20</w:t>
      </w:r>
      <w:r w:rsidR="001F2E8C">
        <w:rPr>
          <w:bCs/>
        </w:rPr>
        <w:t>2</w:t>
      </w:r>
      <w:r w:rsidR="00B71C0F">
        <w:rPr>
          <w:bCs/>
        </w:rPr>
        <w:t>4</w:t>
      </w:r>
      <w:r w:rsidRPr="0009354D">
        <w:rPr>
          <w:bCs/>
        </w:rPr>
        <w:t>:</w:t>
      </w:r>
      <w:bookmarkEnd w:id="23"/>
    </w:p>
    <w:p w14:paraId="72A2DC88" w14:textId="77777777" w:rsidR="003304B6" w:rsidRDefault="003304B6" w:rsidP="003304B6">
      <w:pPr>
        <w:rPr>
          <w:i/>
          <w:iCs/>
        </w:rPr>
      </w:pPr>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3304B6" w:rsidRPr="0009354D" w14:paraId="32C5F20D" w14:textId="77777777" w:rsidTr="00C4041B">
        <w:tc>
          <w:tcPr>
            <w:tcW w:w="378" w:type="dxa"/>
          </w:tcPr>
          <w:p w14:paraId="6CF34F2E" w14:textId="77777777" w:rsidR="003304B6" w:rsidRPr="0009354D" w:rsidRDefault="003304B6" w:rsidP="00C4041B">
            <w:pPr>
              <w:ind w:right="-360"/>
            </w:pPr>
            <w:bookmarkStart w:id="24" w:name="_Hlk77171369"/>
          </w:p>
        </w:tc>
        <w:tc>
          <w:tcPr>
            <w:tcW w:w="450" w:type="dxa"/>
          </w:tcPr>
          <w:p w14:paraId="4D3188A1" w14:textId="77777777" w:rsidR="003304B6" w:rsidRPr="0009354D" w:rsidRDefault="003304B6" w:rsidP="00C4041B">
            <w:pPr>
              <w:ind w:right="-360"/>
            </w:pPr>
          </w:p>
        </w:tc>
        <w:tc>
          <w:tcPr>
            <w:tcW w:w="450" w:type="dxa"/>
          </w:tcPr>
          <w:p w14:paraId="00535824" w14:textId="77777777" w:rsidR="003304B6" w:rsidRPr="0009354D" w:rsidRDefault="003304B6" w:rsidP="00C4041B">
            <w:pPr>
              <w:ind w:right="-360"/>
            </w:pPr>
          </w:p>
        </w:tc>
        <w:tc>
          <w:tcPr>
            <w:tcW w:w="2160" w:type="dxa"/>
          </w:tcPr>
          <w:p w14:paraId="186913C7" w14:textId="77777777" w:rsidR="003304B6" w:rsidRPr="0009354D" w:rsidRDefault="003304B6" w:rsidP="00C4041B">
            <w:pPr>
              <w:tabs>
                <w:tab w:val="right" w:pos="9180"/>
              </w:tabs>
              <w:ind w:right="-360"/>
            </w:pPr>
          </w:p>
        </w:tc>
        <w:tc>
          <w:tcPr>
            <w:tcW w:w="1152" w:type="dxa"/>
          </w:tcPr>
          <w:p w14:paraId="122883B4" w14:textId="77777777" w:rsidR="003304B6" w:rsidRPr="0009354D" w:rsidRDefault="003304B6" w:rsidP="00C4041B">
            <w:pPr>
              <w:tabs>
                <w:tab w:val="right" w:pos="9180"/>
              </w:tabs>
              <w:ind w:right="-46"/>
              <w:jc w:val="center"/>
            </w:pPr>
          </w:p>
        </w:tc>
        <w:tc>
          <w:tcPr>
            <w:tcW w:w="3168" w:type="dxa"/>
            <w:gridSpan w:val="2"/>
            <w:tcBorders>
              <w:bottom w:val="single" w:sz="4" w:space="0" w:color="auto"/>
            </w:tcBorders>
          </w:tcPr>
          <w:p w14:paraId="37513A08" w14:textId="6CB04D1A" w:rsidR="003304B6" w:rsidRPr="0009354D" w:rsidRDefault="003304B6" w:rsidP="00C4041B">
            <w:pPr>
              <w:tabs>
                <w:tab w:val="right" w:pos="9180"/>
              </w:tabs>
              <w:ind w:right="-18"/>
              <w:jc w:val="center"/>
            </w:pPr>
            <w:r w:rsidRPr="0009354D">
              <w:t xml:space="preserve">Three Months Ended </w:t>
            </w:r>
            <w:r w:rsidR="00B71C0F">
              <w:t>March</w:t>
            </w:r>
            <w:r w:rsidRPr="0009354D">
              <w:t xml:space="preserve"> 3</w:t>
            </w:r>
            <w:r w:rsidR="00B71C0F">
              <w:t>1</w:t>
            </w:r>
            <w:r w:rsidRPr="0009354D">
              <w:t>,</w:t>
            </w:r>
          </w:p>
        </w:tc>
        <w:tc>
          <w:tcPr>
            <w:tcW w:w="1530" w:type="dxa"/>
          </w:tcPr>
          <w:p w14:paraId="422C264B" w14:textId="77777777" w:rsidR="003304B6" w:rsidRPr="0009354D" w:rsidRDefault="003304B6" w:rsidP="00C4041B">
            <w:pPr>
              <w:tabs>
                <w:tab w:val="right" w:pos="9180"/>
              </w:tabs>
              <w:ind w:right="-18"/>
              <w:jc w:val="center"/>
            </w:pPr>
          </w:p>
        </w:tc>
      </w:tr>
      <w:bookmarkEnd w:id="24"/>
      <w:tr w:rsidR="003304B6" w:rsidRPr="0009354D" w14:paraId="2D6D1D4C" w14:textId="77777777" w:rsidTr="00C4041B">
        <w:tc>
          <w:tcPr>
            <w:tcW w:w="378" w:type="dxa"/>
          </w:tcPr>
          <w:p w14:paraId="6EE3984A" w14:textId="77777777" w:rsidR="003304B6" w:rsidRPr="0009354D" w:rsidRDefault="003304B6" w:rsidP="00C4041B">
            <w:pPr>
              <w:ind w:right="-360"/>
            </w:pPr>
          </w:p>
        </w:tc>
        <w:tc>
          <w:tcPr>
            <w:tcW w:w="450" w:type="dxa"/>
          </w:tcPr>
          <w:p w14:paraId="2C56383C" w14:textId="77777777" w:rsidR="003304B6" w:rsidRPr="0009354D" w:rsidRDefault="003304B6" w:rsidP="00C4041B">
            <w:pPr>
              <w:ind w:right="-360"/>
            </w:pPr>
          </w:p>
        </w:tc>
        <w:tc>
          <w:tcPr>
            <w:tcW w:w="450" w:type="dxa"/>
          </w:tcPr>
          <w:p w14:paraId="02B81843" w14:textId="77777777" w:rsidR="003304B6" w:rsidRPr="0009354D" w:rsidRDefault="003304B6" w:rsidP="00C4041B">
            <w:pPr>
              <w:ind w:right="-360"/>
            </w:pPr>
          </w:p>
        </w:tc>
        <w:tc>
          <w:tcPr>
            <w:tcW w:w="2160" w:type="dxa"/>
          </w:tcPr>
          <w:p w14:paraId="6B877A3C" w14:textId="77777777" w:rsidR="003304B6" w:rsidRPr="0009354D" w:rsidRDefault="003304B6" w:rsidP="00C4041B">
            <w:pPr>
              <w:tabs>
                <w:tab w:val="right" w:pos="9180"/>
              </w:tabs>
              <w:ind w:right="-360"/>
            </w:pPr>
          </w:p>
        </w:tc>
        <w:tc>
          <w:tcPr>
            <w:tcW w:w="1152" w:type="dxa"/>
          </w:tcPr>
          <w:p w14:paraId="47693CF8" w14:textId="77777777" w:rsidR="003304B6" w:rsidRPr="0009354D" w:rsidRDefault="003304B6" w:rsidP="00C4041B">
            <w:pPr>
              <w:tabs>
                <w:tab w:val="right" w:pos="9180"/>
              </w:tabs>
              <w:ind w:right="-46"/>
              <w:jc w:val="center"/>
            </w:pPr>
          </w:p>
        </w:tc>
        <w:tc>
          <w:tcPr>
            <w:tcW w:w="1530" w:type="dxa"/>
            <w:tcBorders>
              <w:bottom w:val="single" w:sz="4" w:space="0" w:color="auto"/>
            </w:tcBorders>
          </w:tcPr>
          <w:p w14:paraId="2B54D986" w14:textId="3BE73DEC" w:rsidR="003304B6" w:rsidRPr="0009354D" w:rsidRDefault="003304B6" w:rsidP="00C4041B">
            <w:pPr>
              <w:tabs>
                <w:tab w:val="right" w:pos="9180"/>
              </w:tabs>
              <w:ind w:right="-46"/>
              <w:jc w:val="center"/>
            </w:pPr>
            <w:r w:rsidRPr="0009354D">
              <w:t>202</w:t>
            </w:r>
            <w:r w:rsidR="00B71C0F">
              <w:t>5</w:t>
            </w:r>
          </w:p>
        </w:tc>
        <w:tc>
          <w:tcPr>
            <w:tcW w:w="1638" w:type="dxa"/>
            <w:tcBorders>
              <w:bottom w:val="single" w:sz="4" w:space="0" w:color="auto"/>
            </w:tcBorders>
          </w:tcPr>
          <w:p w14:paraId="7129C4F1" w14:textId="6358C5D0" w:rsidR="003304B6" w:rsidRPr="0009354D" w:rsidRDefault="003304B6" w:rsidP="00C4041B">
            <w:pPr>
              <w:tabs>
                <w:tab w:val="right" w:pos="9180"/>
              </w:tabs>
              <w:ind w:right="-18"/>
              <w:jc w:val="center"/>
            </w:pPr>
            <w:r w:rsidRPr="0009354D">
              <w:t>202</w:t>
            </w:r>
            <w:r w:rsidR="00B71C0F">
              <w:t>4</w:t>
            </w:r>
          </w:p>
        </w:tc>
        <w:tc>
          <w:tcPr>
            <w:tcW w:w="1530" w:type="dxa"/>
            <w:tcBorders>
              <w:bottom w:val="single" w:sz="4" w:space="0" w:color="auto"/>
            </w:tcBorders>
          </w:tcPr>
          <w:p w14:paraId="6A753487" w14:textId="77777777" w:rsidR="003304B6" w:rsidRPr="0009354D" w:rsidRDefault="003304B6" w:rsidP="00C4041B">
            <w:pPr>
              <w:tabs>
                <w:tab w:val="right" w:pos="9180"/>
              </w:tabs>
              <w:ind w:right="-18"/>
              <w:jc w:val="center"/>
            </w:pPr>
            <w:r w:rsidRPr="0009354D">
              <w:t>Change</w:t>
            </w:r>
          </w:p>
        </w:tc>
      </w:tr>
      <w:tr w:rsidR="003304B6" w:rsidRPr="0009354D" w14:paraId="347DC162" w14:textId="77777777" w:rsidTr="00C4041B">
        <w:tc>
          <w:tcPr>
            <w:tcW w:w="3438" w:type="dxa"/>
            <w:gridSpan w:val="4"/>
          </w:tcPr>
          <w:p w14:paraId="4E09C8EC" w14:textId="4BFEAFA0" w:rsidR="003304B6" w:rsidRPr="0009354D" w:rsidRDefault="003304B6" w:rsidP="00C4041B">
            <w:pPr>
              <w:tabs>
                <w:tab w:val="right" w:pos="9180"/>
              </w:tabs>
              <w:ind w:right="-360"/>
            </w:pPr>
            <w:r>
              <w:t>Revenue from government contract</w:t>
            </w:r>
          </w:p>
        </w:tc>
        <w:tc>
          <w:tcPr>
            <w:tcW w:w="1152" w:type="dxa"/>
          </w:tcPr>
          <w:p w14:paraId="686DD72E" w14:textId="77777777" w:rsidR="003304B6" w:rsidRPr="0009354D" w:rsidRDefault="003304B6" w:rsidP="00C4041B">
            <w:pPr>
              <w:tabs>
                <w:tab w:val="decimal" w:pos="1062"/>
                <w:tab w:val="right" w:pos="9180"/>
              </w:tabs>
              <w:ind w:right="-46"/>
            </w:pPr>
          </w:p>
        </w:tc>
        <w:tc>
          <w:tcPr>
            <w:tcW w:w="1530" w:type="dxa"/>
            <w:tcBorders>
              <w:top w:val="single" w:sz="4" w:space="0" w:color="auto"/>
            </w:tcBorders>
          </w:tcPr>
          <w:p w14:paraId="58E4EA8F" w14:textId="6EFE6BC4" w:rsidR="003304B6" w:rsidRPr="0009354D" w:rsidRDefault="003304B6" w:rsidP="00C4041B">
            <w:pPr>
              <w:tabs>
                <w:tab w:val="decimal" w:pos="1062"/>
                <w:tab w:val="right" w:pos="9180"/>
              </w:tabs>
              <w:ind w:right="-46"/>
            </w:pPr>
            <w:r w:rsidRPr="0009354D">
              <w:t>$</w:t>
            </w:r>
            <w:r w:rsidRPr="0009354D">
              <w:tab/>
            </w:r>
            <w:r w:rsidR="00B71C0F">
              <w:t>1,636,863</w:t>
            </w:r>
          </w:p>
        </w:tc>
        <w:tc>
          <w:tcPr>
            <w:tcW w:w="1638" w:type="dxa"/>
          </w:tcPr>
          <w:p w14:paraId="61074A89" w14:textId="77777777" w:rsidR="003304B6" w:rsidRPr="0009354D" w:rsidRDefault="003304B6" w:rsidP="00C4041B">
            <w:pPr>
              <w:tabs>
                <w:tab w:val="decimal" w:pos="1062"/>
                <w:tab w:val="right" w:pos="9180"/>
              </w:tabs>
              <w:ind w:right="-18"/>
            </w:pPr>
            <w:r w:rsidRPr="0009354D">
              <w:t>$</w:t>
            </w:r>
            <w:r w:rsidRPr="0009354D">
              <w:tab/>
            </w:r>
            <w:r>
              <w:t>-</w:t>
            </w:r>
          </w:p>
        </w:tc>
        <w:tc>
          <w:tcPr>
            <w:tcW w:w="1530" w:type="dxa"/>
          </w:tcPr>
          <w:p w14:paraId="6FC35AC2" w14:textId="0610DF61" w:rsidR="003304B6" w:rsidRPr="0009354D" w:rsidRDefault="003304B6" w:rsidP="00C4041B">
            <w:pPr>
              <w:tabs>
                <w:tab w:val="decimal" w:pos="1152"/>
                <w:tab w:val="right" w:pos="9180"/>
              </w:tabs>
              <w:ind w:right="-18"/>
            </w:pPr>
            <w:r w:rsidRPr="0009354D">
              <w:t>$</w:t>
            </w:r>
            <w:r w:rsidRPr="0009354D">
              <w:tab/>
            </w:r>
            <w:r w:rsidR="00B71C0F">
              <w:t>1,636,863</w:t>
            </w:r>
          </w:p>
        </w:tc>
      </w:tr>
      <w:tr w:rsidR="003304B6" w:rsidRPr="0009354D" w14:paraId="7323D958" w14:textId="77777777" w:rsidTr="00C4041B">
        <w:tc>
          <w:tcPr>
            <w:tcW w:w="3438" w:type="dxa"/>
            <w:gridSpan w:val="4"/>
          </w:tcPr>
          <w:p w14:paraId="57709EA6" w14:textId="77777777" w:rsidR="003304B6" w:rsidRPr="0009354D" w:rsidRDefault="003304B6" w:rsidP="00C4041B">
            <w:pPr>
              <w:tabs>
                <w:tab w:val="right" w:pos="9180"/>
              </w:tabs>
              <w:ind w:right="-360"/>
            </w:pPr>
            <w:r w:rsidRPr="0009354D">
              <w:t>Operating expenses:</w:t>
            </w:r>
          </w:p>
        </w:tc>
        <w:tc>
          <w:tcPr>
            <w:tcW w:w="1152" w:type="dxa"/>
          </w:tcPr>
          <w:p w14:paraId="16831C2D" w14:textId="77777777" w:rsidR="003304B6" w:rsidRPr="0009354D" w:rsidRDefault="003304B6" w:rsidP="00C4041B">
            <w:pPr>
              <w:tabs>
                <w:tab w:val="right" w:pos="9180"/>
              </w:tabs>
              <w:ind w:right="-46"/>
            </w:pPr>
          </w:p>
        </w:tc>
        <w:tc>
          <w:tcPr>
            <w:tcW w:w="1530" w:type="dxa"/>
          </w:tcPr>
          <w:p w14:paraId="3EDCA3F8" w14:textId="77777777" w:rsidR="003304B6" w:rsidRPr="0009354D" w:rsidRDefault="003304B6" w:rsidP="00C4041B">
            <w:pPr>
              <w:tabs>
                <w:tab w:val="right" w:pos="9180"/>
              </w:tabs>
              <w:ind w:right="-46"/>
            </w:pPr>
          </w:p>
        </w:tc>
        <w:tc>
          <w:tcPr>
            <w:tcW w:w="1638" w:type="dxa"/>
          </w:tcPr>
          <w:p w14:paraId="318B2EB8" w14:textId="77777777" w:rsidR="003304B6" w:rsidRPr="0009354D" w:rsidRDefault="003304B6" w:rsidP="00C4041B">
            <w:pPr>
              <w:tabs>
                <w:tab w:val="right" w:pos="9180"/>
              </w:tabs>
              <w:ind w:right="-18"/>
            </w:pPr>
          </w:p>
        </w:tc>
        <w:tc>
          <w:tcPr>
            <w:tcW w:w="1530" w:type="dxa"/>
          </w:tcPr>
          <w:p w14:paraId="438C2994" w14:textId="77777777" w:rsidR="003304B6" w:rsidRPr="0009354D" w:rsidRDefault="003304B6" w:rsidP="00C4041B">
            <w:pPr>
              <w:tabs>
                <w:tab w:val="right" w:pos="9180"/>
              </w:tabs>
              <w:ind w:right="-18"/>
            </w:pPr>
          </w:p>
        </w:tc>
      </w:tr>
      <w:tr w:rsidR="003304B6" w:rsidRPr="0009354D" w14:paraId="701014C9" w14:textId="77777777" w:rsidTr="00C4041B">
        <w:tc>
          <w:tcPr>
            <w:tcW w:w="378" w:type="dxa"/>
          </w:tcPr>
          <w:p w14:paraId="41560938" w14:textId="77777777" w:rsidR="003304B6" w:rsidRPr="0009354D" w:rsidRDefault="003304B6" w:rsidP="00C4041B">
            <w:pPr>
              <w:ind w:right="-360"/>
            </w:pPr>
          </w:p>
        </w:tc>
        <w:tc>
          <w:tcPr>
            <w:tcW w:w="3060" w:type="dxa"/>
            <w:gridSpan w:val="3"/>
          </w:tcPr>
          <w:p w14:paraId="1CAC73C0" w14:textId="77777777" w:rsidR="003304B6" w:rsidRPr="0009354D" w:rsidRDefault="003304B6" w:rsidP="00C4041B">
            <w:pPr>
              <w:tabs>
                <w:tab w:val="right" w:pos="9180"/>
              </w:tabs>
              <w:ind w:right="-360"/>
            </w:pPr>
            <w:r w:rsidRPr="0009354D">
              <w:t>Research and development</w:t>
            </w:r>
          </w:p>
        </w:tc>
        <w:tc>
          <w:tcPr>
            <w:tcW w:w="1152" w:type="dxa"/>
          </w:tcPr>
          <w:p w14:paraId="1EE14E64" w14:textId="77777777" w:rsidR="003304B6" w:rsidRPr="0009354D" w:rsidRDefault="003304B6" w:rsidP="00C4041B">
            <w:pPr>
              <w:tabs>
                <w:tab w:val="decimal" w:pos="1062"/>
                <w:tab w:val="right" w:pos="9180"/>
              </w:tabs>
              <w:ind w:right="-46"/>
            </w:pPr>
          </w:p>
        </w:tc>
        <w:tc>
          <w:tcPr>
            <w:tcW w:w="1530" w:type="dxa"/>
          </w:tcPr>
          <w:p w14:paraId="44890A4D" w14:textId="23C95CE0" w:rsidR="003304B6" w:rsidRPr="0009354D" w:rsidRDefault="003304B6" w:rsidP="00C4041B">
            <w:pPr>
              <w:tabs>
                <w:tab w:val="decimal" w:pos="1062"/>
                <w:tab w:val="right" w:pos="9180"/>
              </w:tabs>
              <w:ind w:right="-46"/>
            </w:pPr>
            <w:r w:rsidRPr="0009354D">
              <w:tab/>
            </w:r>
            <w:r w:rsidR="00B71C0F">
              <w:t>5,</w:t>
            </w:r>
            <w:r w:rsidR="00232ECE">
              <w:t>354,588</w:t>
            </w:r>
          </w:p>
        </w:tc>
        <w:tc>
          <w:tcPr>
            <w:tcW w:w="1638" w:type="dxa"/>
          </w:tcPr>
          <w:p w14:paraId="585CF9BF" w14:textId="0B32BAC2" w:rsidR="003304B6" w:rsidRPr="0009354D" w:rsidRDefault="003304B6" w:rsidP="00C4041B">
            <w:pPr>
              <w:tabs>
                <w:tab w:val="decimal" w:pos="1062"/>
                <w:tab w:val="right" w:pos="9180"/>
              </w:tabs>
              <w:ind w:right="-18"/>
            </w:pPr>
            <w:r w:rsidRPr="0009354D">
              <w:tab/>
            </w:r>
            <w:r w:rsidR="00B71C0F">
              <w:t>4,425,728</w:t>
            </w:r>
          </w:p>
        </w:tc>
        <w:tc>
          <w:tcPr>
            <w:tcW w:w="1530" w:type="dxa"/>
          </w:tcPr>
          <w:p w14:paraId="01E6030F" w14:textId="2BD5494E" w:rsidR="003304B6" w:rsidRPr="0009354D" w:rsidRDefault="003304B6" w:rsidP="00C4041B">
            <w:pPr>
              <w:tabs>
                <w:tab w:val="decimal" w:pos="1152"/>
                <w:tab w:val="right" w:pos="9180"/>
              </w:tabs>
              <w:ind w:right="-18"/>
            </w:pPr>
            <w:r w:rsidRPr="0009354D">
              <w:tab/>
            </w:r>
            <w:r w:rsidR="00232ECE">
              <w:t>928,860</w:t>
            </w:r>
          </w:p>
        </w:tc>
      </w:tr>
      <w:tr w:rsidR="003304B6" w:rsidRPr="0009354D" w14:paraId="405A0EB7" w14:textId="77777777" w:rsidTr="00C4041B">
        <w:tc>
          <w:tcPr>
            <w:tcW w:w="378" w:type="dxa"/>
          </w:tcPr>
          <w:p w14:paraId="33FA6805" w14:textId="77777777" w:rsidR="003304B6" w:rsidRPr="0009354D" w:rsidRDefault="003304B6" w:rsidP="00C4041B">
            <w:pPr>
              <w:ind w:right="-360"/>
            </w:pPr>
          </w:p>
        </w:tc>
        <w:tc>
          <w:tcPr>
            <w:tcW w:w="3060" w:type="dxa"/>
            <w:gridSpan w:val="3"/>
          </w:tcPr>
          <w:p w14:paraId="2875621B" w14:textId="77777777" w:rsidR="003304B6" w:rsidRPr="0009354D" w:rsidRDefault="003304B6" w:rsidP="00C4041B">
            <w:pPr>
              <w:tabs>
                <w:tab w:val="right" w:pos="9180"/>
              </w:tabs>
              <w:ind w:right="-360"/>
            </w:pPr>
            <w:r w:rsidRPr="0009354D">
              <w:t>General and administrative</w:t>
            </w:r>
          </w:p>
        </w:tc>
        <w:tc>
          <w:tcPr>
            <w:tcW w:w="1152" w:type="dxa"/>
          </w:tcPr>
          <w:p w14:paraId="3A417AEE" w14:textId="77777777" w:rsidR="003304B6" w:rsidRPr="0009354D" w:rsidRDefault="003304B6" w:rsidP="00C4041B">
            <w:pPr>
              <w:tabs>
                <w:tab w:val="decimal" w:pos="1062"/>
                <w:tab w:val="right" w:pos="9180"/>
              </w:tabs>
              <w:ind w:right="-46"/>
            </w:pPr>
          </w:p>
        </w:tc>
        <w:tc>
          <w:tcPr>
            <w:tcW w:w="1530" w:type="dxa"/>
          </w:tcPr>
          <w:p w14:paraId="7D15BD1F" w14:textId="7F493ADB" w:rsidR="003304B6" w:rsidRPr="0009354D" w:rsidRDefault="003304B6" w:rsidP="00C4041B">
            <w:pPr>
              <w:tabs>
                <w:tab w:val="decimal" w:pos="1062"/>
                <w:tab w:val="right" w:pos="9180"/>
              </w:tabs>
              <w:ind w:right="-46"/>
            </w:pPr>
            <w:r w:rsidRPr="0009354D">
              <w:tab/>
            </w:r>
            <w:r w:rsidR="00B71C0F">
              <w:t>1,</w:t>
            </w:r>
            <w:r w:rsidR="005A60F4">
              <w:t>687,445</w:t>
            </w:r>
          </w:p>
        </w:tc>
        <w:tc>
          <w:tcPr>
            <w:tcW w:w="1638" w:type="dxa"/>
          </w:tcPr>
          <w:p w14:paraId="46054519" w14:textId="4838FCB6" w:rsidR="003304B6" w:rsidRPr="0009354D" w:rsidRDefault="003304B6" w:rsidP="00C4041B">
            <w:pPr>
              <w:tabs>
                <w:tab w:val="decimal" w:pos="1062"/>
                <w:tab w:val="right" w:pos="9180"/>
              </w:tabs>
              <w:ind w:right="-18"/>
            </w:pPr>
            <w:r w:rsidRPr="0009354D">
              <w:tab/>
            </w:r>
            <w:r w:rsidR="00B71C0F">
              <w:t>1,457,353</w:t>
            </w:r>
          </w:p>
        </w:tc>
        <w:tc>
          <w:tcPr>
            <w:tcW w:w="1530" w:type="dxa"/>
          </w:tcPr>
          <w:p w14:paraId="5338AD38" w14:textId="0DB09EFC" w:rsidR="003304B6" w:rsidRPr="0009354D" w:rsidRDefault="003304B6" w:rsidP="00C4041B">
            <w:pPr>
              <w:tabs>
                <w:tab w:val="decimal" w:pos="1152"/>
                <w:tab w:val="right" w:pos="9180"/>
              </w:tabs>
              <w:ind w:right="-18"/>
            </w:pPr>
            <w:r w:rsidRPr="0009354D">
              <w:tab/>
            </w:r>
            <w:r w:rsidR="005A60F4">
              <w:t>230,092</w:t>
            </w:r>
          </w:p>
        </w:tc>
      </w:tr>
      <w:tr w:rsidR="003304B6" w:rsidRPr="0009354D" w14:paraId="52B7AA62" w14:textId="77777777" w:rsidTr="00C4041B">
        <w:tc>
          <w:tcPr>
            <w:tcW w:w="3438" w:type="dxa"/>
            <w:gridSpan w:val="4"/>
          </w:tcPr>
          <w:p w14:paraId="59F3665C" w14:textId="77777777" w:rsidR="003304B6" w:rsidRPr="0009354D" w:rsidRDefault="003304B6" w:rsidP="00C4041B">
            <w:pPr>
              <w:tabs>
                <w:tab w:val="right" w:pos="9180"/>
              </w:tabs>
              <w:ind w:right="-360"/>
            </w:pPr>
            <w:r w:rsidRPr="0009354D">
              <w:t>Total operating expenses</w:t>
            </w:r>
          </w:p>
        </w:tc>
        <w:tc>
          <w:tcPr>
            <w:tcW w:w="1152" w:type="dxa"/>
          </w:tcPr>
          <w:p w14:paraId="69AAB621" w14:textId="77777777" w:rsidR="003304B6" w:rsidRPr="0009354D" w:rsidRDefault="003304B6" w:rsidP="00C4041B">
            <w:pPr>
              <w:tabs>
                <w:tab w:val="decimal" w:pos="1062"/>
                <w:tab w:val="right" w:pos="9180"/>
              </w:tabs>
              <w:ind w:right="-46"/>
            </w:pPr>
          </w:p>
        </w:tc>
        <w:tc>
          <w:tcPr>
            <w:tcW w:w="1530" w:type="dxa"/>
            <w:tcBorders>
              <w:top w:val="single" w:sz="4" w:space="0" w:color="auto"/>
              <w:bottom w:val="single" w:sz="4" w:space="0" w:color="auto"/>
            </w:tcBorders>
          </w:tcPr>
          <w:p w14:paraId="551A009B" w14:textId="2B8AE8A5" w:rsidR="003304B6" w:rsidRPr="0009354D" w:rsidRDefault="003304B6" w:rsidP="00C4041B">
            <w:pPr>
              <w:tabs>
                <w:tab w:val="decimal" w:pos="1062"/>
                <w:tab w:val="right" w:pos="9180"/>
              </w:tabs>
              <w:ind w:right="-46"/>
            </w:pPr>
            <w:r w:rsidRPr="0009354D">
              <w:tab/>
            </w:r>
            <w:r w:rsidR="00232ECE">
              <w:t>7,042,033</w:t>
            </w:r>
          </w:p>
        </w:tc>
        <w:tc>
          <w:tcPr>
            <w:tcW w:w="1638" w:type="dxa"/>
            <w:tcBorders>
              <w:top w:val="single" w:sz="4" w:space="0" w:color="auto"/>
              <w:bottom w:val="single" w:sz="4" w:space="0" w:color="auto"/>
            </w:tcBorders>
          </w:tcPr>
          <w:p w14:paraId="6196145F" w14:textId="1F01D3E4" w:rsidR="003304B6" w:rsidRPr="0009354D" w:rsidRDefault="003304B6" w:rsidP="00C4041B">
            <w:pPr>
              <w:tabs>
                <w:tab w:val="decimal" w:pos="1062"/>
                <w:tab w:val="right" w:pos="9180"/>
              </w:tabs>
              <w:ind w:right="-18"/>
            </w:pPr>
            <w:r w:rsidRPr="0009354D">
              <w:tab/>
            </w:r>
            <w:r w:rsidR="00B71C0F">
              <w:t>5,883,081</w:t>
            </w:r>
          </w:p>
        </w:tc>
        <w:tc>
          <w:tcPr>
            <w:tcW w:w="1530" w:type="dxa"/>
            <w:tcBorders>
              <w:top w:val="single" w:sz="4" w:space="0" w:color="auto"/>
              <w:bottom w:val="single" w:sz="4" w:space="0" w:color="auto"/>
            </w:tcBorders>
          </w:tcPr>
          <w:p w14:paraId="55986716" w14:textId="0E358EBF" w:rsidR="003304B6" w:rsidRPr="0009354D" w:rsidRDefault="003304B6" w:rsidP="00C4041B">
            <w:pPr>
              <w:tabs>
                <w:tab w:val="decimal" w:pos="1152"/>
                <w:tab w:val="right" w:pos="9180"/>
              </w:tabs>
              <w:ind w:right="-18"/>
            </w:pPr>
            <w:r w:rsidRPr="0009354D">
              <w:tab/>
            </w:r>
            <w:r w:rsidR="00232ECE">
              <w:t>1,158,952</w:t>
            </w:r>
          </w:p>
        </w:tc>
      </w:tr>
      <w:tr w:rsidR="003304B6" w:rsidRPr="0009354D" w14:paraId="5952D21F" w14:textId="77777777" w:rsidTr="003F6B86">
        <w:tc>
          <w:tcPr>
            <w:tcW w:w="3438" w:type="dxa"/>
            <w:gridSpan w:val="4"/>
          </w:tcPr>
          <w:p w14:paraId="6B1040F3" w14:textId="77777777" w:rsidR="003304B6" w:rsidRPr="0009354D" w:rsidRDefault="003304B6" w:rsidP="00C4041B">
            <w:pPr>
              <w:tabs>
                <w:tab w:val="right" w:pos="9180"/>
              </w:tabs>
              <w:ind w:right="-360"/>
            </w:pPr>
            <w:r w:rsidRPr="0009354D">
              <w:t>Loss from operations</w:t>
            </w:r>
          </w:p>
        </w:tc>
        <w:tc>
          <w:tcPr>
            <w:tcW w:w="1152" w:type="dxa"/>
          </w:tcPr>
          <w:p w14:paraId="699891D3" w14:textId="77777777" w:rsidR="003304B6" w:rsidRPr="0009354D" w:rsidRDefault="003304B6" w:rsidP="00C4041B">
            <w:pPr>
              <w:tabs>
                <w:tab w:val="decimal" w:pos="1062"/>
                <w:tab w:val="right" w:pos="9180"/>
              </w:tabs>
              <w:ind w:right="-46"/>
            </w:pPr>
          </w:p>
        </w:tc>
        <w:tc>
          <w:tcPr>
            <w:tcW w:w="1530" w:type="dxa"/>
          </w:tcPr>
          <w:p w14:paraId="1D1F4D0E" w14:textId="74FBCAD3" w:rsidR="003304B6" w:rsidRPr="0009354D" w:rsidRDefault="003304B6" w:rsidP="00C4041B">
            <w:pPr>
              <w:tabs>
                <w:tab w:val="decimal" w:pos="1062"/>
                <w:tab w:val="right" w:pos="9180"/>
              </w:tabs>
              <w:ind w:right="-46"/>
            </w:pPr>
            <w:r w:rsidRPr="0009354D">
              <w:tab/>
            </w:r>
            <w:r w:rsidR="00B71C0F">
              <w:t>(5,</w:t>
            </w:r>
            <w:r w:rsidR="00232ECE">
              <w:t>405,170</w:t>
            </w:r>
            <w:r w:rsidR="00B71C0F">
              <w:t>)</w:t>
            </w:r>
          </w:p>
        </w:tc>
        <w:tc>
          <w:tcPr>
            <w:tcW w:w="1638" w:type="dxa"/>
          </w:tcPr>
          <w:p w14:paraId="54DBE029" w14:textId="7D38A31D" w:rsidR="003304B6" w:rsidRPr="0009354D" w:rsidRDefault="003304B6" w:rsidP="00C4041B">
            <w:pPr>
              <w:tabs>
                <w:tab w:val="decimal" w:pos="1044"/>
                <w:tab w:val="right" w:pos="9180"/>
              </w:tabs>
              <w:ind w:right="-18"/>
            </w:pPr>
            <w:r w:rsidRPr="0009354D">
              <w:tab/>
              <w:t>(</w:t>
            </w:r>
            <w:r w:rsidR="00B71C0F">
              <w:t>5,883,081</w:t>
            </w:r>
            <w:r w:rsidRPr="0009354D">
              <w:t>)</w:t>
            </w:r>
          </w:p>
        </w:tc>
        <w:tc>
          <w:tcPr>
            <w:tcW w:w="1530" w:type="dxa"/>
          </w:tcPr>
          <w:p w14:paraId="12336914" w14:textId="497615A0" w:rsidR="003304B6" w:rsidRPr="0009354D" w:rsidRDefault="003304B6" w:rsidP="00C4041B">
            <w:pPr>
              <w:tabs>
                <w:tab w:val="decimal" w:pos="1152"/>
                <w:tab w:val="right" w:pos="9180"/>
              </w:tabs>
              <w:ind w:right="-18"/>
            </w:pPr>
            <w:r w:rsidRPr="0009354D">
              <w:tab/>
            </w:r>
            <w:r w:rsidR="00232ECE">
              <w:t>477,911</w:t>
            </w:r>
          </w:p>
        </w:tc>
      </w:tr>
      <w:tr w:rsidR="003304B6" w:rsidRPr="0009354D" w14:paraId="111C981C" w14:textId="77777777" w:rsidTr="003F6B86">
        <w:tc>
          <w:tcPr>
            <w:tcW w:w="3438" w:type="dxa"/>
            <w:gridSpan w:val="4"/>
          </w:tcPr>
          <w:p w14:paraId="5953CF65" w14:textId="77777777" w:rsidR="003304B6" w:rsidRPr="0009354D" w:rsidRDefault="003304B6" w:rsidP="00C4041B">
            <w:pPr>
              <w:tabs>
                <w:tab w:val="right" w:pos="9180"/>
              </w:tabs>
              <w:ind w:right="-360"/>
            </w:pPr>
            <w:r>
              <w:t>Interest income</w:t>
            </w:r>
          </w:p>
        </w:tc>
        <w:tc>
          <w:tcPr>
            <w:tcW w:w="1152" w:type="dxa"/>
          </w:tcPr>
          <w:p w14:paraId="7F483140" w14:textId="77777777" w:rsidR="003304B6" w:rsidRPr="0009354D" w:rsidRDefault="003304B6" w:rsidP="00C4041B">
            <w:pPr>
              <w:tabs>
                <w:tab w:val="decimal" w:pos="1062"/>
                <w:tab w:val="right" w:pos="9180"/>
              </w:tabs>
              <w:ind w:right="-46"/>
            </w:pPr>
          </w:p>
        </w:tc>
        <w:tc>
          <w:tcPr>
            <w:tcW w:w="1530" w:type="dxa"/>
            <w:tcBorders>
              <w:bottom w:val="single" w:sz="4" w:space="0" w:color="auto"/>
            </w:tcBorders>
          </w:tcPr>
          <w:p w14:paraId="0F96631B" w14:textId="20E3904B" w:rsidR="003304B6" w:rsidRPr="0009354D" w:rsidRDefault="003304B6" w:rsidP="00C4041B">
            <w:pPr>
              <w:tabs>
                <w:tab w:val="decimal" w:pos="1062"/>
                <w:tab w:val="right" w:pos="9180"/>
              </w:tabs>
              <w:ind w:right="-46"/>
            </w:pPr>
            <w:r w:rsidRPr="0009354D">
              <w:tab/>
            </w:r>
            <w:r w:rsidR="00B71C0F">
              <w:t>47,519</w:t>
            </w:r>
          </w:p>
        </w:tc>
        <w:tc>
          <w:tcPr>
            <w:tcW w:w="1638" w:type="dxa"/>
          </w:tcPr>
          <w:p w14:paraId="1764CA38" w14:textId="003D0EE7" w:rsidR="003304B6" w:rsidRPr="0009354D" w:rsidRDefault="003304B6" w:rsidP="00C4041B">
            <w:pPr>
              <w:tabs>
                <w:tab w:val="decimal" w:pos="1062"/>
                <w:tab w:val="right" w:pos="9180"/>
              </w:tabs>
              <w:ind w:right="-18"/>
            </w:pPr>
            <w:r w:rsidRPr="0009354D">
              <w:tab/>
            </w:r>
            <w:r w:rsidR="00B71C0F">
              <w:t>32,949</w:t>
            </w:r>
          </w:p>
        </w:tc>
        <w:tc>
          <w:tcPr>
            <w:tcW w:w="1530" w:type="dxa"/>
          </w:tcPr>
          <w:p w14:paraId="10AE7DCB" w14:textId="22757D95" w:rsidR="003304B6" w:rsidRPr="0009354D" w:rsidRDefault="003304B6" w:rsidP="00C4041B">
            <w:pPr>
              <w:tabs>
                <w:tab w:val="decimal" w:pos="1152"/>
                <w:tab w:val="right" w:pos="9180"/>
              </w:tabs>
              <w:ind w:right="-18"/>
            </w:pPr>
            <w:r w:rsidRPr="0009354D">
              <w:tab/>
            </w:r>
            <w:r w:rsidR="00B71C0F">
              <w:t>14,570</w:t>
            </w:r>
          </w:p>
        </w:tc>
      </w:tr>
      <w:tr w:rsidR="003304B6" w:rsidRPr="0009354D" w14:paraId="2516C68F" w14:textId="77777777" w:rsidTr="003F6B86">
        <w:tc>
          <w:tcPr>
            <w:tcW w:w="3438" w:type="dxa"/>
            <w:gridSpan w:val="4"/>
          </w:tcPr>
          <w:p w14:paraId="110428F7" w14:textId="77777777" w:rsidR="003304B6" w:rsidRPr="0009354D" w:rsidRDefault="003304B6" w:rsidP="00C4041B">
            <w:pPr>
              <w:tabs>
                <w:tab w:val="right" w:pos="9180"/>
              </w:tabs>
              <w:ind w:right="-360"/>
            </w:pPr>
            <w:r w:rsidRPr="0009354D">
              <w:t>Net loss</w:t>
            </w:r>
          </w:p>
        </w:tc>
        <w:tc>
          <w:tcPr>
            <w:tcW w:w="1152" w:type="dxa"/>
          </w:tcPr>
          <w:p w14:paraId="67A44772" w14:textId="77777777" w:rsidR="003304B6" w:rsidRPr="0009354D" w:rsidRDefault="003304B6" w:rsidP="00C4041B">
            <w:pPr>
              <w:tabs>
                <w:tab w:val="decimal" w:pos="1062"/>
                <w:tab w:val="right" w:pos="9180"/>
              </w:tabs>
              <w:ind w:right="-46"/>
            </w:pPr>
          </w:p>
        </w:tc>
        <w:tc>
          <w:tcPr>
            <w:tcW w:w="1530" w:type="dxa"/>
            <w:tcBorders>
              <w:top w:val="single" w:sz="4" w:space="0" w:color="auto"/>
              <w:bottom w:val="double" w:sz="4" w:space="0" w:color="auto"/>
            </w:tcBorders>
          </w:tcPr>
          <w:p w14:paraId="2455D7B4" w14:textId="6246D1EA" w:rsidR="003304B6" w:rsidRPr="0009354D" w:rsidRDefault="003304B6" w:rsidP="00C4041B">
            <w:pPr>
              <w:tabs>
                <w:tab w:val="decimal" w:pos="1062"/>
                <w:tab w:val="right" w:pos="9180"/>
              </w:tabs>
              <w:ind w:right="-46"/>
            </w:pPr>
            <w:r w:rsidRPr="0009354D">
              <w:t>$</w:t>
            </w:r>
            <w:r w:rsidRPr="0009354D">
              <w:tab/>
            </w:r>
            <w:r w:rsidR="00B71C0F">
              <w:t>(5,</w:t>
            </w:r>
            <w:r w:rsidR="00232ECE">
              <w:t>357,651</w:t>
            </w:r>
            <w:r w:rsidR="00B71C0F">
              <w:t>)</w:t>
            </w:r>
          </w:p>
        </w:tc>
        <w:tc>
          <w:tcPr>
            <w:tcW w:w="1638" w:type="dxa"/>
            <w:tcBorders>
              <w:top w:val="single" w:sz="4" w:space="0" w:color="auto"/>
              <w:bottom w:val="double" w:sz="4" w:space="0" w:color="auto"/>
            </w:tcBorders>
          </w:tcPr>
          <w:p w14:paraId="0C40CE77" w14:textId="26C3F838" w:rsidR="003304B6" w:rsidRPr="0009354D" w:rsidRDefault="003304B6" w:rsidP="00C4041B">
            <w:pPr>
              <w:tabs>
                <w:tab w:val="decimal" w:pos="1044"/>
                <w:tab w:val="right" w:pos="9180"/>
              </w:tabs>
              <w:ind w:right="-18"/>
            </w:pPr>
            <w:r w:rsidRPr="0009354D">
              <w:t>$</w:t>
            </w:r>
            <w:r w:rsidRPr="0009354D">
              <w:tab/>
              <w:t>(</w:t>
            </w:r>
            <w:r w:rsidR="00B71C0F">
              <w:t>5,850,132</w:t>
            </w:r>
            <w:r>
              <w:t>)</w:t>
            </w:r>
          </w:p>
        </w:tc>
        <w:tc>
          <w:tcPr>
            <w:tcW w:w="1530" w:type="dxa"/>
            <w:tcBorders>
              <w:top w:val="single" w:sz="4" w:space="0" w:color="auto"/>
              <w:bottom w:val="double" w:sz="4" w:space="0" w:color="auto"/>
            </w:tcBorders>
          </w:tcPr>
          <w:p w14:paraId="2D3D55F1" w14:textId="5E13A35D" w:rsidR="003304B6" w:rsidRPr="0009354D" w:rsidRDefault="003304B6" w:rsidP="00C4041B">
            <w:pPr>
              <w:tabs>
                <w:tab w:val="decimal" w:pos="1152"/>
                <w:tab w:val="right" w:pos="9180"/>
              </w:tabs>
              <w:ind w:right="-18"/>
            </w:pPr>
            <w:r w:rsidRPr="0009354D">
              <w:t>$</w:t>
            </w:r>
            <w:r w:rsidRPr="0009354D">
              <w:tab/>
            </w:r>
            <w:r w:rsidR="00CE7D66">
              <w:t>492,481</w:t>
            </w:r>
          </w:p>
        </w:tc>
      </w:tr>
    </w:tbl>
    <w:p w14:paraId="0F82663B" w14:textId="77777777" w:rsidR="008E7767" w:rsidRDefault="008E7767" w:rsidP="00177E79">
      <w:pPr>
        <w:rPr>
          <w:i/>
          <w:iCs/>
        </w:rPr>
      </w:pPr>
    </w:p>
    <w:p w14:paraId="69545C6F" w14:textId="6A243648" w:rsidR="00177E79" w:rsidRPr="0009354D" w:rsidRDefault="00177E79" w:rsidP="00177E79">
      <w:r w:rsidRPr="009A5FA2">
        <w:rPr>
          <w:i/>
          <w:iCs/>
        </w:rPr>
        <w:t>Revenue</w:t>
      </w:r>
      <w:r w:rsidR="00340DE3" w:rsidRPr="009A5FA2">
        <w:rPr>
          <w:i/>
          <w:iCs/>
        </w:rPr>
        <w:t xml:space="preserve"> from Government Contract</w:t>
      </w:r>
    </w:p>
    <w:p w14:paraId="4196A7BA" w14:textId="7B289CE9" w:rsidR="00177E79" w:rsidRDefault="00177E79" w:rsidP="00177E79"/>
    <w:p w14:paraId="13FF2030" w14:textId="69F689F5" w:rsidR="00177E79" w:rsidRDefault="00340DE3" w:rsidP="00177E79">
      <w:pPr>
        <w:rPr>
          <w:iCs/>
        </w:rPr>
      </w:pPr>
      <w:r>
        <w:t>During the three</w:t>
      </w:r>
      <w:r w:rsidR="008B689F">
        <w:t>-</w:t>
      </w:r>
      <w:r>
        <w:t>month</w:t>
      </w:r>
      <w:r w:rsidR="008B689F">
        <w:t xml:space="preserve"> period</w:t>
      </w:r>
      <w:r w:rsidR="005127D2">
        <w:t xml:space="preserve"> </w:t>
      </w:r>
      <w:r>
        <w:t>end</w:t>
      </w:r>
      <w:r w:rsidR="008B689F">
        <w:t>ed</w:t>
      </w:r>
      <w:r>
        <w:t xml:space="preserve"> </w:t>
      </w:r>
      <w:r w:rsidR="005127D2">
        <w:t>March</w:t>
      </w:r>
      <w:r>
        <w:t xml:space="preserve"> 3</w:t>
      </w:r>
      <w:r w:rsidR="005127D2">
        <w:t>1</w:t>
      </w:r>
      <w:r>
        <w:t>, 202</w:t>
      </w:r>
      <w:r w:rsidR="005127D2">
        <w:t>5</w:t>
      </w:r>
      <w:r>
        <w:t>, we reported</w:t>
      </w:r>
      <w:r w:rsidR="00F81759">
        <w:t xml:space="preserve"> $</w:t>
      </w:r>
      <w:r w:rsidR="005127D2">
        <w:t>1,636,863</w:t>
      </w:r>
      <w:r w:rsidR="003F6B86">
        <w:t xml:space="preserve"> </w:t>
      </w:r>
      <w:r w:rsidR="00F81759">
        <w:t xml:space="preserve">of revenues associated with the </w:t>
      </w:r>
      <w:r w:rsidR="005127D2">
        <w:t>ATI-RRPV</w:t>
      </w:r>
      <w:r w:rsidR="00673612">
        <w:t xml:space="preserve"> Contract.</w:t>
      </w:r>
      <w:r w:rsidR="00F81759">
        <w:t xml:space="preserve"> There were no revenues reported during the comparable 202</w:t>
      </w:r>
      <w:r w:rsidR="005127D2">
        <w:t>4</w:t>
      </w:r>
      <w:r w:rsidR="00F81759">
        <w:t xml:space="preserve"> period.</w:t>
      </w:r>
      <w:r w:rsidR="00940E80" w:rsidRPr="00940E80">
        <w:rPr>
          <w:color w:val="000000"/>
          <w:shd w:val="clear" w:color="auto" w:fill="FFFFFF"/>
        </w:rPr>
        <w:t xml:space="preserve"> </w:t>
      </w:r>
      <w:r w:rsidR="00940E80" w:rsidRPr="002D4E15">
        <w:rPr>
          <w:color w:val="000000"/>
          <w:shd w:val="clear" w:color="auto" w:fill="FFFFFF"/>
        </w:rPr>
        <w:t xml:space="preserve">On </w:t>
      </w:r>
      <w:r w:rsidR="00940E80">
        <w:rPr>
          <w:color w:val="000000"/>
          <w:shd w:val="clear" w:color="auto" w:fill="FFFFFF"/>
        </w:rPr>
        <w:t>April</w:t>
      </w:r>
      <w:r w:rsidR="00940E80" w:rsidRPr="002D4E15">
        <w:rPr>
          <w:color w:val="000000"/>
          <w:shd w:val="clear" w:color="auto" w:fill="FFFFFF"/>
        </w:rPr>
        <w:t xml:space="preserve"> </w:t>
      </w:r>
      <w:r w:rsidR="00940E80">
        <w:rPr>
          <w:color w:val="000000"/>
          <w:shd w:val="clear" w:color="auto" w:fill="FFFFFF"/>
        </w:rPr>
        <w:t>1</w:t>
      </w:r>
      <w:r w:rsidR="00940E80" w:rsidRPr="002D4E15">
        <w:rPr>
          <w:color w:val="000000"/>
          <w:shd w:val="clear" w:color="auto" w:fill="FFFFFF"/>
        </w:rPr>
        <w:t>1, 2025, we received the Notice (discussed above)</w:t>
      </w:r>
      <w:r w:rsidR="00940E80">
        <w:rPr>
          <w:color w:val="000000"/>
          <w:shd w:val="clear" w:color="auto" w:fill="FFFFFF"/>
        </w:rPr>
        <w:t xml:space="preserve"> </w:t>
      </w:r>
      <w:r w:rsidR="00940E80" w:rsidRPr="002D4E15">
        <w:rPr>
          <w:color w:val="000000"/>
          <w:shd w:val="clear" w:color="auto" w:fill="FFFFFF"/>
        </w:rPr>
        <w:t>directing us</w:t>
      </w:r>
      <w:r w:rsidR="00940E80">
        <w:rPr>
          <w:color w:val="000000"/>
          <w:shd w:val="clear" w:color="auto" w:fill="FFFFFF"/>
        </w:rPr>
        <w:t xml:space="preserve"> </w:t>
      </w:r>
      <w:r w:rsidR="003703FE">
        <w:rPr>
          <w:color w:val="000000"/>
          <w:shd w:val="clear" w:color="auto" w:fill="FFFFFF"/>
        </w:rPr>
        <w:t>t</w:t>
      </w:r>
      <w:r w:rsidR="00940E80" w:rsidRPr="002D4E15">
        <w:rPr>
          <w:color w:val="000000"/>
          <w:shd w:val="clear" w:color="auto" w:fill="FFFFFF"/>
        </w:rPr>
        <w:t>o stop work on all of our</w:t>
      </w:r>
      <w:r w:rsidR="00940E80">
        <w:rPr>
          <w:color w:val="000000"/>
          <w:shd w:val="clear" w:color="auto" w:fill="FFFFFF"/>
        </w:rPr>
        <w:t xml:space="preserve"> </w:t>
      </w:r>
      <w:r w:rsidR="00940E80" w:rsidRPr="002D4E15">
        <w:rPr>
          <w:color w:val="000000"/>
          <w:shd w:val="clear" w:color="auto" w:fill="FFFFFF"/>
        </w:rPr>
        <w:t>efforts with respect to the ATI-RRPV Contract</w:t>
      </w:r>
      <w:r w:rsidR="00940E80">
        <w:rPr>
          <w:color w:val="000000"/>
          <w:shd w:val="clear" w:color="auto" w:fill="FFFFFF"/>
        </w:rPr>
        <w:t>.</w:t>
      </w:r>
    </w:p>
    <w:p w14:paraId="228BE27D" w14:textId="77777777" w:rsidR="0061314E" w:rsidRPr="0061314E" w:rsidRDefault="0061314E" w:rsidP="00177E79">
      <w:pPr>
        <w:rPr>
          <w:iCs/>
        </w:rPr>
      </w:pPr>
    </w:p>
    <w:p w14:paraId="3D829912" w14:textId="77777777" w:rsidR="00177E79" w:rsidRPr="0009354D" w:rsidRDefault="00177E79" w:rsidP="00177E79">
      <w:pPr>
        <w:rPr>
          <w:i/>
          <w:iCs/>
        </w:rPr>
      </w:pPr>
      <w:r w:rsidRPr="008F13AC">
        <w:rPr>
          <w:i/>
          <w:iCs/>
        </w:rPr>
        <w:t>Research and Development Expenses</w:t>
      </w:r>
    </w:p>
    <w:p w14:paraId="3A551792" w14:textId="77777777" w:rsidR="00CE568B" w:rsidRDefault="00CE568B" w:rsidP="00177E79"/>
    <w:p w14:paraId="6DEBD94F" w14:textId="3F03BB83" w:rsidR="005127D2" w:rsidRDefault="005127D2" w:rsidP="00547A7D">
      <w:bookmarkStart w:id="25" w:name="_Hlk93678405"/>
      <w:r w:rsidRPr="00E55FA4">
        <w:t>Our research and development expenses were $</w:t>
      </w:r>
      <w:r>
        <w:t>5,</w:t>
      </w:r>
      <w:r w:rsidR="00CE7D66">
        <w:t>354,588</w:t>
      </w:r>
      <w:r w:rsidRPr="00E55FA4">
        <w:t xml:space="preserve"> for the </w:t>
      </w:r>
      <w:r>
        <w:t>three-month period</w:t>
      </w:r>
      <w:r w:rsidRPr="00E55FA4">
        <w:t xml:space="preserve"> ended </w:t>
      </w:r>
      <w:r>
        <w:t>March</w:t>
      </w:r>
      <w:r w:rsidRPr="00E55FA4">
        <w:t xml:space="preserve"> 31, 202</w:t>
      </w:r>
      <w:r>
        <w:t>5</w:t>
      </w:r>
      <w:r w:rsidRPr="00E55FA4">
        <w:t>, as compared to $</w:t>
      </w:r>
      <w:r>
        <w:t>4,425,728</w:t>
      </w:r>
      <w:r w:rsidRPr="00E55FA4">
        <w:t xml:space="preserve"> for </w:t>
      </w:r>
      <w:r>
        <w:t xml:space="preserve">the comparable </w:t>
      </w:r>
      <w:r w:rsidRPr="00E55FA4">
        <w:t>202</w:t>
      </w:r>
      <w:r>
        <w:t>4 period</w:t>
      </w:r>
      <w:r w:rsidRPr="00E55FA4">
        <w:t>, representing a</w:t>
      </w:r>
      <w:r>
        <w:t xml:space="preserve">n increase </w:t>
      </w:r>
      <w:r w:rsidRPr="00E55FA4">
        <w:t>of $</w:t>
      </w:r>
      <w:r w:rsidR="00CE7D66">
        <w:t>928,860</w:t>
      </w:r>
      <w:r w:rsidRPr="00E55FA4">
        <w:t xml:space="preserve"> (</w:t>
      </w:r>
      <w:r w:rsidR="00CE7D66">
        <w:t>21</w:t>
      </w:r>
      <w:r w:rsidRPr="00E55FA4">
        <w:t>%).</w:t>
      </w:r>
      <w:bookmarkEnd w:id="25"/>
      <w:r w:rsidRPr="00E55FA4">
        <w:t xml:space="preserve"> </w:t>
      </w:r>
      <w:r w:rsidRPr="005A60F4">
        <w:t>The increase during 2025</w:t>
      </w:r>
      <w:r w:rsidR="00547A7D">
        <w:t xml:space="preserve"> primarily</w:t>
      </w:r>
      <w:r w:rsidRPr="005A60F4">
        <w:t xml:space="preserve"> relates to program-specific costs associated with the ATI-RRPV Contract, Gedeptin and GEO-MVA, partially offset by lower costs for the GEO-CM04S1 clinical trials </w:t>
      </w:r>
      <w:r w:rsidR="005A60F4" w:rsidRPr="005A60F4">
        <w:t xml:space="preserve">and manufacturing costs </w:t>
      </w:r>
      <w:r w:rsidRPr="005A60F4">
        <w:t>not covered by the ATI-RRPV Contract. The majority of the higher program costs relate to the ATI-RRPV Contract and include costs of manufacturing materials for use in our clinical trials, analytical expenses, third-party contracted research and consulting costs. Research and development</w:t>
      </w:r>
      <w:r w:rsidRPr="00E55FA4">
        <w:t xml:space="preserve"> expense for 202</w:t>
      </w:r>
      <w:r>
        <w:t>5</w:t>
      </w:r>
      <w:r w:rsidRPr="00E55FA4">
        <w:t xml:space="preserve"> and 202</w:t>
      </w:r>
      <w:r>
        <w:t>4</w:t>
      </w:r>
      <w:r w:rsidRPr="00E55FA4">
        <w:t xml:space="preserve"> includes stock-based compensation expense of </w:t>
      </w:r>
      <w:r w:rsidRPr="008D0D87">
        <w:t>$</w:t>
      </w:r>
      <w:r>
        <w:t>130,316</w:t>
      </w:r>
      <w:r w:rsidRPr="008D0D87">
        <w:t xml:space="preserve"> and $</w:t>
      </w:r>
      <w:r>
        <w:t>53,099</w:t>
      </w:r>
      <w:r w:rsidRPr="008D0D87">
        <w:t>, respectively</w:t>
      </w:r>
      <w:r w:rsidRPr="00E55FA4">
        <w:t>, associated with employee stock options.</w:t>
      </w:r>
    </w:p>
    <w:p w14:paraId="2765756A" w14:textId="77777777" w:rsidR="005127D2" w:rsidRDefault="005127D2" w:rsidP="00547A7D"/>
    <w:p w14:paraId="13F00CA6" w14:textId="7D1EF249" w:rsidR="00177E79" w:rsidRPr="0009354D" w:rsidRDefault="00177E79" w:rsidP="00547A7D">
      <w:pPr>
        <w:rPr>
          <w:i/>
          <w:iCs/>
        </w:rPr>
      </w:pPr>
      <w:r w:rsidRPr="0009354D">
        <w:rPr>
          <w:i/>
          <w:iCs/>
        </w:rPr>
        <w:t>General and Administrative Expenses</w:t>
      </w:r>
    </w:p>
    <w:p w14:paraId="3FD4DAC0" w14:textId="77777777" w:rsidR="00177E79" w:rsidRDefault="00177E79" w:rsidP="00547A7D">
      <w:pPr>
        <w:rPr>
          <w:i/>
          <w:iCs/>
        </w:rPr>
      </w:pPr>
    </w:p>
    <w:p w14:paraId="0F61C448" w14:textId="2CAB5E13" w:rsidR="005127D2" w:rsidRPr="00E55FA4" w:rsidRDefault="005127D2" w:rsidP="00547A7D">
      <w:bookmarkStart w:id="26" w:name="_Hlk108707578"/>
      <w:r w:rsidRPr="00E55FA4">
        <w:t>Our general and administrative expenses were $</w:t>
      </w:r>
      <w:r>
        <w:t>1,</w:t>
      </w:r>
      <w:r w:rsidR="005A60F4">
        <w:t>687,445</w:t>
      </w:r>
      <w:r w:rsidRPr="00E55FA4">
        <w:t xml:space="preserve"> for the </w:t>
      </w:r>
      <w:r>
        <w:t>three-month period</w:t>
      </w:r>
      <w:r w:rsidRPr="00E55FA4">
        <w:t xml:space="preserve"> ended </w:t>
      </w:r>
      <w:r>
        <w:t>March</w:t>
      </w:r>
      <w:r w:rsidRPr="00E55FA4">
        <w:t xml:space="preserve"> 31, 202</w:t>
      </w:r>
      <w:r>
        <w:t>5,</w:t>
      </w:r>
      <w:r w:rsidRPr="00E55FA4">
        <w:t xml:space="preserve"> as compared to $</w:t>
      </w:r>
      <w:r>
        <w:t>1,457,353</w:t>
      </w:r>
      <w:r w:rsidRPr="00E55FA4">
        <w:t xml:space="preserve"> for </w:t>
      </w:r>
      <w:r>
        <w:t>the comparable 2024 period</w:t>
      </w:r>
      <w:r w:rsidRPr="00E55FA4">
        <w:t>, representing a</w:t>
      </w:r>
      <w:r w:rsidR="005A60F4">
        <w:t xml:space="preserve">n increase </w:t>
      </w:r>
      <w:r w:rsidRPr="00E55FA4">
        <w:t>of $</w:t>
      </w:r>
      <w:r>
        <w:t>2</w:t>
      </w:r>
      <w:r w:rsidR="005A60F4">
        <w:t>30,092</w:t>
      </w:r>
      <w:r w:rsidRPr="00E55FA4">
        <w:t xml:space="preserve"> (</w:t>
      </w:r>
      <w:r>
        <w:t>1</w:t>
      </w:r>
      <w:r w:rsidR="005A60F4">
        <w:t>6</w:t>
      </w:r>
      <w:r w:rsidRPr="00E55FA4">
        <w:t xml:space="preserve">%). </w:t>
      </w:r>
      <w:r w:rsidR="008B689F" w:rsidRPr="00547A7D">
        <w:t xml:space="preserve">The </w:t>
      </w:r>
      <w:r w:rsidR="005A60F4" w:rsidRPr="00547A7D">
        <w:t>increase</w:t>
      </w:r>
      <w:r w:rsidR="008B689F" w:rsidRPr="00547A7D">
        <w:t xml:space="preserve"> during 2025 relates primarily to </w:t>
      </w:r>
      <w:r w:rsidR="005A60F4" w:rsidRPr="00547A7D">
        <w:t xml:space="preserve">higher </w:t>
      </w:r>
      <w:r w:rsidR="00547A7D" w:rsidRPr="00547A7D">
        <w:t>investor relations</w:t>
      </w:r>
      <w:r w:rsidR="005A60F4" w:rsidRPr="00547A7D">
        <w:t xml:space="preserve"> </w:t>
      </w:r>
      <w:r w:rsidR="00547A7D" w:rsidRPr="00547A7D">
        <w:t xml:space="preserve">consulting </w:t>
      </w:r>
      <w:r w:rsidR="005A60F4" w:rsidRPr="00547A7D">
        <w:t>costs</w:t>
      </w:r>
      <w:r w:rsidR="00547A7D" w:rsidRPr="00547A7D">
        <w:t xml:space="preserve"> and stock-based compensation expense</w:t>
      </w:r>
      <w:r w:rsidR="008B689F" w:rsidRPr="00547A7D">
        <w:t>.</w:t>
      </w:r>
      <w:r w:rsidR="008B689F" w:rsidRPr="00862E6F">
        <w:t xml:space="preserve"> </w:t>
      </w:r>
      <w:r w:rsidRPr="00E55FA4">
        <w:t>General and administrative expense for 202</w:t>
      </w:r>
      <w:r>
        <w:t>5</w:t>
      </w:r>
      <w:r w:rsidRPr="00E55FA4">
        <w:t xml:space="preserve"> and 202</w:t>
      </w:r>
      <w:r>
        <w:t>4</w:t>
      </w:r>
      <w:r w:rsidRPr="00E55FA4">
        <w:t xml:space="preserve"> includes stock-based compensation expense </w:t>
      </w:r>
      <w:r w:rsidRPr="008D0D87">
        <w:t>of $</w:t>
      </w:r>
      <w:r>
        <w:t xml:space="preserve">162,428 </w:t>
      </w:r>
      <w:r w:rsidRPr="008D0D87">
        <w:t>and $</w:t>
      </w:r>
      <w:r>
        <w:t>104,637</w:t>
      </w:r>
      <w:r w:rsidRPr="008D0D87">
        <w:t>,</w:t>
      </w:r>
      <w:r w:rsidRPr="00E55FA4">
        <w:t xml:space="preserve"> respectively, associated with employee and consultant stock options and stock awards</w:t>
      </w:r>
      <w:r>
        <w:t>.</w:t>
      </w:r>
    </w:p>
    <w:bookmarkEnd w:id="26"/>
    <w:p w14:paraId="6C82ECF6" w14:textId="77777777" w:rsidR="005127D2" w:rsidRPr="0009354D" w:rsidRDefault="005127D2" w:rsidP="00177E79">
      <w:pPr>
        <w:rPr>
          <w:color w:val="000000"/>
        </w:rPr>
      </w:pPr>
    </w:p>
    <w:p w14:paraId="00E3DE76" w14:textId="2B35FF59" w:rsidR="00177E79" w:rsidRPr="0009354D" w:rsidRDefault="00177E79" w:rsidP="00177E79">
      <w:pPr>
        <w:rPr>
          <w:i/>
          <w:iCs/>
        </w:rPr>
      </w:pPr>
      <w:r w:rsidRPr="0009354D">
        <w:rPr>
          <w:i/>
          <w:iCs/>
        </w:rPr>
        <w:t>Other Income</w:t>
      </w:r>
    </w:p>
    <w:p w14:paraId="692D7E66" w14:textId="1667DF15" w:rsidR="00246876" w:rsidRDefault="00246876" w:rsidP="00246876">
      <w:pPr>
        <w:pStyle w:val="BodyText"/>
        <w:spacing w:after="0"/>
      </w:pPr>
    </w:p>
    <w:p w14:paraId="5BAF7584" w14:textId="22782012" w:rsidR="008B689F" w:rsidRPr="0009354D" w:rsidRDefault="008B689F" w:rsidP="008B689F">
      <w:pPr>
        <w:pStyle w:val="BodyText"/>
        <w:spacing w:after="0"/>
      </w:pPr>
      <w:r w:rsidRPr="00F11B56">
        <w:t>Interest income for the three-month periods ended March 31, 20</w:t>
      </w:r>
      <w:r>
        <w:t>25</w:t>
      </w:r>
      <w:r w:rsidRPr="00F11B56">
        <w:t xml:space="preserve"> and 20</w:t>
      </w:r>
      <w:r>
        <w:t>24</w:t>
      </w:r>
      <w:r w:rsidRPr="00F11B56">
        <w:t xml:space="preserve"> was $</w:t>
      </w:r>
      <w:r>
        <w:t>47,519</w:t>
      </w:r>
      <w:r w:rsidRPr="00F11B56">
        <w:t xml:space="preserve"> and $</w:t>
      </w:r>
      <w:r>
        <w:t>32,949</w:t>
      </w:r>
      <w:r w:rsidRPr="00F11B56">
        <w:t>, respectively</w:t>
      </w:r>
      <w:r>
        <w:t>, with the difference attributable to fluctuating cash balances</w:t>
      </w:r>
      <w:r w:rsidR="00A55569">
        <w:t xml:space="preserve"> and interest rates</w:t>
      </w:r>
      <w:r>
        <w:t>.</w:t>
      </w:r>
    </w:p>
    <w:p w14:paraId="4945CF7B" w14:textId="77777777" w:rsidR="005127D2" w:rsidRPr="0009354D" w:rsidRDefault="005127D2" w:rsidP="00246876">
      <w:pPr>
        <w:pStyle w:val="BodyText"/>
        <w:spacing w:after="0"/>
      </w:pPr>
    </w:p>
    <w:p w14:paraId="5F2DE936" w14:textId="77777777" w:rsidR="00902E0A" w:rsidRDefault="00902E0A">
      <w:pPr>
        <w:rPr>
          <w:rFonts w:eastAsia="????"/>
          <w:b/>
        </w:rPr>
      </w:pPr>
      <w:r>
        <w:rPr>
          <w:rFonts w:eastAsia="????"/>
          <w:b/>
        </w:rPr>
        <w:br w:type="page"/>
      </w:r>
    </w:p>
    <w:p w14:paraId="03C5151D" w14:textId="6005F251" w:rsidR="00177E79" w:rsidRPr="0009354D" w:rsidRDefault="00177E79" w:rsidP="00177E79">
      <w:pPr>
        <w:rPr>
          <w:rFonts w:eastAsia="????"/>
          <w:b/>
        </w:rPr>
      </w:pPr>
      <w:r w:rsidRPr="00F442E3">
        <w:rPr>
          <w:rFonts w:eastAsia="????"/>
          <w:b/>
        </w:rPr>
        <w:lastRenderedPageBreak/>
        <w:t>Li</w:t>
      </w:r>
      <w:r w:rsidR="00902E0A">
        <w:rPr>
          <w:rFonts w:eastAsia="????"/>
          <w:b/>
        </w:rPr>
        <w:t>q</w:t>
      </w:r>
      <w:r w:rsidRPr="00F442E3">
        <w:rPr>
          <w:rFonts w:eastAsia="????"/>
          <w:b/>
        </w:rPr>
        <w:t>uidity and Capital Resources</w:t>
      </w:r>
    </w:p>
    <w:p w14:paraId="413CD1FC" w14:textId="77777777" w:rsidR="00177E79" w:rsidRPr="0009354D" w:rsidRDefault="00177E79" w:rsidP="00177E79"/>
    <w:p w14:paraId="7CAEEC2F" w14:textId="706649B3" w:rsidR="00BB225F" w:rsidRDefault="00BB225F" w:rsidP="00BB225F">
      <w:r>
        <w:t xml:space="preserve">The following tables summarize our liquidity and capital resources as of </w:t>
      </w:r>
      <w:r w:rsidR="00A55569">
        <w:t>March</w:t>
      </w:r>
      <w:r>
        <w:t xml:space="preserve"> 3</w:t>
      </w:r>
      <w:r w:rsidR="00A55569">
        <w:t>1</w:t>
      </w:r>
      <w:r>
        <w:t>, 202</w:t>
      </w:r>
      <w:r w:rsidR="00A55569">
        <w:t>5</w:t>
      </w:r>
      <w:r>
        <w:t xml:space="preserve"> and December 31, 202</w:t>
      </w:r>
      <w:r w:rsidR="00A55569">
        <w:t>4</w:t>
      </w:r>
      <w:r>
        <w:t xml:space="preserve">, and our cash flows for the </w:t>
      </w:r>
      <w:r w:rsidR="00A55569">
        <w:t>three</w:t>
      </w:r>
      <w:r>
        <w:t xml:space="preserve">-month periods ended </w:t>
      </w:r>
      <w:r w:rsidR="00A55569">
        <w:t>March</w:t>
      </w:r>
      <w:r>
        <w:t xml:space="preserve"> 3</w:t>
      </w:r>
      <w:r w:rsidR="00A55569">
        <w:t>1</w:t>
      </w:r>
      <w:r>
        <w:t>, 202</w:t>
      </w:r>
      <w:r w:rsidR="00A55569">
        <w:t>5</w:t>
      </w:r>
      <w:r>
        <w:t xml:space="preserve"> and 202</w:t>
      </w:r>
      <w:r w:rsidR="00A55569">
        <w:t>4</w:t>
      </w:r>
      <w:r>
        <w:t>:</w:t>
      </w:r>
    </w:p>
    <w:p w14:paraId="5DA7C09B" w14:textId="77777777" w:rsidR="00BB225F" w:rsidRDefault="00BB225F" w:rsidP="00BB225F"/>
    <w:tbl>
      <w:tblPr>
        <w:tblW w:w="8550" w:type="dxa"/>
        <w:tblLayout w:type="fixed"/>
        <w:tblLook w:val="01E0" w:firstRow="1" w:lastRow="1" w:firstColumn="1" w:lastColumn="1" w:noHBand="0" w:noVBand="0"/>
      </w:tblPr>
      <w:tblGrid>
        <w:gridCol w:w="3870"/>
        <w:gridCol w:w="1008"/>
        <w:gridCol w:w="1836"/>
        <w:gridCol w:w="1836"/>
      </w:tblGrid>
      <w:tr w:rsidR="00BB225F" w14:paraId="2300E1AC" w14:textId="77777777" w:rsidTr="00BB225F">
        <w:tc>
          <w:tcPr>
            <w:tcW w:w="3870" w:type="dxa"/>
            <w:tcBorders>
              <w:top w:val="nil"/>
              <w:left w:val="nil"/>
              <w:bottom w:val="single" w:sz="4" w:space="0" w:color="auto"/>
              <w:right w:val="nil"/>
            </w:tcBorders>
            <w:hideMark/>
          </w:tcPr>
          <w:p w14:paraId="0794EC21" w14:textId="77777777" w:rsidR="00BB225F" w:rsidRDefault="00BB225F">
            <w:pPr>
              <w:tabs>
                <w:tab w:val="right" w:pos="9180"/>
              </w:tabs>
              <w:ind w:right="-360"/>
            </w:pPr>
            <w:r>
              <w:t>Liquidity and Capital Resources</w:t>
            </w:r>
          </w:p>
        </w:tc>
        <w:tc>
          <w:tcPr>
            <w:tcW w:w="1008" w:type="dxa"/>
            <w:tcBorders>
              <w:top w:val="nil"/>
              <w:left w:val="nil"/>
              <w:bottom w:val="single" w:sz="4" w:space="0" w:color="auto"/>
              <w:right w:val="nil"/>
            </w:tcBorders>
          </w:tcPr>
          <w:p w14:paraId="77335E17" w14:textId="77777777" w:rsidR="00BB225F" w:rsidRDefault="00BB225F">
            <w:pPr>
              <w:tabs>
                <w:tab w:val="right" w:pos="9180"/>
              </w:tabs>
              <w:ind w:right="-18"/>
              <w:jc w:val="center"/>
            </w:pPr>
          </w:p>
        </w:tc>
        <w:tc>
          <w:tcPr>
            <w:tcW w:w="1836" w:type="dxa"/>
            <w:tcBorders>
              <w:top w:val="nil"/>
              <w:left w:val="nil"/>
              <w:bottom w:val="single" w:sz="4" w:space="0" w:color="auto"/>
              <w:right w:val="nil"/>
            </w:tcBorders>
            <w:hideMark/>
          </w:tcPr>
          <w:p w14:paraId="08AD89BA" w14:textId="4421B745" w:rsidR="00BB225F" w:rsidRDefault="00A55569">
            <w:pPr>
              <w:tabs>
                <w:tab w:val="right" w:pos="9180"/>
              </w:tabs>
              <w:ind w:right="-18"/>
              <w:jc w:val="center"/>
            </w:pPr>
            <w:r>
              <w:t>March</w:t>
            </w:r>
            <w:r w:rsidR="00BB225F">
              <w:t xml:space="preserve"> 3</w:t>
            </w:r>
            <w:r>
              <w:t>1</w:t>
            </w:r>
            <w:r w:rsidR="00BB225F">
              <w:t>, 202</w:t>
            </w:r>
            <w:r>
              <w:t>5</w:t>
            </w:r>
          </w:p>
        </w:tc>
        <w:tc>
          <w:tcPr>
            <w:tcW w:w="1836" w:type="dxa"/>
            <w:tcBorders>
              <w:top w:val="nil"/>
              <w:left w:val="nil"/>
              <w:bottom w:val="single" w:sz="4" w:space="0" w:color="auto"/>
              <w:right w:val="nil"/>
            </w:tcBorders>
            <w:hideMark/>
          </w:tcPr>
          <w:p w14:paraId="0489514E" w14:textId="1ABDBC15" w:rsidR="00BB225F" w:rsidRDefault="00BB225F">
            <w:pPr>
              <w:tabs>
                <w:tab w:val="right" w:pos="9180"/>
              </w:tabs>
              <w:ind w:right="-18"/>
              <w:jc w:val="center"/>
            </w:pPr>
            <w:r>
              <w:t>December 31, 202</w:t>
            </w:r>
            <w:r w:rsidR="00A55569">
              <w:t>4</w:t>
            </w:r>
          </w:p>
        </w:tc>
      </w:tr>
      <w:tr w:rsidR="00BB225F" w14:paraId="1A43A74D" w14:textId="77777777" w:rsidTr="00BB225F">
        <w:tc>
          <w:tcPr>
            <w:tcW w:w="3870" w:type="dxa"/>
            <w:tcBorders>
              <w:top w:val="single" w:sz="4" w:space="0" w:color="auto"/>
              <w:left w:val="nil"/>
              <w:bottom w:val="nil"/>
              <w:right w:val="nil"/>
            </w:tcBorders>
            <w:hideMark/>
          </w:tcPr>
          <w:p w14:paraId="73DE5022" w14:textId="77777777" w:rsidR="00BB225F" w:rsidRDefault="00BB225F">
            <w:pPr>
              <w:tabs>
                <w:tab w:val="right" w:pos="9180"/>
              </w:tabs>
              <w:ind w:right="-360"/>
            </w:pPr>
            <w:r>
              <w:t>Cash and cash equivalents</w:t>
            </w:r>
          </w:p>
        </w:tc>
        <w:tc>
          <w:tcPr>
            <w:tcW w:w="1008" w:type="dxa"/>
            <w:tcBorders>
              <w:top w:val="single" w:sz="4" w:space="0" w:color="auto"/>
              <w:left w:val="nil"/>
              <w:bottom w:val="nil"/>
              <w:right w:val="nil"/>
            </w:tcBorders>
          </w:tcPr>
          <w:p w14:paraId="32B52196" w14:textId="77777777" w:rsidR="00BB225F" w:rsidRDefault="00BB225F">
            <w:pPr>
              <w:tabs>
                <w:tab w:val="decimal" w:pos="1062"/>
                <w:tab w:val="right" w:pos="9180"/>
              </w:tabs>
              <w:ind w:right="-18"/>
            </w:pPr>
          </w:p>
        </w:tc>
        <w:tc>
          <w:tcPr>
            <w:tcW w:w="1836" w:type="dxa"/>
            <w:tcBorders>
              <w:top w:val="single" w:sz="4" w:space="0" w:color="auto"/>
              <w:left w:val="nil"/>
              <w:bottom w:val="nil"/>
              <w:right w:val="nil"/>
            </w:tcBorders>
            <w:hideMark/>
          </w:tcPr>
          <w:p w14:paraId="69D64D6F" w14:textId="7DE3FD9E" w:rsidR="00BB225F" w:rsidRDefault="00BB225F">
            <w:pPr>
              <w:tabs>
                <w:tab w:val="decimal" w:pos="1317"/>
                <w:tab w:val="right" w:pos="9180"/>
              </w:tabs>
              <w:ind w:right="-18"/>
            </w:pPr>
            <w:r>
              <w:t>$</w:t>
            </w:r>
            <w:r>
              <w:tab/>
            </w:r>
            <w:r w:rsidR="00A55569">
              <w:t>7,438,769</w:t>
            </w:r>
          </w:p>
        </w:tc>
        <w:tc>
          <w:tcPr>
            <w:tcW w:w="1836" w:type="dxa"/>
            <w:tcBorders>
              <w:top w:val="single" w:sz="4" w:space="0" w:color="auto"/>
              <w:left w:val="nil"/>
              <w:bottom w:val="nil"/>
              <w:right w:val="nil"/>
            </w:tcBorders>
            <w:hideMark/>
          </w:tcPr>
          <w:p w14:paraId="5D658246" w14:textId="58EC125B" w:rsidR="00BB225F" w:rsidRDefault="00BB225F">
            <w:pPr>
              <w:tabs>
                <w:tab w:val="decimal" w:pos="1545"/>
                <w:tab w:val="right" w:pos="9180"/>
              </w:tabs>
              <w:ind w:right="-18"/>
            </w:pPr>
            <w:r>
              <w:t>$</w:t>
            </w:r>
            <w:r>
              <w:tab/>
            </w:r>
            <w:r w:rsidR="00A55569">
              <w:t>5,506,941</w:t>
            </w:r>
          </w:p>
        </w:tc>
      </w:tr>
      <w:tr w:rsidR="00BB225F" w14:paraId="33EEF461" w14:textId="77777777" w:rsidTr="00BB225F">
        <w:tc>
          <w:tcPr>
            <w:tcW w:w="3870" w:type="dxa"/>
            <w:hideMark/>
          </w:tcPr>
          <w:p w14:paraId="3075EFB8" w14:textId="26839ECC" w:rsidR="00BB225F" w:rsidRDefault="00BB225F">
            <w:pPr>
              <w:tabs>
                <w:tab w:val="right" w:pos="9180"/>
              </w:tabs>
              <w:ind w:right="-360"/>
            </w:pPr>
            <w:r>
              <w:t>Working capital</w:t>
            </w:r>
          </w:p>
        </w:tc>
        <w:tc>
          <w:tcPr>
            <w:tcW w:w="1008" w:type="dxa"/>
          </w:tcPr>
          <w:p w14:paraId="377A28E8" w14:textId="77777777" w:rsidR="00BB225F" w:rsidRDefault="00BB225F">
            <w:pPr>
              <w:tabs>
                <w:tab w:val="decimal" w:pos="1062"/>
                <w:tab w:val="right" w:pos="9180"/>
              </w:tabs>
              <w:ind w:right="-18"/>
            </w:pPr>
          </w:p>
        </w:tc>
        <w:tc>
          <w:tcPr>
            <w:tcW w:w="1836" w:type="dxa"/>
            <w:hideMark/>
          </w:tcPr>
          <w:p w14:paraId="6480158F" w14:textId="3F530FB8" w:rsidR="00BB225F" w:rsidRDefault="00BB225F">
            <w:pPr>
              <w:tabs>
                <w:tab w:val="decimal" w:pos="1317"/>
                <w:tab w:val="right" w:pos="9180"/>
              </w:tabs>
              <w:ind w:right="-18"/>
            </w:pPr>
            <w:r>
              <w:tab/>
            </w:r>
            <w:r w:rsidR="00A55569">
              <w:t>7,</w:t>
            </w:r>
            <w:r w:rsidR="00CE7D66">
              <w:t>677,073</w:t>
            </w:r>
          </w:p>
        </w:tc>
        <w:tc>
          <w:tcPr>
            <w:tcW w:w="1836" w:type="dxa"/>
            <w:hideMark/>
          </w:tcPr>
          <w:p w14:paraId="20C80184" w14:textId="05F990EB" w:rsidR="00BB225F" w:rsidRDefault="00BB225F">
            <w:pPr>
              <w:tabs>
                <w:tab w:val="decimal" w:pos="1545"/>
                <w:tab w:val="right" w:pos="9180"/>
              </w:tabs>
              <w:ind w:right="-18"/>
            </w:pPr>
            <w:r>
              <w:tab/>
            </w:r>
            <w:r w:rsidR="00A55569">
              <w:t>4,827,551</w:t>
            </w:r>
          </w:p>
        </w:tc>
      </w:tr>
    </w:tbl>
    <w:p w14:paraId="7121F564" w14:textId="77777777" w:rsidR="00BB225F" w:rsidRDefault="00BB225F" w:rsidP="00BB225F"/>
    <w:tbl>
      <w:tblPr>
        <w:tblW w:w="8550" w:type="dxa"/>
        <w:tblLayout w:type="fixed"/>
        <w:tblLook w:val="01E0" w:firstRow="1" w:lastRow="1" w:firstColumn="1" w:lastColumn="1" w:noHBand="0" w:noVBand="0"/>
      </w:tblPr>
      <w:tblGrid>
        <w:gridCol w:w="3870"/>
        <w:gridCol w:w="1008"/>
        <w:gridCol w:w="1836"/>
        <w:gridCol w:w="1836"/>
      </w:tblGrid>
      <w:tr w:rsidR="00BB225F" w14:paraId="3ABB6ABA" w14:textId="77777777" w:rsidTr="00BB225F">
        <w:tc>
          <w:tcPr>
            <w:tcW w:w="3870" w:type="dxa"/>
          </w:tcPr>
          <w:p w14:paraId="3ECFFA75" w14:textId="77777777" w:rsidR="00BB225F" w:rsidRDefault="00BB225F">
            <w:pPr>
              <w:tabs>
                <w:tab w:val="right" w:pos="9180"/>
              </w:tabs>
              <w:ind w:right="-360"/>
            </w:pPr>
          </w:p>
        </w:tc>
        <w:tc>
          <w:tcPr>
            <w:tcW w:w="1008" w:type="dxa"/>
          </w:tcPr>
          <w:p w14:paraId="4BC84188" w14:textId="77777777" w:rsidR="00BB225F" w:rsidRDefault="00BB225F">
            <w:pPr>
              <w:tabs>
                <w:tab w:val="right" w:pos="9180"/>
              </w:tabs>
              <w:ind w:right="-18"/>
              <w:jc w:val="center"/>
            </w:pPr>
          </w:p>
        </w:tc>
        <w:tc>
          <w:tcPr>
            <w:tcW w:w="3672" w:type="dxa"/>
            <w:gridSpan w:val="2"/>
            <w:tcBorders>
              <w:top w:val="nil"/>
              <w:left w:val="nil"/>
              <w:bottom w:val="single" w:sz="4" w:space="0" w:color="auto"/>
              <w:right w:val="nil"/>
            </w:tcBorders>
            <w:hideMark/>
          </w:tcPr>
          <w:p w14:paraId="5C86CEE1" w14:textId="3553FC6B" w:rsidR="00BB225F" w:rsidRDefault="00A55569">
            <w:pPr>
              <w:tabs>
                <w:tab w:val="right" w:pos="9180"/>
              </w:tabs>
              <w:ind w:right="-18"/>
              <w:jc w:val="center"/>
            </w:pPr>
            <w:r>
              <w:t>Three</w:t>
            </w:r>
            <w:r w:rsidR="00BB225F">
              <w:t xml:space="preserve"> Months Ended </w:t>
            </w:r>
            <w:r>
              <w:t>March</w:t>
            </w:r>
            <w:r w:rsidR="00BB225F">
              <w:t xml:space="preserve"> 3</w:t>
            </w:r>
            <w:r>
              <w:t>1</w:t>
            </w:r>
            <w:r w:rsidR="00BB225F">
              <w:t>,</w:t>
            </w:r>
          </w:p>
        </w:tc>
      </w:tr>
      <w:tr w:rsidR="00BB225F" w14:paraId="384A8317" w14:textId="77777777" w:rsidTr="00BB225F">
        <w:tc>
          <w:tcPr>
            <w:tcW w:w="3870" w:type="dxa"/>
            <w:tcBorders>
              <w:top w:val="nil"/>
              <w:left w:val="nil"/>
              <w:bottom w:val="single" w:sz="4" w:space="0" w:color="auto"/>
              <w:right w:val="nil"/>
            </w:tcBorders>
            <w:hideMark/>
          </w:tcPr>
          <w:p w14:paraId="42FA2502" w14:textId="77777777" w:rsidR="00BB225F" w:rsidRDefault="00BB225F">
            <w:pPr>
              <w:tabs>
                <w:tab w:val="right" w:pos="9180"/>
              </w:tabs>
              <w:ind w:right="-360"/>
            </w:pPr>
            <w:r>
              <w:t>Cash Flow Data</w:t>
            </w:r>
          </w:p>
        </w:tc>
        <w:tc>
          <w:tcPr>
            <w:tcW w:w="1008" w:type="dxa"/>
            <w:tcBorders>
              <w:top w:val="nil"/>
              <w:left w:val="nil"/>
              <w:bottom w:val="single" w:sz="4" w:space="0" w:color="auto"/>
              <w:right w:val="nil"/>
            </w:tcBorders>
          </w:tcPr>
          <w:p w14:paraId="116A837D" w14:textId="77777777" w:rsidR="00BB225F" w:rsidRDefault="00BB225F">
            <w:pPr>
              <w:tabs>
                <w:tab w:val="right" w:pos="9180"/>
              </w:tabs>
              <w:ind w:right="-18"/>
              <w:jc w:val="center"/>
            </w:pPr>
          </w:p>
        </w:tc>
        <w:tc>
          <w:tcPr>
            <w:tcW w:w="1836" w:type="dxa"/>
            <w:tcBorders>
              <w:top w:val="nil"/>
              <w:left w:val="nil"/>
              <w:bottom w:val="single" w:sz="4" w:space="0" w:color="auto"/>
              <w:right w:val="nil"/>
            </w:tcBorders>
            <w:hideMark/>
          </w:tcPr>
          <w:p w14:paraId="3E430A02" w14:textId="1EB9DE0B" w:rsidR="00BB225F" w:rsidRDefault="00BB225F">
            <w:pPr>
              <w:tabs>
                <w:tab w:val="right" w:pos="9180"/>
              </w:tabs>
              <w:ind w:right="-18"/>
              <w:jc w:val="center"/>
            </w:pPr>
            <w:r>
              <w:t>202</w:t>
            </w:r>
            <w:r w:rsidR="00A55569">
              <w:t>5</w:t>
            </w:r>
          </w:p>
        </w:tc>
        <w:tc>
          <w:tcPr>
            <w:tcW w:w="1836" w:type="dxa"/>
            <w:tcBorders>
              <w:top w:val="nil"/>
              <w:left w:val="nil"/>
              <w:bottom w:val="single" w:sz="4" w:space="0" w:color="auto"/>
              <w:right w:val="nil"/>
            </w:tcBorders>
            <w:hideMark/>
          </w:tcPr>
          <w:p w14:paraId="2CE3C006" w14:textId="1E6C191E" w:rsidR="00BB225F" w:rsidRDefault="00BB225F">
            <w:pPr>
              <w:tabs>
                <w:tab w:val="right" w:pos="9180"/>
              </w:tabs>
              <w:ind w:right="-18"/>
              <w:jc w:val="center"/>
            </w:pPr>
            <w:r>
              <w:t>202</w:t>
            </w:r>
            <w:r w:rsidR="00A55569">
              <w:t>4</w:t>
            </w:r>
          </w:p>
        </w:tc>
      </w:tr>
      <w:tr w:rsidR="00BB225F" w14:paraId="111EDCCD" w14:textId="77777777" w:rsidTr="00BB225F">
        <w:tc>
          <w:tcPr>
            <w:tcW w:w="3870" w:type="dxa"/>
            <w:hideMark/>
          </w:tcPr>
          <w:p w14:paraId="1D93EC30" w14:textId="77777777" w:rsidR="00BB225F" w:rsidRDefault="00BB225F">
            <w:pPr>
              <w:tabs>
                <w:tab w:val="right" w:pos="9180"/>
              </w:tabs>
              <w:ind w:right="-360"/>
            </w:pPr>
            <w:r>
              <w:t>Net cash provided by (used in):</w:t>
            </w:r>
          </w:p>
        </w:tc>
        <w:tc>
          <w:tcPr>
            <w:tcW w:w="1008" w:type="dxa"/>
          </w:tcPr>
          <w:p w14:paraId="4ED8B751" w14:textId="77777777" w:rsidR="00BB225F" w:rsidRDefault="00BB225F">
            <w:pPr>
              <w:tabs>
                <w:tab w:val="right" w:pos="9180"/>
              </w:tabs>
              <w:ind w:right="-18"/>
              <w:jc w:val="center"/>
            </w:pPr>
          </w:p>
        </w:tc>
        <w:tc>
          <w:tcPr>
            <w:tcW w:w="1836" w:type="dxa"/>
          </w:tcPr>
          <w:p w14:paraId="6AFD7C02" w14:textId="77777777" w:rsidR="00BB225F" w:rsidRDefault="00BB225F">
            <w:pPr>
              <w:tabs>
                <w:tab w:val="right" w:pos="9180"/>
              </w:tabs>
              <w:ind w:right="-18"/>
              <w:jc w:val="center"/>
            </w:pPr>
          </w:p>
        </w:tc>
        <w:tc>
          <w:tcPr>
            <w:tcW w:w="1836" w:type="dxa"/>
          </w:tcPr>
          <w:p w14:paraId="198B53E9" w14:textId="77777777" w:rsidR="00BB225F" w:rsidRDefault="00BB225F">
            <w:pPr>
              <w:tabs>
                <w:tab w:val="right" w:pos="9180"/>
              </w:tabs>
              <w:ind w:right="-18"/>
              <w:jc w:val="center"/>
            </w:pPr>
          </w:p>
        </w:tc>
      </w:tr>
      <w:tr w:rsidR="00BB225F" w14:paraId="07E7CD25" w14:textId="77777777" w:rsidTr="00BB225F">
        <w:tc>
          <w:tcPr>
            <w:tcW w:w="3870" w:type="dxa"/>
            <w:hideMark/>
          </w:tcPr>
          <w:p w14:paraId="68095F11" w14:textId="77777777" w:rsidR="00BB225F" w:rsidRDefault="00BB225F">
            <w:pPr>
              <w:tabs>
                <w:tab w:val="right" w:pos="9180"/>
              </w:tabs>
              <w:ind w:right="-360"/>
            </w:pPr>
            <w:r>
              <w:t xml:space="preserve">     Operating activities</w:t>
            </w:r>
          </w:p>
        </w:tc>
        <w:tc>
          <w:tcPr>
            <w:tcW w:w="1008" w:type="dxa"/>
          </w:tcPr>
          <w:p w14:paraId="4A90EAAA" w14:textId="77777777" w:rsidR="00BB225F" w:rsidRDefault="00BB225F">
            <w:pPr>
              <w:tabs>
                <w:tab w:val="decimal" w:pos="1062"/>
                <w:tab w:val="right" w:pos="9180"/>
              </w:tabs>
              <w:ind w:right="-18"/>
            </w:pPr>
          </w:p>
        </w:tc>
        <w:tc>
          <w:tcPr>
            <w:tcW w:w="1836" w:type="dxa"/>
            <w:hideMark/>
          </w:tcPr>
          <w:p w14:paraId="34874D48" w14:textId="5A14554F" w:rsidR="00BB225F" w:rsidRDefault="00BB225F">
            <w:pPr>
              <w:tabs>
                <w:tab w:val="decimal" w:pos="1317"/>
                <w:tab w:val="right" w:pos="9180"/>
              </w:tabs>
              <w:ind w:right="-18"/>
            </w:pPr>
            <w:r>
              <w:t>$</w:t>
            </w:r>
            <w:r>
              <w:tab/>
              <w:t>(</w:t>
            </w:r>
            <w:r w:rsidR="00A55569">
              <w:t>5,965,680</w:t>
            </w:r>
            <w:r>
              <w:t>)</w:t>
            </w:r>
          </w:p>
        </w:tc>
        <w:tc>
          <w:tcPr>
            <w:tcW w:w="1836" w:type="dxa"/>
            <w:hideMark/>
          </w:tcPr>
          <w:p w14:paraId="45AC8E9C" w14:textId="54640D5F" w:rsidR="00BB225F" w:rsidRDefault="00BB225F">
            <w:pPr>
              <w:tabs>
                <w:tab w:val="decimal" w:pos="1545"/>
                <w:tab w:val="right" w:pos="9180"/>
              </w:tabs>
              <w:ind w:right="-18"/>
            </w:pPr>
            <w:r>
              <w:t>$</w:t>
            </w:r>
            <w:r>
              <w:tab/>
              <w:t>(</w:t>
            </w:r>
            <w:r w:rsidR="00A55569">
              <w:t>5,683,730</w:t>
            </w:r>
            <w:r>
              <w:t>)</w:t>
            </w:r>
          </w:p>
        </w:tc>
      </w:tr>
      <w:tr w:rsidR="00BB225F" w14:paraId="2E2B4F5D" w14:textId="77777777" w:rsidTr="00BB225F">
        <w:tc>
          <w:tcPr>
            <w:tcW w:w="3870" w:type="dxa"/>
            <w:hideMark/>
          </w:tcPr>
          <w:p w14:paraId="62B5A914" w14:textId="77777777" w:rsidR="00BB225F" w:rsidRDefault="00BB225F">
            <w:pPr>
              <w:tabs>
                <w:tab w:val="right" w:pos="9180"/>
              </w:tabs>
              <w:ind w:right="-360"/>
            </w:pPr>
            <w:r>
              <w:t xml:space="preserve">     Investing activities</w:t>
            </w:r>
          </w:p>
        </w:tc>
        <w:tc>
          <w:tcPr>
            <w:tcW w:w="1008" w:type="dxa"/>
          </w:tcPr>
          <w:p w14:paraId="6E245DA6" w14:textId="77777777" w:rsidR="00BB225F" w:rsidRDefault="00BB225F">
            <w:pPr>
              <w:tabs>
                <w:tab w:val="decimal" w:pos="1062"/>
                <w:tab w:val="right" w:pos="9180"/>
              </w:tabs>
              <w:ind w:right="-18"/>
            </w:pPr>
          </w:p>
        </w:tc>
        <w:tc>
          <w:tcPr>
            <w:tcW w:w="1836" w:type="dxa"/>
            <w:hideMark/>
          </w:tcPr>
          <w:p w14:paraId="04298D0A" w14:textId="2DF1B892" w:rsidR="00BB225F" w:rsidRDefault="00BB225F">
            <w:pPr>
              <w:tabs>
                <w:tab w:val="decimal" w:pos="1317"/>
                <w:tab w:val="right" w:pos="9180"/>
              </w:tabs>
              <w:ind w:right="-18"/>
            </w:pPr>
            <w:r>
              <w:tab/>
            </w:r>
            <w:r w:rsidR="000163F0">
              <w:t>(</w:t>
            </w:r>
            <w:r w:rsidR="00A55569">
              <w:t>16,894</w:t>
            </w:r>
            <w:r w:rsidR="000163F0">
              <w:t>)</w:t>
            </w:r>
          </w:p>
        </w:tc>
        <w:tc>
          <w:tcPr>
            <w:tcW w:w="1836" w:type="dxa"/>
            <w:hideMark/>
          </w:tcPr>
          <w:p w14:paraId="4914631E" w14:textId="3E1A9978" w:rsidR="00BB225F" w:rsidRDefault="00BB225F">
            <w:pPr>
              <w:tabs>
                <w:tab w:val="decimal" w:pos="1545"/>
                <w:tab w:val="right" w:pos="9180"/>
              </w:tabs>
              <w:ind w:right="-18"/>
            </w:pPr>
            <w:r>
              <w:tab/>
            </w:r>
            <w:r w:rsidR="00A55569">
              <w:t>-</w:t>
            </w:r>
          </w:p>
        </w:tc>
      </w:tr>
      <w:tr w:rsidR="00BB225F" w14:paraId="2F7A4472" w14:textId="77777777" w:rsidTr="00BB225F">
        <w:tc>
          <w:tcPr>
            <w:tcW w:w="3870" w:type="dxa"/>
            <w:hideMark/>
          </w:tcPr>
          <w:p w14:paraId="4E9077FA" w14:textId="77777777" w:rsidR="00BB225F" w:rsidRDefault="00BB225F">
            <w:pPr>
              <w:tabs>
                <w:tab w:val="right" w:pos="9180"/>
              </w:tabs>
              <w:ind w:right="-360"/>
            </w:pPr>
            <w:r>
              <w:t xml:space="preserve">     Financing activities</w:t>
            </w:r>
          </w:p>
        </w:tc>
        <w:tc>
          <w:tcPr>
            <w:tcW w:w="1008" w:type="dxa"/>
          </w:tcPr>
          <w:p w14:paraId="17579FD1" w14:textId="77777777" w:rsidR="00BB225F" w:rsidRDefault="00BB225F">
            <w:pPr>
              <w:tabs>
                <w:tab w:val="decimal" w:pos="1044"/>
                <w:tab w:val="right" w:pos="9180"/>
              </w:tabs>
              <w:ind w:right="-18"/>
            </w:pPr>
          </w:p>
        </w:tc>
        <w:tc>
          <w:tcPr>
            <w:tcW w:w="1836" w:type="dxa"/>
            <w:tcBorders>
              <w:top w:val="nil"/>
              <w:left w:val="nil"/>
              <w:bottom w:val="single" w:sz="4" w:space="0" w:color="auto"/>
              <w:right w:val="nil"/>
            </w:tcBorders>
            <w:hideMark/>
          </w:tcPr>
          <w:p w14:paraId="179AE148" w14:textId="1218A82A" w:rsidR="00BB225F" w:rsidRDefault="00BB225F">
            <w:pPr>
              <w:tabs>
                <w:tab w:val="decimal" w:pos="1317"/>
                <w:tab w:val="right" w:pos="9180"/>
              </w:tabs>
              <w:ind w:right="-18"/>
            </w:pPr>
            <w:r>
              <w:tab/>
            </w:r>
            <w:r w:rsidR="00A55569">
              <w:t>7,914,402</w:t>
            </w:r>
          </w:p>
        </w:tc>
        <w:tc>
          <w:tcPr>
            <w:tcW w:w="1836" w:type="dxa"/>
            <w:tcBorders>
              <w:top w:val="nil"/>
              <w:left w:val="nil"/>
              <w:bottom w:val="single" w:sz="4" w:space="0" w:color="auto"/>
              <w:right w:val="nil"/>
            </w:tcBorders>
            <w:hideMark/>
          </w:tcPr>
          <w:p w14:paraId="2BC13E28" w14:textId="77777777" w:rsidR="00BB225F" w:rsidRDefault="00BB225F">
            <w:pPr>
              <w:tabs>
                <w:tab w:val="decimal" w:pos="1545"/>
                <w:tab w:val="right" w:pos="9180"/>
              </w:tabs>
              <w:ind w:right="-18"/>
            </w:pPr>
            <w:r>
              <w:tab/>
              <w:t>-</w:t>
            </w:r>
          </w:p>
        </w:tc>
      </w:tr>
      <w:tr w:rsidR="000163F0" w14:paraId="1A07E57A" w14:textId="77777777" w:rsidTr="00FF5F75">
        <w:tc>
          <w:tcPr>
            <w:tcW w:w="4878" w:type="dxa"/>
            <w:gridSpan w:val="2"/>
            <w:hideMark/>
          </w:tcPr>
          <w:p w14:paraId="2D4AAA4C" w14:textId="67A2CCB8" w:rsidR="000163F0" w:rsidRDefault="000163F0">
            <w:pPr>
              <w:tabs>
                <w:tab w:val="decimal" w:pos="1044"/>
                <w:tab w:val="right" w:pos="9180"/>
              </w:tabs>
              <w:ind w:right="-18"/>
            </w:pPr>
            <w:r>
              <w:t>Net increase (decrease) in cash and cash equivalents</w:t>
            </w:r>
          </w:p>
        </w:tc>
        <w:tc>
          <w:tcPr>
            <w:tcW w:w="1836" w:type="dxa"/>
            <w:tcBorders>
              <w:top w:val="single" w:sz="4" w:space="0" w:color="auto"/>
              <w:left w:val="nil"/>
              <w:bottom w:val="double" w:sz="4" w:space="0" w:color="auto"/>
              <w:right w:val="nil"/>
            </w:tcBorders>
            <w:hideMark/>
          </w:tcPr>
          <w:p w14:paraId="2473E54D" w14:textId="335AF7F7" w:rsidR="000163F0" w:rsidRDefault="000163F0">
            <w:pPr>
              <w:tabs>
                <w:tab w:val="decimal" w:pos="1317"/>
                <w:tab w:val="right" w:pos="9180"/>
              </w:tabs>
              <w:ind w:right="-18"/>
            </w:pPr>
            <w:r>
              <w:t>$</w:t>
            </w:r>
            <w:r>
              <w:tab/>
            </w:r>
            <w:r w:rsidR="00A55569">
              <w:t>1,931,828</w:t>
            </w:r>
          </w:p>
        </w:tc>
        <w:tc>
          <w:tcPr>
            <w:tcW w:w="1836" w:type="dxa"/>
            <w:tcBorders>
              <w:top w:val="single" w:sz="4" w:space="0" w:color="auto"/>
              <w:left w:val="nil"/>
              <w:bottom w:val="double" w:sz="4" w:space="0" w:color="auto"/>
              <w:right w:val="nil"/>
            </w:tcBorders>
            <w:hideMark/>
          </w:tcPr>
          <w:p w14:paraId="0D308917" w14:textId="4C9C4F60" w:rsidR="000163F0" w:rsidRDefault="000163F0">
            <w:pPr>
              <w:tabs>
                <w:tab w:val="decimal" w:pos="1545"/>
                <w:tab w:val="right" w:pos="9180"/>
              </w:tabs>
              <w:ind w:right="-18"/>
            </w:pPr>
            <w:r>
              <w:t>$</w:t>
            </w:r>
            <w:r>
              <w:tab/>
              <w:t>(</w:t>
            </w:r>
            <w:r w:rsidR="00A55569">
              <w:t>5,683,730)</w:t>
            </w:r>
          </w:p>
        </w:tc>
      </w:tr>
    </w:tbl>
    <w:p w14:paraId="58B20A80" w14:textId="77777777" w:rsidR="00177E79" w:rsidRPr="0009354D" w:rsidRDefault="00177E79" w:rsidP="00177E79"/>
    <w:p w14:paraId="5F6AE604" w14:textId="01D53EE9" w:rsidR="002F42A3" w:rsidRDefault="00177E79" w:rsidP="00177E79">
      <w:r w:rsidRPr="0009354D">
        <w:rPr>
          <w:i/>
          <w:iCs/>
        </w:rPr>
        <w:t>Operating Activities</w:t>
      </w:r>
      <w:r w:rsidRPr="0009354D">
        <w:t xml:space="preserve"> – </w:t>
      </w:r>
      <w:bookmarkStart w:id="27" w:name="_Hlk172030982"/>
      <w:r w:rsidR="002F42A3" w:rsidRPr="002F42A3">
        <w:t>Net cash used in operating activities of $</w:t>
      </w:r>
      <w:r w:rsidR="00EB3E30">
        <w:t>5,965,680</w:t>
      </w:r>
      <w:r w:rsidR="002F42A3" w:rsidRPr="002F42A3">
        <w:t xml:space="preserve"> for the </w:t>
      </w:r>
      <w:r w:rsidR="00EB3E30">
        <w:t>three-</w:t>
      </w:r>
      <w:r w:rsidR="002F42A3" w:rsidRPr="002F42A3">
        <w:t>month</w:t>
      </w:r>
      <w:r w:rsidR="00EB3E30">
        <w:t xml:space="preserve"> period</w:t>
      </w:r>
      <w:r w:rsidR="002F42A3" w:rsidRPr="002F42A3">
        <w:t xml:space="preserve"> ended </w:t>
      </w:r>
      <w:r w:rsidR="00EB3E30">
        <w:t>March</w:t>
      </w:r>
      <w:r w:rsidR="002F42A3" w:rsidRPr="002F42A3">
        <w:t xml:space="preserve"> 3</w:t>
      </w:r>
      <w:r w:rsidR="00EB3E30">
        <w:t>1</w:t>
      </w:r>
      <w:r w:rsidR="002F42A3" w:rsidRPr="002F42A3">
        <w:t>, 202</w:t>
      </w:r>
      <w:r w:rsidR="00EB3E30">
        <w:t>5</w:t>
      </w:r>
      <w:r w:rsidR="002F42A3" w:rsidRPr="002F42A3">
        <w:t>, was due to our net loss of $</w:t>
      </w:r>
      <w:r w:rsidR="005A60F4">
        <w:t>5,</w:t>
      </w:r>
      <w:r w:rsidR="00CE7D66">
        <w:t>357,651</w:t>
      </w:r>
      <w:r w:rsidR="002F42A3" w:rsidRPr="002F42A3">
        <w:t xml:space="preserve">, </w:t>
      </w:r>
      <w:r w:rsidR="009B0697">
        <w:t>offset</w:t>
      </w:r>
      <w:r w:rsidR="002F42A3" w:rsidRPr="002F42A3">
        <w:t xml:space="preserve"> by non-cash items such as depreciation </w:t>
      </w:r>
      <w:r w:rsidR="00F51F55">
        <w:t xml:space="preserve">and amortization </w:t>
      </w:r>
      <w:r w:rsidR="002F42A3" w:rsidRPr="002F42A3">
        <w:t>expense and stock-based compensation expense, and by changes in our working capital accounts</w:t>
      </w:r>
      <w:bookmarkEnd w:id="27"/>
      <w:r w:rsidR="002F42A3" w:rsidRPr="002F42A3">
        <w:t xml:space="preserve">. </w:t>
      </w:r>
      <w:r w:rsidR="00BB225F" w:rsidRPr="002F42A3">
        <w:t xml:space="preserve">Net cash used in operating activities of </w:t>
      </w:r>
      <w:r w:rsidR="000163F0">
        <w:t>$</w:t>
      </w:r>
      <w:r w:rsidR="00EB3E30">
        <w:t>5,683,730</w:t>
      </w:r>
      <w:r w:rsidR="00BB225F" w:rsidRPr="002F42A3">
        <w:t xml:space="preserve"> for the </w:t>
      </w:r>
      <w:r w:rsidR="00EB3E30">
        <w:t>three-</w:t>
      </w:r>
      <w:r w:rsidR="00BB225F" w:rsidRPr="002F42A3">
        <w:t>month</w:t>
      </w:r>
      <w:r w:rsidR="00EB3E30">
        <w:t xml:space="preserve"> period</w:t>
      </w:r>
      <w:r w:rsidR="00BB225F" w:rsidRPr="002F42A3">
        <w:t xml:space="preserve"> ended </w:t>
      </w:r>
      <w:r w:rsidR="00EB3E30">
        <w:t>March</w:t>
      </w:r>
      <w:r w:rsidR="00BB225F" w:rsidRPr="002F42A3">
        <w:t xml:space="preserve"> 3</w:t>
      </w:r>
      <w:r w:rsidR="00EB3E30">
        <w:t>1</w:t>
      </w:r>
      <w:r w:rsidR="00BB225F" w:rsidRPr="002F42A3">
        <w:t>, 202</w:t>
      </w:r>
      <w:r w:rsidR="00EB3E30">
        <w:t>4</w:t>
      </w:r>
      <w:r w:rsidR="00BB225F" w:rsidRPr="002F42A3">
        <w:t>, was due to our net loss of $</w:t>
      </w:r>
      <w:r w:rsidR="00EB3E30">
        <w:t>5,850,132</w:t>
      </w:r>
      <w:r w:rsidR="00BB225F" w:rsidRPr="002F42A3">
        <w:t xml:space="preserve">, </w:t>
      </w:r>
      <w:r w:rsidR="00BB225F">
        <w:t>offset</w:t>
      </w:r>
      <w:r w:rsidR="00BB225F" w:rsidRPr="002F42A3">
        <w:t xml:space="preserve"> by non-cash items such as depreciation expense and stock-based compensation expense, and by changes in our working capital accounts</w:t>
      </w:r>
      <w:r w:rsidR="009B0697">
        <w:t>.</w:t>
      </w:r>
    </w:p>
    <w:p w14:paraId="2E257523" w14:textId="77777777" w:rsidR="002F42A3" w:rsidRPr="0009354D" w:rsidRDefault="002F42A3" w:rsidP="00177E79"/>
    <w:p w14:paraId="3B77C8D2" w14:textId="00A3F7F4" w:rsidR="009B0697" w:rsidRDefault="00177E79" w:rsidP="00177E79">
      <w:r w:rsidRPr="0009354D">
        <w:rPr>
          <w:i/>
          <w:iCs/>
        </w:rPr>
        <w:t>Investing Activities</w:t>
      </w:r>
      <w:r w:rsidRPr="0009354D">
        <w:t xml:space="preserve"> –</w:t>
      </w:r>
      <w:r w:rsidR="009B0697">
        <w:t xml:space="preserve"> </w:t>
      </w:r>
      <w:r w:rsidR="009B0697" w:rsidRPr="009B0697">
        <w:t>Net cash used in investing activities was $</w:t>
      </w:r>
      <w:r w:rsidR="00EB3E30">
        <w:t>16,894</w:t>
      </w:r>
      <w:r w:rsidR="009B0697" w:rsidRPr="009B0697">
        <w:t xml:space="preserve"> for the </w:t>
      </w:r>
      <w:r w:rsidR="00EB3E30">
        <w:t>three</w:t>
      </w:r>
      <w:r w:rsidR="009B0697" w:rsidRPr="009B0697">
        <w:t xml:space="preserve">-month period ended </w:t>
      </w:r>
      <w:r w:rsidR="00EB3E30">
        <w:t>March</w:t>
      </w:r>
      <w:r w:rsidR="000163F0">
        <w:t xml:space="preserve"> </w:t>
      </w:r>
      <w:r w:rsidR="009B0697" w:rsidRPr="009B0697">
        <w:t>3</w:t>
      </w:r>
      <w:r w:rsidR="00EB3E30">
        <w:t>1</w:t>
      </w:r>
      <w:r w:rsidR="009B0697" w:rsidRPr="009B0697">
        <w:t>, 202</w:t>
      </w:r>
      <w:r w:rsidR="00EB3E30">
        <w:t>5</w:t>
      </w:r>
      <w:r w:rsidR="009B0697" w:rsidRPr="009B0697">
        <w:t xml:space="preserve"> and relates to purchases of laboratory equipment</w:t>
      </w:r>
      <w:r w:rsidR="00A16B79">
        <w:t>.</w:t>
      </w:r>
      <w:r w:rsidR="00EB3E30" w:rsidRPr="00EB3E30">
        <w:t xml:space="preserve"> </w:t>
      </w:r>
      <w:r w:rsidR="00EB3E30">
        <w:t xml:space="preserve">There were no cash flows from investing activities </w:t>
      </w:r>
      <w:r w:rsidR="00EB3E30" w:rsidRPr="0009354D">
        <w:t xml:space="preserve">for the </w:t>
      </w:r>
      <w:r w:rsidR="00EB3E30">
        <w:t>three</w:t>
      </w:r>
      <w:r w:rsidR="00EB3E30" w:rsidRPr="0009354D">
        <w:t xml:space="preserve">-month period ended </w:t>
      </w:r>
      <w:r w:rsidR="00EB3E30">
        <w:t xml:space="preserve">March </w:t>
      </w:r>
      <w:r w:rsidR="00EB3E30" w:rsidRPr="0009354D">
        <w:t>3</w:t>
      </w:r>
      <w:r w:rsidR="00EB3E30">
        <w:t>1</w:t>
      </w:r>
      <w:r w:rsidR="00EB3E30" w:rsidRPr="0009354D">
        <w:t>, 202</w:t>
      </w:r>
      <w:r w:rsidR="00EB3E30">
        <w:t>4.</w:t>
      </w:r>
    </w:p>
    <w:p w14:paraId="63E0CE9E" w14:textId="77777777" w:rsidR="009B0697" w:rsidRPr="0009354D" w:rsidRDefault="009B0697" w:rsidP="00177E79"/>
    <w:p w14:paraId="01DDCA84" w14:textId="6F895F51" w:rsidR="00EB3E30" w:rsidRDefault="00177E79" w:rsidP="00EB3E30">
      <w:r w:rsidRPr="0009354D">
        <w:rPr>
          <w:i/>
          <w:iCs/>
        </w:rPr>
        <w:t>Financing Activities</w:t>
      </w:r>
      <w:r w:rsidRPr="0009354D">
        <w:t xml:space="preserve"> – </w:t>
      </w:r>
      <w:bookmarkStart w:id="28" w:name="_Hlk98343180"/>
      <w:r w:rsidR="00A8079E" w:rsidRPr="0009354D">
        <w:t xml:space="preserve">Net cash </w:t>
      </w:r>
      <w:r w:rsidR="00A8079E">
        <w:t>provided by financing</w:t>
      </w:r>
      <w:r w:rsidR="00A8079E" w:rsidRPr="0009354D">
        <w:t xml:space="preserve"> activities was</w:t>
      </w:r>
      <w:r w:rsidR="00A8079E">
        <w:t xml:space="preserve"> $</w:t>
      </w:r>
      <w:r w:rsidR="00EB3E30">
        <w:t>7,914,402</w:t>
      </w:r>
      <w:r w:rsidR="00A8079E">
        <w:t xml:space="preserve"> </w:t>
      </w:r>
      <w:r w:rsidR="00A8079E" w:rsidRPr="0009354D">
        <w:t xml:space="preserve">for the </w:t>
      </w:r>
      <w:r w:rsidR="00EB3E30">
        <w:t>three</w:t>
      </w:r>
      <w:r w:rsidR="00A8079E" w:rsidRPr="0009354D">
        <w:t xml:space="preserve">-month period ended </w:t>
      </w:r>
      <w:r w:rsidR="00EB3E30">
        <w:t>March</w:t>
      </w:r>
      <w:r w:rsidR="00FB28E2">
        <w:t xml:space="preserve"> </w:t>
      </w:r>
      <w:r w:rsidR="00A8079E" w:rsidRPr="0009354D">
        <w:t>3</w:t>
      </w:r>
      <w:r w:rsidR="00EB3E30">
        <w:t>1</w:t>
      </w:r>
      <w:r w:rsidR="00A8079E" w:rsidRPr="0009354D">
        <w:t>, 202</w:t>
      </w:r>
      <w:r w:rsidR="00EB3E30">
        <w:t xml:space="preserve">5, and </w:t>
      </w:r>
      <w:r w:rsidR="00A8079E">
        <w:t>relates to</w:t>
      </w:r>
      <w:r w:rsidR="00BB225F">
        <w:t xml:space="preserve"> </w:t>
      </w:r>
      <w:r w:rsidR="00A8079E">
        <w:t>offering</w:t>
      </w:r>
      <w:r w:rsidR="001162A8">
        <w:t>s</w:t>
      </w:r>
      <w:r w:rsidR="00A8079E">
        <w:t xml:space="preserve"> </w:t>
      </w:r>
      <w:r w:rsidRPr="0009354D">
        <w:t>of our common stock</w:t>
      </w:r>
      <w:r w:rsidR="00E022F7">
        <w:t xml:space="preserve"> and warrants</w:t>
      </w:r>
      <w:bookmarkEnd w:id="28"/>
      <w:r w:rsidR="00BB225F">
        <w:t xml:space="preserve">. </w:t>
      </w:r>
      <w:r w:rsidR="00EB3E30">
        <w:t xml:space="preserve">There were no cash flows from financing activities </w:t>
      </w:r>
      <w:r w:rsidR="00EB3E30" w:rsidRPr="0009354D">
        <w:t xml:space="preserve">for the </w:t>
      </w:r>
      <w:r w:rsidR="00EB3E30">
        <w:t>three</w:t>
      </w:r>
      <w:r w:rsidR="00EB3E30" w:rsidRPr="0009354D">
        <w:t xml:space="preserve">-month period ended </w:t>
      </w:r>
      <w:r w:rsidR="00EB3E30">
        <w:t xml:space="preserve">March </w:t>
      </w:r>
      <w:r w:rsidR="00EB3E30" w:rsidRPr="0009354D">
        <w:t>3</w:t>
      </w:r>
      <w:r w:rsidR="00EB3E30">
        <w:t>1</w:t>
      </w:r>
      <w:r w:rsidR="00EB3E30" w:rsidRPr="0009354D">
        <w:t>, 202</w:t>
      </w:r>
      <w:r w:rsidR="00EB3E30">
        <w:t>4.</w:t>
      </w:r>
    </w:p>
    <w:p w14:paraId="04FEFA4A" w14:textId="77777777" w:rsidR="009B0697" w:rsidRPr="0009354D" w:rsidRDefault="009B0697" w:rsidP="00177E79"/>
    <w:p w14:paraId="6D5B440E" w14:textId="20C6E5EF" w:rsidR="00F2707B" w:rsidRPr="00491EB6" w:rsidRDefault="00F2707B" w:rsidP="00F2707B">
      <w:pPr>
        <w:rPr>
          <w:b/>
          <w:bCs/>
        </w:rPr>
      </w:pPr>
      <w:r w:rsidRPr="00530123">
        <w:rPr>
          <w:b/>
          <w:bCs/>
        </w:rPr>
        <w:t>Funding Requirements and Sources of Capital</w:t>
      </w:r>
    </w:p>
    <w:p w14:paraId="614EC5DE" w14:textId="77777777" w:rsidR="00F2707B" w:rsidRPr="0009354D" w:rsidRDefault="00F2707B" w:rsidP="00F2707B"/>
    <w:p w14:paraId="06372D6D" w14:textId="77777777" w:rsidR="00EB3E30" w:rsidRDefault="00EB3E30" w:rsidP="00EB3E30">
      <w:pPr>
        <w:pStyle w:val="BodyText"/>
        <w:spacing w:after="0"/>
      </w:pPr>
      <w:r>
        <w:t xml:space="preserve">To date, we have not generated any product revenue. We do not know when, or if, we will generate any product revenue and we do not expect to generate significant product revenue unless and until we obtain regulatory approval and commercialize one of our current or future product candidates. We anticipate that we will continue to generate losses for the foreseeable future, and we expect the losses to increase as we continue the development of, and seek regulatory approvals for, our product candidates, and begin to commercialize any approved products. We are subject to all of the risks incident to the development of </w:t>
      </w:r>
      <w:r>
        <w:rPr>
          <w:color w:val="000000"/>
        </w:rPr>
        <w:t>new</w:t>
      </w:r>
      <w:r>
        <w:t xml:space="preserve"> products, and may encounter unforeseen expenses, difficulties, complications, delays and other unknown factors that may harm our business. We anticipate that we will need substantial additional funding in connection with our continuing operations. We have funded our operations to date primarily from sales of our equity securities and from government grants and clinical trial assistance.</w:t>
      </w:r>
    </w:p>
    <w:p w14:paraId="1B716FA5" w14:textId="77777777" w:rsidR="001D476C" w:rsidRDefault="001D476C" w:rsidP="00F2707B"/>
    <w:p w14:paraId="1A038CA5" w14:textId="33E1DEC6" w:rsidR="009265AA" w:rsidRDefault="009265AA" w:rsidP="009265AA">
      <w:pPr>
        <w:pStyle w:val="BodyText"/>
        <w:spacing w:after="0"/>
      </w:pPr>
      <w:r>
        <w:t xml:space="preserve">During the </w:t>
      </w:r>
      <w:r w:rsidR="00EB3E30">
        <w:t>three</w:t>
      </w:r>
      <w:r w:rsidR="00C67A59">
        <w:t xml:space="preserve"> months ended </w:t>
      </w:r>
      <w:r w:rsidR="00EB3E30">
        <w:t>March</w:t>
      </w:r>
      <w:r w:rsidR="00C67A59">
        <w:t xml:space="preserve"> 3</w:t>
      </w:r>
      <w:r w:rsidR="00EB3E30">
        <w:t>1</w:t>
      </w:r>
      <w:r w:rsidR="00C67A59">
        <w:t>,</w:t>
      </w:r>
      <w:r>
        <w:t xml:space="preserve"> 202</w:t>
      </w:r>
      <w:r w:rsidR="00EB3E30">
        <w:t>5</w:t>
      </w:r>
      <w:r>
        <w:t xml:space="preserve">, we closed </w:t>
      </w:r>
      <w:r w:rsidR="00EB3E30">
        <w:t>a</w:t>
      </w:r>
      <w:r>
        <w:t xml:space="preserve"> registered direct </w:t>
      </w:r>
      <w:r w:rsidRPr="00547A7D">
        <w:t xml:space="preserve">offering of our common stock and warrants, as well as </w:t>
      </w:r>
      <w:r w:rsidR="00EB3E30" w:rsidRPr="00547A7D">
        <w:t>sold shares of our common stock pursuant to</w:t>
      </w:r>
      <w:r w:rsidRPr="00547A7D">
        <w:t xml:space="preserve"> </w:t>
      </w:r>
      <w:r w:rsidRPr="00547A7D">
        <w:rPr>
          <w:bCs/>
        </w:rPr>
        <w:t xml:space="preserve">the ATM Program (see </w:t>
      </w:r>
      <w:r w:rsidR="003703FE">
        <w:rPr>
          <w:bCs/>
        </w:rPr>
        <w:t>Note</w:t>
      </w:r>
      <w:r w:rsidRPr="00547A7D">
        <w:rPr>
          <w:bCs/>
        </w:rPr>
        <w:t xml:space="preserve"> </w:t>
      </w:r>
      <w:r w:rsidR="00547A7D" w:rsidRPr="00547A7D">
        <w:rPr>
          <w:bCs/>
        </w:rPr>
        <w:t>5</w:t>
      </w:r>
      <w:r w:rsidRPr="00547A7D">
        <w:rPr>
          <w:bCs/>
        </w:rPr>
        <w:t xml:space="preserve"> to the financial statements included in this Quarterly Report)</w:t>
      </w:r>
      <w:r w:rsidRPr="00547A7D">
        <w:t xml:space="preserve">. Net proceeds to us from these offerings, after deducting commissions to the placement agent and sales agent, as applicable, and other related offering expenses, were approximately </w:t>
      </w:r>
      <w:r w:rsidR="00EB3E30" w:rsidRPr="00547A7D">
        <w:t>$</w:t>
      </w:r>
      <w:r w:rsidR="00547A7D" w:rsidRPr="00547A7D">
        <w:t>7.9</w:t>
      </w:r>
      <w:r w:rsidR="003703FE">
        <w:t xml:space="preserve"> </w:t>
      </w:r>
      <w:r w:rsidRPr="00547A7D">
        <w:t>million.</w:t>
      </w:r>
      <w:r>
        <w:t xml:space="preserve"> </w:t>
      </w:r>
    </w:p>
    <w:p w14:paraId="471237C7" w14:textId="77777777" w:rsidR="009265AA" w:rsidRDefault="009265AA" w:rsidP="00F2707B"/>
    <w:p w14:paraId="24D27AC7" w14:textId="5BF810FA" w:rsidR="00F2707B" w:rsidRPr="004640B2" w:rsidRDefault="00F2707B" w:rsidP="00F2707B">
      <w:r w:rsidRPr="004640B2">
        <w:t xml:space="preserve">As of the date of this Quarterly Report, </w:t>
      </w:r>
      <w:r w:rsidR="007543D1">
        <w:t xml:space="preserve">we believe that </w:t>
      </w:r>
      <w:r w:rsidRPr="004640B2">
        <w:t xml:space="preserve">our existing cash and cash equivalents are sufficient to fund our operations </w:t>
      </w:r>
      <w:r w:rsidR="000163F0">
        <w:t>into</w:t>
      </w:r>
      <w:r w:rsidRPr="004640B2">
        <w:t xml:space="preserve"> the </w:t>
      </w:r>
      <w:r w:rsidR="00EB3E30">
        <w:t>third</w:t>
      </w:r>
      <w:r w:rsidRPr="00852055">
        <w:t xml:space="preserve"> quarter of 202</w:t>
      </w:r>
      <w:r w:rsidR="000163F0" w:rsidRPr="00852055">
        <w:t>5</w:t>
      </w:r>
      <w:r w:rsidRPr="00852055">
        <w:t>. We plan to pursue additional cash resources through public or private equity or debt financings,</w:t>
      </w:r>
      <w:r w:rsidRPr="004640B2">
        <w:t xml:space="preserve"> government grants/contracts, arrangements with strategic partners, or from other sources.</w:t>
      </w:r>
    </w:p>
    <w:p w14:paraId="1377089E" w14:textId="77777777" w:rsidR="00EB3E30" w:rsidRPr="004640B2" w:rsidRDefault="00EB3E30" w:rsidP="00F2707B"/>
    <w:p w14:paraId="616B85A5" w14:textId="77777777" w:rsidR="001A79C0" w:rsidRDefault="001A79C0" w:rsidP="001A79C0">
      <w:r w:rsidRPr="004640B2">
        <w:t xml:space="preserve">There can be no assurance that </w:t>
      </w:r>
      <w:r>
        <w:t>necessary</w:t>
      </w:r>
      <w:r w:rsidRPr="004640B2">
        <w:t xml:space="preserve"> funding will be available on favorable terms or at all. These factors collectively raise substantial doubt</w:t>
      </w:r>
      <w:r w:rsidRPr="00770EA9">
        <w:t xml:space="preserve"> about the Company’s ability to continue as a going concern. Management believes that we will be successful in securing the additional capital required to continue the Company’s planned operations, but that our plans do not fully alleviate the substantial doubt about the Company’s ability to operate as a going concern.</w:t>
      </w:r>
    </w:p>
    <w:p w14:paraId="74F2F928" w14:textId="77777777" w:rsidR="001A79C0" w:rsidRDefault="001A79C0" w:rsidP="001A79C0"/>
    <w:p w14:paraId="284D7B27" w14:textId="77777777" w:rsidR="001A79C0" w:rsidRDefault="001A79C0" w:rsidP="001A79C0">
      <w:r w:rsidRPr="00E55FA4">
        <w:lastRenderedPageBreak/>
        <w:t xml:space="preserve">We will need to continue to raise additional capital to support our future operating activities, including progression of our development programs, preparation for commercialization, and other operating costs. </w:t>
      </w:r>
      <w:r w:rsidRPr="00E6483E">
        <w:t>We may fund a significant portion of our ongoing operations through partnering and collaboration agreements</w:t>
      </w:r>
      <w:r>
        <w:t xml:space="preserve"> </w:t>
      </w:r>
      <w:r w:rsidRPr="00E6483E">
        <w:t xml:space="preserve">which, while reducing our risks and extending our cash runway, </w:t>
      </w:r>
      <w:r>
        <w:t>would</w:t>
      </w:r>
      <w:r w:rsidRPr="00E6483E">
        <w:t xml:space="preserve"> also reduce our share of eventual revenues, if any, from our vaccine candidates. </w:t>
      </w:r>
      <w:r>
        <w:t>Additionally, w</w:t>
      </w:r>
      <w:r w:rsidRPr="00E6483E">
        <w:t xml:space="preserve">e may be able to fund certain activities with assistance from government programs. </w:t>
      </w:r>
    </w:p>
    <w:p w14:paraId="3F7A5851" w14:textId="77777777" w:rsidR="001A79C0" w:rsidRDefault="001A79C0" w:rsidP="001A79C0"/>
    <w:p w14:paraId="539AEA66" w14:textId="77777777" w:rsidR="001A79C0" w:rsidRDefault="001A79C0" w:rsidP="001A79C0">
      <w:r w:rsidRPr="00E6483E">
        <w:t>The sale of additional equity would result in additional dilution to our stockholders. We may also fund our operations through debt financing, which would result in debt service obligations, and the instruments governing such debt could provide for operating and financing covenants that would restrict our operations. If we are unable to raise additional capital in sufficient amounts or on acceptable terms, we may be required to delay, limit, reduce, or terminate our product development or future commercialization efforts or grant rights to develop and market vaccine candidates that we would otherwise prefer to develop and market ourselves. Any of these actions could harm our business, results of operations and prospects.</w:t>
      </w:r>
    </w:p>
    <w:p w14:paraId="791F3620" w14:textId="77777777" w:rsidR="001A79C0" w:rsidRPr="00DE33AD" w:rsidRDefault="001A79C0" w:rsidP="001A79C0"/>
    <w:p w14:paraId="3D6C591E" w14:textId="77777777" w:rsidR="001A79C0" w:rsidRPr="00DE33AD" w:rsidRDefault="001A79C0" w:rsidP="001A79C0">
      <w:r w:rsidRPr="00DE33AD">
        <w:t>Our forecast of the period of time through which our financial resources will be adequate to support our operations is a forward-looking statement that involves risks and uncertainties and is based on assumptions that may prove to be wrong; actual results could vary materially. Our projection takes into consideration contractual commitments we have made, and expect to make, in the normal course of operating our business, which include (i) obligations to our employees, (ii) our lease obligations, (iii) payments due under license agreements for various technologies and patent rights associated with our product development activities, (iv) arrangements with CROs, CMOs, and other third-party vendors for clinical trials services and production of materials for use in our clinical trials, and (v) other various firm purchase commitments and contractual obligations related to production and testing of our product candidates and the general operation of our business.</w:t>
      </w:r>
    </w:p>
    <w:p w14:paraId="00A3B888" w14:textId="77777777" w:rsidR="001A79C0" w:rsidRPr="00DE33AD" w:rsidRDefault="001A79C0" w:rsidP="001A79C0"/>
    <w:p w14:paraId="23EAEAB6" w14:textId="77777777" w:rsidR="001A79C0" w:rsidRPr="00DE33AD" w:rsidRDefault="001A79C0" w:rsidP="001A79C0">
      <w:r w:rsidRPr="00DE33AD">
        <w:t>We have based our projections of operating capital requirements on assumptions that may prove to be incorrect, and we may use our available capital resources sooner than we expect. Our future capital requirements will depend on many factors, which include but are not limited to:</w:t>
      </w:r>
    </w:p>
    <w:p w14:paraId="063B0F87" w14:textId="77777777" w:rsidR="001A79C0" w:rsidRPr="00DE33AD" w:rsidRDefault="001A79C0" w:rsidP="001A79C0">
      <w:pPr>
        <w:numPr>
          <w:ilvl w:val="0"/>
          <w:numId w:val="13"/>
        </w:numPr>
      </w:pPr>
      <w:r w:rsidRPr="00DE33AD">
        <w:t>the timing and costs of our ongoing and planned clinical trials;</w:t>
      </w:r>
    </w:p>
    <w:p w14:paraId="22CF70FE" w14:textId="77777777" w:rsidR="001A79C0" w:rsidRPr="00DE33AD" w:rsidRDefault="001A79C0" w:rsidP="001A79C0">
      <w:pPr>
        <w:numPr>
          <w:ilvl w:val="0"/>
          <w:numId w:val="13"/>
        </w:numPr>
      </w:pPr>
      <w:r w:rsidRPr="00DE33AD">
        <w:t>the timing and costs of manufacturing material for use in clinical trials;</w:t>
      </w:r>
    </w:p>
    <w:p w14:paraId="14AEB9B9" w14:textId="77777777" w:rsidR="001A79C0" w:rsidRPr="00DE33AD" w:rsidRDefault="001A79C0" w:rsidP="001A79C0">
      <w:pPr>
        <w:numPr>
          <w:ilvl w:val="0"/>
          <w:numId w:val="13"/>
        </w:numPr>
      </w:pPr>
      <w:r w:rsidRPr="00DE33AD">
        <w:t xml:space="preserve">the number and scope of our research programs and the speed at which they are advanced; </w:t>
      </w:r>
    </w:p>
    <w:p w14:paraId="0E17BD13" w14:textId="77777777" w:rsidR="001A79C0" w:rsidRPr="00DE33AD" w:rsidRDefault="001A79C0" w:rsidP="001A79C0">
      <w:pPr>
        <w:numPr>
          <w:ilvl w:val="0"/>
          <w:numId w:val="13"/>
        </w:numPr>
      </w:pPr>
      <w:r w:rsidRPr="00DE33AD">
        <w:t xml:space="preserve">the progress and success of our preclinical and clinical development activities; </w:t>
      </w:r>
    </w:p>
    <w:p w14:paraId="3FBD28FA" w14:textId="77777777" w:rsidR="001A79C0" w:rsidRPr="00DE33AD" w:rsidRDefault="001A79C0" w:rsidP="001A79C0">
      <w:pPr>
        <w:numPr>
          <w:ilvl w:val="0"/>
          <w:numId w:val="13"/>
        </w:numPr>
      </w:pPr>
      <w:r w:rsidRPr="00DE33AD">
        <w:t xml:space="preserve">the costs involved in prosecuting and enforcing patent claims and other intellectual property rights; </w:t>
      </w:r>
    </w:p>
    <w:p w14:paraId="56D9E150" w14:textId="77777777" w:rsidR="001A79C0" w:rsidRPr="00DE33AD" w:rsidRDefault="001A79C0" w:rsidP="001A79C0">
      <w:pPr>
        <w:numPr>
          <w:ilvl w:val="0"/>
          <w:numId w:val="13"/>
        </w:numPr>
      </w:pPr>
      <w:r w:rsidRPr="00DE33AD">
        <w:t>the costs to attract and retain skilled personnel;</w:t>
      </w:r>
    </w:p>
    <w:p w14:paraId="7FA59E2A" w14:textId="77777777" w:rsidR="001A79C0" w:rsidRPr="00DE33AD" w:rsidRDefault="001A79C0" w:rsidP="001A79C0">
      <w:pPr>
        <w:numPr>
          <w:ilvl w:val="0"/>
          <w:numId w:val="13"/>
        </w:numPr>
      </w:pPr>
      <w:r w:rsidRPr="00DE33AD">
        <w:t>the costs to maintain and expand our infrastructure to support our operations, our product development, and planned future commercialization efforts;</w:t>
      </w:r>
    </w:p>
    <w:p w14:paraId="0FB1A4E0" w14:textId="77777777" w:rsidR="001A79C0" w:rsidRPr="00DE33AD" w:rsidRDefault="001A79C0" w:rsidP="001A79C0">
      <w:pPr>
        <w:numPr>
          <w:ilvl w:val="0"/>
          <w:numId w:val="13"/>
        </w:numPr>
      </w:pPr>
      <w:r w:rsidRPr="00DE33AD">
        <w:t xml:space="preserve">the terms and timing of establishing and maintaining collaborations, licenses and other similar arrangements; </w:t>
      </w:r>
    </w:p>
    <w:p w14:paraId="2D0EE358" w14:textId="77777777" w:rsidR="001A79C0" w:rsidRPr="00DE33AD" w:rsidRDefault="001A79C0" w:rsidP="001A79C0">
      <w:pPr>
        <w:numPr>
          <w:ilvl w:val="0"/>
          <w:numId w:val="13"/>
        </w:numPr>
      </w:pPr>
      <w:r w:rsidRPr="00DE33AD">
        <w:t xml:space="preserve">the costs associated with any products or technologies that we may in-license or acquire; and </w:t>
      </w:r>
    </w:p>
    <w:p w14:paraId="2F3462C3" w14:textId="77777777" w:rsidR="001A79C0" w:rsidRPr="00DE33AD" w:rsidRDefault="001A79C0" w:rsidP="001A79C0">
      <w:pPr>
        <w:numPr>
          <w:ilvl w:val="0"/>
          <w:numId w:val="13"/>
        </w:numPr>
      </w:pPr>
      <w:r w:rsidRPr="00DE33AD">
        <w:t>the costs and timing of regulatory approvals.</w:t>
      </w:r>
    </w:p>
    <w:p w14:paraId="7020D5CF" w14:textId="692FA572" w:rsidR="00385703" w:rsidRDefault="00385703" w:rsidP="00ED1E26">
      <w:pPr>
        <w:rPr>
          <w:color w:val="000000"/>
          <w:sz w:val="2"/>
          <w:szCs w:val="2"/>
        </w:rPr>
      </w:pPr>
    </w:p>
    <w:p w14:paraId="131DD401" w14:textId="77777777" w:rsidR="00852055" w:rsidRDefault="00852055">
      <w:pPr>
        <w:rPr>
          <w:b/>
        </w:rPr>
      </w:pPr>
      <w:bookmarkStart w:id="29" w:name="_Toc197922411"/>
      <w:r>
        <w:br w:type="page"/>
      </w:r>
    </w:p>
    <w:p w14:paraId="4067366E" w14:textId="57CA9E0A" w:rsidR="00182CF3" w:rsidRPr="001C6303" w:rsidRDefault="0054260E" w:rsidP="000A55AE">
      <w:pPr>
        <w:pStyle w:val="Heading2"/>
        <w:numPr>
          <w:ilvl w:val="0"/>
          <w:numId w:val="0"/>
        </w:numPr>
        <w:tabs>
          <w:tab w:val="left" w:pos="1080"/>
        </w:tabs>
        <w:spacing w:after="0"/>
      </w:pPr>
      <w:r w:rsidRPr="001C6303">
        <w:rPr>
          <w:u w:val="none"/>
        </w:rPr>
        <w:lastRenderedPageBreak/>
        <w:t>Item 3</w:t>
      </w:r>
      <w:r w:rsidRPr="001C6303">
        <w:rPr>
          <w:u w:val="none"/>
        </w:rPr>
        <w:tab/>
      </w:r>
      <w:r w:rsidR="0035003D" w:rsidRPr="001C6303">
        <w:t>Quantitative and Qualitative Disclosures About Market Risk</w:t>
      </w:r>
      <w:bookmarkEnd w:id="29"/>
    </w:p>
    <w:p w14:paraId="2ABA84AD" w14:textId="77777777" w:rsidR="000A55AE" w:rsidRDefault="000A55AE" w:rsidP="000A55AE">
      <w:pPr>
        <w:pStyle w:val="BodyText"/>
        <w:spacing w:after="0"/>
        <w:rPr>
          <w:rFonts w:eastAsia="????"/>
        </w:rPr>
      </w:pPr>
    </w:p>
    <w:p w14:paraId="4D216AB8" w14:textId="77777777" w:rsidR="00052C14" w:rsidRDefault="00052C14" w:rsidP="00052C14">
      <w:pPr>
        <w:pStyle w:val="BodyText"/>
        <w:spacing w:after="0"/>
      </w:pPr>
      <w:r>
        <w:t>Not applicable to smaller reporting companies.</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30" w:name="_Toc197922412"/>
      <w:r w:rsidRPr="001C6303">
        <w:rPr>
          <w:u w:val="none"/>
        </w:rPr>
        <w:t>Item 4</w:t>
      </w:r>
      <w:r w:rsidRPr="001C6303">
        <w:rPr>
          <w:u w:val="none"/>
        </w:rPr>
        <w:tab/>
      </w:r>
      <w:r w:rsidR="00BD6BBE" w:rsidRPr="001C6303">
        <w:t>Controls and Procedures</w:t>
      </w:r>
      <w:bookmarkEnd w:id="30"/>
    </w:p>
    <w:p w14:paraId="5A74D2A9" w14:textId="1A625506"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5E072F8C"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w:t>
      </w:r>
      <w:r w:rsidR="003C6624">
        <w:t>the “</w:t>
      </w:r>
      <w:r w:rsidRPr="001C6303">
        <w:t>Exchange Act</w:t>
      </w:r>
      <w:r w:rsidR="003C6624">
        <w:t>”</w:t>
      </w:r>
      <w:r w:rsidRPr="001C6303">
        <w: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79C60962" w:rsidR="00A920D8"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w:t>
      </w:r>
      <w:r w:rsidR="00925C68">
        <w:t>or</w:t>
      </w:r>
      <w:r w:rsidR="003467A5">
        <w:t xml:space="preserve">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w:t>
      </w:r>
      <w:r w:rsidR="003C6624">
        <w:t>SEC’s</w:t>
      </w:r>
      <w:r w:rsidRPr="001C6303">
        <w:t xml:space="preserve"> rules and forms.</w:t>
      </w:r>
    </w:p>
    <w:p w14:paraId="52F17A3F" w14:textId="77777777" w:rsidR="00C33214" w:rsidRPr="001C6303" w:rsidRDefault="00C33214" w:rsidP="000A55AE">
      <w:pPr>
        <w:pStyle w:val="BodyText"/>
        <w:spacing w:after="0"/>
      </w:pPr>
    </w:p>
    <w:p w14:paraId="067FB94C" w14:textId="77777777" w:rsidR="00C33214" w:rsidRPr="001C6303" w:rsidRDefault="00C33214" w:rsidP="00C33214">
      <w:pPr>
        <w:pStyle w:val="BodySubtitle"/>
      </w:pPr>
      <w:bookmarkStart w:id="31" w:name="_Toc197922413"/>
      <w:r w:rsidRPr="001C6303">
        <w:t>Changes in internal control over financial reporting</w:t>
      </w:r>
    </w:p>
    <w:p w14:paraId="6CF4403E" w14:textId="77777777" w:rsidR="00C33214" w:rsidRDefault="00C33214" w:rsidP="00C33214">
      <w:pPr>
        <w:pStyle w:val="BodyText"/>
        <w:spacing w:after="0"/>
      </w:pPr>
    </w:p>
    <w:p w14:paraId="71518E18" w14:textId="62B5C449" w:rsidR="00C33214" w:rsidRPr="00665E82" w:rsidRDefault="00C33214" w:rsidP="00C33214">
      <w:pPr>
        <w:pStyle w:val="BodyText"/>
        <w:spacing w:after="0"/>
        <w:rPr>
          <w:bCs/>
        </w:rPr>
      </w:pPr>
      <w:r>
        <w:t>T</w:t>
      </w:r>
      <w:r w:rsidRPr="001C6303">
        <w:t xml:space="preserve">here </w:t>
      </w:r>
      <w:r>
        <w:t>were</w:t>
      </w:r>
      <w:r w:rsidRPr="001C6303">
        <w:t xml:space="preserve"> no </w:t>
      </w:r>
      <w:r>
        <w:t xml:space="preserve">significant </w:t>
      </w:r>
      <w:r w:rsidRPr="001C6303">
        <w:t>change</w:t>
      </w:r>
      <w:r>
        <w:t>s</w:t>
      </w:r>
      <w:r w:rsidRPr="001C6303">
        <w:t xml:space="preserve"> in our internal control over financial reporting that occurred during the three months ended </w:t>
      </w:r>
      <w:r w:rsidR="00AE2834">
        <w:t>March</w:t>
      </w:r>
      <w:r>
        <w:t xml:space="preserve"> 3</w:t>
      </w:r>
      <w:r w:rsidR="00AE2834">
        <w:t>1</w:t>
      </w:r>
      <w:r>
        <w:t>, 202</w:t>
      </w:r>
      <w:r w:rsidR="00AE2834">
        <w:t>5</w:t>
      </w:r>
      <w:r>
        <w:t xml:space="preserve"> </w:t>
      </w:r>
      <w:r w:rsidRPr="001C6303">
        <w:t>that ha</w:t>
      </w:r>
      <w:r>
        <w:t>ve</w:t>
      </w:r>
      <w:r w:rsidRPr="001C6303">
        <w:t xml:space="preserve"> materially affected, or </w:t>
      </w:r>
      <w:r>
        <w:t>are</w:t>
      </w:r>
      <w:r w:rsidRPr="001C6303">
        <w:t xml:space="preserve"> reasonably likely to materially affect, our internal c</w:t>
      </w:r>
      <w:r>
        <w:t>ontrol over financial reporting.</w:t>
      </w:r>
    </w:p>
    <w:p w14:paraId="60C52D6C" w14:textId="77777777" w:rsidR="00C33214" w:rsidRDefault="00C33214" w:rsidP="00C33214"/>
    <w:p w14:paraId="076C6812" w14:textId="547E4F41" w:rsidR="00C33214" w:rsidRPr="00374DEE" w:rsidRDefault="00C33214" w:rsidP="00C33214">
      <w:pPr>
        <w:rPr>
          <w:i/>
        </w:rPr>
      </w:pPr>
      <w:r w:rsidRPr="00374DEE">
        <w:rPr>
          <w:i/>
        </w:rPr>
        <w:t>Limitations on Controls</w:t>
      </w:r>
    </w:p>
    <w:p w14:paraId="64E13A3A" w14:textId="77777777" w:rsidR="00C33214" w:rsidRDefault="00C33214" w:rsidP="00C33214"/>
    <w:p w14:paraId="2F83AC0C" w14:textId="77777777" w:rsidR="00C33214" w:rsidRPr="00024863" w:rsidRDefault="00C33214" w:rsidP="00C33214">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4AEAAD1D" w14:textId="4DB84DC9" w:rsidR="00D9086D" w:rsidRDefault="00D9086D" w:rsidP="000A55AE"/>
    <w:p w14:paraId="60FCE0CF" w14:textId="77777777" w:rsidR="00B74BA5" w:rsidRPr="00D9086D" w:rsidRDefault="00B74BA5" w:rsidP="000A55AE"/>
    <w:p w14:paraId="55D94DE0" w14:textId="77777777" w:rsidR="000877FE" w:rsidRDefault="000877FE">
      <w:pPr>
        <w:rPr>
          <w:b/>
        </w:rPr>
      </w:pPr>
      <w:r>
        <w:br w:type="page"/>
      </w:r>
    </w:p>
    <w:p w14:paraId="5CF04708" w14:textId="5C918648" w:rsidR="00BD6BBE" w:rsidRDefault="004E3374" w:rsidP="000A55AE">
      <w:pPr>
        <w:pStyle w:val="Heading1"/>
        <w:numPr>
          <w:ilvl w:val="0"/>
          <w:numId w:val="0"/>
        </w:numPr>
      </w:pPr>
      <w:r>
        <w:lastRenderedPageBreak/>
        <w:t>PART</w:t>
      </w:r>
      <w:r w:rsidR="002D50D9">
        <w:t xml:space="preserve"> II -- </w:t>
      </w:r>
      <w:r w:rsidR="00BD6BBE" w:rsidRPr="001C6303">
        <w:t>OTHER INFORMATION</w:t>
      </w:r>
      <w:bookmarkEnd w:id="31"/>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32" w:name="_Toc197922414"/>
      <w:r w:rsidRPr="001C6303">
        <w:t>Legal Proceedings</w:t>
      </w:r>
      <w:bookmarkEnd w:id="32"/>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33" w:name="_Toc197922415"/>
      <w:r w:rsidRPr="001C6303">
        <w:t>Risk Factors</w:t>
      </w:r>
      <w:bookmarkEnd w:id="33"/>
    </w:p>
    <w:p w14:paraId="2421EF43" w14:textId="77777777" w:rsidR="000A55AE" w:rsidRDefault="000A55AE" w:rsidP="000A55AE">
      <w:pPr>
        <w:pStyle w:val="BodyText"/>
        <w:spacing w:after="0"/>
      </w:pPr>
    </w:p>
    <w:p w14:paraId="36DCD36A" w14:textId="0BC44C6A" w:rsidR="00C33214" w:rsidRDefault="00C33214" w:rsidP="00C33214">
      <w:pPr>
        <w:pStyle w:val="BodyText"/>
        <w:spacing w:after="0"/>
      </w:pPr>
      <w:r w:rsidRPr="001C6303">
        <w:t>For information regarding factors that could affect our results of operations, financial condition or liquidity, see the risk factors discussed under “Risk Factors” in Item 1A of our most rece</w:t>
      </w:r>
      <w:r>
        <w:t xml:space="preserve">nt Annual Report on Form 10-K. </w:t>
      </w:r>
      <w:r w:rsidRPr="001C6303">
        <w:t xml:space="preserve">See also “Forward-Looking Statements,” included in </w:t>
      </w:r>
      <w:r>
        <w:t xml:space="preserve">Part I - </w:t>
      </w:r>
      <w:r w:rsidRPr="001C6303">
        <w:t xml:space="preserve">Item 2 of this </w:t>
      </w:r>
      <w:r>
        <w:t>Quarterly Report on Form 10-Q. As a smaller reporting company (as defined in Rule 12b-2 of the Exchange Act), we are not required to provide the information called for by this Item 1A concerning any material changes from the risk factors previously disclosed in our most recent Annual Report on Form 10</w:t>
      </w:r>
      <w:r w:rsidR="00DF1678">
        <w:noBreakHyphen/>
      </w:r>
      <w:r>
        <w:t>K.</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34" w:name="_Toc197922416"/>
      <w:r w:rsidRPr="001C6303">
        <w:t>Unregistered Sale</w:t>
      </w:r>
      <w:r w:rsidR="00A63414" w:rsidRPr="001C6303">
        <w:t>s</w:t>
      </w:r>
      <w:r w:rsidRPr="001C6303">
        <w:t xml:space="preserve"> of Equity Securities and Use of Proceeds</w:t>
      </w:r>
      <w:bookmarkEnd w:id="34"/>
    </w:p>
    <w:p w14:paraId="3CCD0E14" w14:textId="77777777" w:rsidR="00C6018F" w:rsidRDefault="00C6018F" w:rsidP="000A55AE">
      <w:pPr>
        <w:pStyle w:val="BodyText"/>
        <w:spacing w:after="0"/>
      </w:pPr>
      <w:bookmarkStart w:id="35" w:name="_Toc197922417"/>
    </w:p>
    <w:p w14:paraId="5A111FD7" w14:textId="58619A10" w:rsidR="00052C14" w:rsidRDefault="00052C14" w:rsidP="00052C14">
      <w:r w:rsidRPr="00C16143">
        <w:t>There were no</w:t>
      </w:r>
      <w:r w:rsidR="00C6018F">
        <w:t xml:space="preserve"> </w:t>
      </w:r>
      <w:r w:rsidRPr="00C16143">
        <w:t xml:space="preserve">sales of unregistered </w:t>
      </w:r>
      <w:r w:rsidR="001254C5">
        <w:t xml:space="preserve">equity </w:t>
      </w:r>
      <w:r w:rsidRPr="00C16143">
        <w:t>securities during the period covered by this report that have not previously been reported on Form 8-K.</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35"/>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1F5A6176" w:rsidR="00F44C3F" w:rsidRDefault="000D4A4B" w:rsidP="000A55AE">
      <w:r>
        <w:t>Not applicable</w:t>
      </w:r>
      <w:r w:rsidR="00A43563">
        <w:t>.</w:t>
      </w:r>
    </w:p>
    <w:p w14:paraId="1027084F" w14:textId="77777777" w:rsidR="000A55AE" w:rsidRDefault="000A55AE" w:rsidP="000A55AE"/>
    <w:p w14:paraId="189BAF65" w14:textId="1C17AB8C" w:rsidR="00025C72" w:rsidRPr="001C6303" w:rsidRDefault="00C07C60" w:rsidP="000A55AE">
      <w:pPr>
        <w:pStyle w:val="Heading2"/>
        <w:spacing w:after="0"/>
      </w:pPr>
      <w:bookmarkStart w:id="36" w:name="_Toc197922419"/>
      <w:r>
        <w:t>Other Information</w:t>
      </w:r>
    </w:p>
    <w:p w14:paraId="72A27140" w14:textId="77777777" w:rsidR="000A55AE" w:rsidRDefault="000A55AE" w:rsidP="000A55AE"/>
    <w:p w14:paraId="115A6BFF" w14:textId="787406CE" w:rsidR="00CB03AD" w:rsidRDefault="00CB03AD">
      <w:pPr>
        <w:rPr>
          <w:color w:val="000000"/>
        </w:rPr>
      </w:pPr>
      <w:r>
        <w:rPr>
          <w:color w:val="000000"/>
        </w:rPr>
        <w:t xml:space="preserve">During the </w:t>
      </w:r>
      <w:r w:rsidR="00A73268">
        <w:rPr>
          <w:color w:val="000000"/>
        </w:rPr>
        <w:t>period covered by this report</w:t>
      </w:r>
      <w:r>
        <w:rPr>
          <w:color w:val="000000"/>
        </w:rPr>
        <w:t>, none of our directors or executive officers</w:t>
      </w:r>
      <w:r w:rsidR="00A73268">
        <w:rPr>
          <w:color w:val="000000"/>
        </w:rPr>
        <w:t xml:space="preserve"> </w:t>
      </w:r>
      <w:r>
        <w:t>adopted</w:t>
      </w:r>
      <w:r w:rsidR="00A73268">
        <w:rPr>
          <w:color w:val="000000"/>
        </w:rPr>
        <w:t xml:space="preserve"> </w:t>
      </w:r>
      <w:r>
        <w:rPr>
          <w:color w:val="000000"/>
        </w:rPr>
        <w:t>or</w:t>
      </w:r>
      <w:r w:rsidR="00A73268">
        <w:rPr>
          <w:color w:val="000000"/>
        </w:rPr>
        <w:t xml:space="preserve"> </w:t>
      </w:r>
      <w:r>
        <w:t>terminated</w:t>
      </w:r>
      <w:r>
        <w:rPr>
          <w:color w:val="000000"/>
        </w:rPr>
        <w:t> any “Rule 10b5-1 trading arrangement” or “non-Rule 10b5-1 trading arrangement” (as each term is defined in Item 408(a) of Regulation S-K).</w:t>
      </w:r>
    </w:p>
    <w:p w14:paraId="794764D3" w14:textId="77777777" w:rsidR="00CB03AD" w:rsidRDefault="00CB03AD"/>
    <w:p w14:paraId="2379F571" w14:textId="026D3A7B" w:rsidR="00CB03AD" w:rsidRDefault="003467A5">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36"/>
    </w:p>
    <w:p w14:paraId="12362571" w14:textId="77777777" w:rsidR="00606C8D" w:rsidRDefault="00606C8D"/>
    <w:p w14:paraId="3F6849D0" w14:textId="77777777" w:rsidR="00606C8D" w:rsidRDefault="00606C8D"/>
    <w:p w14:paraId="427B8C1F" w14:textId="15272478" w:rsidR="00001C8D" w:rsidRDefault="00001C8D">
      <w:r>
        <w:br w:type="page"/>
      </w:r>
    </w:p>
    <w:p w14:paraId="513F7D6F" w14:textId="77777777" w:rsidR="00A17B7E" w:rsidRDefault="00A17B7E" w:rsidP="000C50EF"/>
    <w:p w14:paraId="3B899785" w14:textId="530B880D" w:rsidR="00717940" w:rsidRPr="00AE2834" w:rsidRDefault="005E7A32" w:rsidP="00742E05">
      <w:pPr>
        <w:pStyle w:val="Heading2"/>
        <w:numPr>
          <w:ilvl w:val="0"/>
          <w:numId w:val="0"/>
        </w:numPr>
        <w:tabs>
          <w:tab w:val="left" w:pos="1000"/>
        </w:tabs>
        <w:spacing w:after="0"/>
        <w:rPr>
          <w:u w:val="none"/>
        </w:rPr>
      </w:pPr>
      <w:bookmarkStart w:id="37" w:name="_Toc197922420"/>
      <w:r w:rsidRPr="001C6303">
        <w:rPr>
          <w:u w:val="none"/>
        </w:rPr>
        <w:t>Item 6</w:t>
      </w:r>
      <w:r w:rsidRPr="001C6303">
        <w:rPr>
          <w:u w:val="none"/>
        </w:rPr>
        <w:tab/>
      </w:r>
      <w:r w:rsidR="00BD6BBE" w:rsidRPr="001C6303">
        <w:t>Exhibits</w:t>
      </w:r>
      <w:bookmarkEnd w:id="37"/>
    </w:p>
    <w:p w14:paraId="14B0B89F" w14:textId="77777777" w:rsidR="00742E05" w:rsidRPr="00742E05" w:rsidRDefault="00742E05"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D07464">
      <w:pPr>
        <w:keepNext/>
        <w:tabs>
          <w:tab w:val="left" w:pos="900"/>
        </w:tabs>
        <w:spacing w:after="60"/>
        <w:rPr>
          <w:u w:val="single"/>
        </w:rPr>
      </w:pPr>
      <w:r w:rsidRPr="001C6303">
        <w:rPr>
          <w:u w:val="single"/>
        </w:rPr>
        <w:t>Number</w:t>
      </w:r>
      <w:r w:rsidRPr="001C6303">
        <w:tab/>
      </w:r>
      <w:r w:rsidRPr="001C6303">
        <w:rPr>
          <w:u w:val="single"/>
        </w:rPr>
        <w:t>Description</w:t>
      </w:r>
    </w:p>
    <w:p w14:paraId="27521BEF" w14:textId="1B915F2C" w:rsidR="004672D4" w:rsidRDefault="004672D4" w:rsidP="00D07464">
      <w:pPr>
        <w:ind w:left="900" w:hanging="900"/>
      </w:pPr>
      <w:r>
        <w:t>4.</w:t>
      </w:r>
      <w:r w:rsidR="006C0221">
        <w:t>1</w:t>
      </w:r>
      <w:r>
        <w:tab/>
      </w:r>
      <w:hyperlink r:id="rId22" w:history="1">
        <w:r w:rsidR="00C24FD2" w:rsidRPr="00E90160">
          <w:rPr>
            <w:rStyle w:val="Hyperlink"/>
          </w:rPr>
          <w:t xml:space="preserve">Form of Pre-Funded Warrant, dated March 25, 2025 </w:t>
        </w:r>
        <w:r w:rsidR="00C24FD2">
          <w:rPr>
            <w:rStyle w:val="Hyperlink"/>
          </w:rPr>
          <w:t>(2</w:t>
        </w:r>
        <w:r w:rsidR="00C24FD2" w:rsidRPr="00E90160">
          <w:rPr>
            <w:rStyle w:val="Hyperlink"/>
          </w:rPr>
          <w:t>)</w:t>
        </w:r>
      </w:hyperlink>
    </w:p>
    <w:p w14:paraId="7CD41625" w14:textId="1D088A16" w:rsidR="004672D4" w:rsidRDefault="004672D4" w:rsidP="00D07464">
      <w:pPr>
        <w:ind w:left="900" w:hanging="900"/>
      </w:pPr>
      <w:r>
        <w:t>4.</w:t>
      </w:r>
      <w:r w:rsidR="006C0221">
        <w:t>2</w:t>
      </w:r>
      <w:r>
        <w:tab/>
      </w:r>
      <w:hyperlink r:id="rId23" w:history="1">
        <w:r w:rsidR="00C24FD2" w:rsidRPr="00E90160">
          <w:rPr>
            <w:rStyle w:val="Hyperlink"/>
          </w:rPr>
          <w:t>Form of Common Stock Purchase Warrant, dated March 25, 2025 (</w:t>
        </w:r>
        <w:r w:rsidR="00C24FD2">
          <w:rPr>
            <w:rStyle w:val="Hyperlink"/>
          </w:rPr>
          <w:t>2</w:t>
        </w:r>
        <w:r w:rsidR="00C24FD2" w:rsidRPr="00E90160">
          <w:rPr>
            <w:rStyle w:val="Hyperlink"/>
          </w:rPr>
          <w:t>)</w:t>
        </w:r>
      </w:hyperlink>
    </w:p>
    <w:p w14:paraId="7CF9F8D3" w14:textId="329ECDF0" w:rsidR="00C24FD2" w:rsidRDefault="00C24FD2" w:rsidP="00D07464">
      <w:pPr>
        <w:ind w:left="900" w:hanging="900"/>
      </w:pPr>
      <w:r>
        <w:t>4.3</w:t>
      </w:r>
      <w:r>
        <w:tab/>
      </w:r>
      <w:hyperlink r:id="rId24" w:history="1">
        <w:r w:rsidRPr="00E90160">
          <w:rPr>
            <w:rStyle w:val="Hyperlink"/>
          </w:rPr>
          <w:t>Warrant Amendment Agreement, dated March 23, 2025 (</w:t>
        </w:r>
        <w:r>
          <w:rPr>
            <w:rStyle w:val="Hyperlink"/>
          </w:rPr>
          <w:t>2</w:t>
        </w:r>
        <w:r w:rsidRPr="00E90160">
          <w:rPr>
            <w:rStyle w:val="Hyperlink"/>
          </w:rPr>
          <w:t>)</w:t>
        </w:r>
      </w:hyperlink>
    </w:p>
    <w:p w14:paraId="7C5CE7F5" w14:textId="7663026A" w:rsidR="004672D4" w:rsidRDefault="004672D4" w:rsidP="00D07464">
      <w:pPr>
        <w:ind w:left="900" w:hanging="900"/>
      </w:pPr>
      <w:r>
        <w:t>10.</w:t>
      </w:r>
      <w:r w:rsidR="006C0221">
        <w:t>1</w:t>
      </w:r>
      <w:r>
        <w:tab/>
      </w:r>
      <w:hyperlink r:id="rId25" w:history="1">
        <w:r w:rsidR="00C24FD2" w:rsidRPr="00E90160">
          <w:rPr>
            <w:rStyle w:val="Hyperlink"/>
          </w:rPr>
          <w:t>Securities Purchase Agreement, dated March 23, 2025 (</w:t>
        </w:r>
        <w:r w:rsidR="00C24FD2">
          <w:rPr>
            <w:rStyle w:val="Hyperlink"/>
          </w:rPr>
          <w:t>2</w:t>
        </w:r>
        <w:r w:rsidR="00C24FD2" w:rsidRPr="00E90160">
          <w:rPr>
            <w:rStyle w:val="Hyperlink"/>
          </w:rPr>
          <w:t>)</w:t>
        </w:r>
      </w:hyperlink>
    </w:p>
    <w:p w14:paraId="769D58A4" w14:textId="3BFC2123" w:rsidR="00717940" w:rsidRPr="001C6303" w:rsidRDefault="00717940" w:rsidP="00D07464">
      <w:pPr>
        <w:ind w:left="900" w:hanging="900"/>
      </w:pPr>
      <w:r w:rsidRPr="001C6303">
        <w:t>31.1*</w:t>
      </w:r>
      <w:r w:rsidRPr="001C6303">
        <w:tab/>
        <w:t xml:space="preserve">Certification pursuant to Rule 13a-14(a) or 15d-14(a) of the Securities Exchange Act of 1934 </w:t>
      </w:r>
    </w:p>
    <w:p w14:paraId="0D5E8471" w14:textId="77777777" w:rsidR="00717940" w:rsidRPr="001C6303" w:rsidRDefault="00717940" w:rsidP="00D07464">
      <w:pPr>
        <w:ind w:left="900" w:hanging="900"/>
      </w:pPr>
      <w:r w:rsidRPr="001C6303">
        <w:t>31.2*</w:t>
      </w:r>
      <w:r w:rsidRPr="001C6303">
        <w:tab/>
        <w:t xml:space="preserve">Certification pursuant to Rule 13a-14(a) or 15d-14(a) of the Securities Exchange Act of 1934 </w:t>
      </w:r>
    </w:p>
    <w:p w14:paraId="7E0B9613" w14:textId="77777777" w:rsidR="00717940" w:rsidRPr="001C6303" w:rsidRDefault="00717940" w:rsidP="00D07464">
      <w:pPr>
        <w:ind w:left="900" w:hanging="90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D07464">
      <w:pPr>
        <w:tabs>
          <w:tab w:val="left" w:pos="2340"/>
          <w:tab w:val="left" w:pos="3600"/>
          <w:tab w:val="left" w:pos="7920"/>
        </w:tabs>
        <w:ind w:left="900" w:hanging="900"/>
      </w:pPr>
      <w:r w:rsidRPr="001C6303">
        <w:t>32.2*</w:t>
      </w:r>
      <w:r w:rsidRPr="001C6303">
        <w:tab/>
        <w:t xml:space="preserve">Certification pursuant to 18 U.S.C. Section 1350, as adopted by Section 906 of the Sarbanes-Oxley Act of 2002 </w:t>
      </w:r>
    </w:p>
    <w:p w14:paraId="6B43401B" w14:textId="1E52B498" w:rsidR="00277C53" w:rsidRDefault="00277C53" w:rsidP="00D07464">
      <w:pPr>
        <w:ind w:left="900" w:hanging="900"/>
      </w:pPr>
      <w:r>
        <w:t>101.INS</w:t>
      </w:r>
      <w:r>
        <w:tab/>
      </w:r>
      <w:r w:rsidR="001427A0">
        <w:t xml:space="preserve">Inline </w:t>
      </w:r>
      <w:r>
        <w:t>XBRL Instance Document</w:t>
      </w:r>
      <w:r w:rsidR="001427A0">
        <w:t xml:space="preserve"> (1)</w:t>
      </w:r>
    </w:p>
    <w:p w14:paraId="0DFF493E" w14:textId="681380A4" w:rsidR="00277C53" w:rsidRDefault="00277C53" w:rsidP="00D07464">
      <w:pPr>
        <w:ind w:left="900" w:hanging="900"/>
      </w:pPr>
      <w:r>
        <w:t>101.SCH</w:t>
      </w:r>
      <w:r>
        <w:tab/>
      </w:r>
      <w:r w:rsidR="001427A0">
        <w:t xml:space="preserve">Inline </w:t>
      </w:r>
      <w:r>
        <w:t>XBRL Taxonomy Extension Schema Document</w:t>
      </w:r>
      <w:r w:rsidR="001427A0">
        <w:t xml:space="preserve"> (1)</w:t>
      </w:r>
    </w:p>
    <w:p w14:paraId="15A985B3" w14:textId="24A71D0B" w:rsidR="00277C53" w:rsidRDefault="00277C53" w:rsidP="00D07464">
      <w:pPr>
        <w:ind w:left="900" w:hanging="900"/>
      </w:pPr>
      <w:r>
        <w:t>101.CAL</w:t>
      </w:r>
      <w:r>
        <w:tab/>
      </w:r>
      <w:r w:rsidR="001427A0">
        <w:t xml:space="preserve">Inline </w:t>
      </w:r>
      <w:r>
        <w:t>XBRL Taxonomy Extension Calculation Linkbase Document</w:t>
      </w:r>
      <w:r w:rsidR="001427A0">
        <w:t xml:space="preserve"> (1)</w:t>
      </w:r>
    </w:p>
    <w:p w14:paraId="237AE405" w14:textId="5CDEF9F8" w:rsidR="00277C53" w:rsidRDefault="00277C53" w:rsidP="00D07464">
      <w:pPr>
        <w:ind w:left="900" w:hanging="900"/>
      </w:pPr>
      <w:r>
        <w:t>101.DEF</w:t>
      </w:r>
      <w:r>
        <w:tab/>
      </w:r>
      <w:r w:rsidR="001427A0">
        <w:t xml:space="preserve">Inline </w:t>
      </w:r>
      <w:r>
        <w:t>XBRL Taxonomy Extension Definition Linkbase Document</w:t>
      </w:r>
      <w:r w:rsidR="001427A0">
        <w:t xml:space="preserve"> (1)</w:t>
      </w:r>
    </w:p>
    <w:p w14:paraId="3C8A4BF0" w14:textId="3C7FCEC9" w:rsidR="00277C53" w:rsidRDefault="00277C53" w:rsidP="00D07464">
      <w:pPr>
        <w:ind w:left="900" w:hanging="900"/>
      </w:pPr>
      <w:r>
        <w:t>101.LAB</w:t>
      </w:r>
      <w:r>
        <w:tab/>
      </w:r>
      <w:r w:rsidR="001427A0">
        <w:t xml:space="preserve">Inline </w:t>
      </w:r>
      <w:r>
        <w:t>XBRL Taxonomy Extension Label Linkbase Document</w:t>
      </w:r>
      <w:r w:rsidR="001427A0">
        <w:t xml:space="preserve"> (1)</w:t>
      </w:r>
    </w:p>
    <w:p w14:paraId="209011E7" w14:textId="6B684223" w:rsidR="00277C53" w:rsidRPr="001C6303" w:rsidRDefault="00277C53" w:rsidP="00D07464">
      <w:pPr>
        <w:ind w:left="900" w:hanging="900"/>
      </w:pPr>
      <w:r>
        <w:t>101.PR</w:t>
      </w:r>
      <w:r w:rsidR="001427A0">
        <w:t>E</w:t>
      </w:r>
      <w:r>
        <w:tab/>
      </w:r>
      <w:r w:rsidR="001427A0">
        <w:t xml:space="preserve">Inline </w:t>
      </w:r>
      <w:r>
        <w:t>XBRL Taxonomy Extension Presentation Linkbase Document</w:t>
      </w:r>
      <w:r w:rsidR="001427A0">
        <w:t xml:space="preserve"> (1)</w:t>
      </w:r>
    </w:p>
    <w:p w14:paraId="6920DFEF" w14:textId="77777777" w:rsidR="001427A0" w:rsidRPr="001C6303" w:rsidRDefault="001427A0" w:rsidP="00D07464">
      <w:pPr>
        <w:ind w:left="900" w:hanging="900"/>
      </w:pPr>
      <w:r>
        <w:t>104</w:t>
      </w:r>
      <w:r>
        <w:tab/>
        <w:t>Inline XBRL for the cover page of this Quarterly Report on Form 10-Q and included in the Exhibit 101 Inline XBRL Document Set (1)</w:t>
      </w:r>
    </w:p>
    <w:p w14:paraId="5E62D7C7" w14:textId="77777777" w:rsidR="001F0A43" w:rsidRDefault="001F0A43" w:rsidP="00717940"/>
    <w:p w14:paraId="11F802DA" w14:textId="77777777" w:rsidR="006E01E4" w:rsidRDefault="006E01E4" w:rsidP="00717940"/>
    <w:p w14:paraId="45F577B3" w14:textId="6973462B" w:rsidR="00717940" w:rsidRDefault="00717940" w:rsidP="00717940">
      <w:r>
        <w:t>_____________________</w:t>
      </w:r>
    </w:p>
    <w:p w14:paraId="74FDE28B" w14:textId="77777777" w:rsidR="00717940" w:rsidRDefault="00717940" w:rsidP="00717940">
      <w:r w:rsidRPr="001C6303">
        <w:t>*</w:t>
      </w:r>
      <w:r w:rsidRPr="001C6303">
        <w:tab/>
        <w:t>Filed herewith</w:t>
      </w:r>
    </w:p>
    <w:p w14:paraId="67B69AA3" w14:textId="7A33A9AD" w:rsidR="00717940" w:rsidRDefault="00717940" w:rsidP="00742E05">
      <w:pPr>
        <w:ind w:left="720" w:hanging="720"/>
      </w:pPr>
      <w:r>
        <w:t>**</w:t>
      </w:r>
      <w:r>
        <w:tab/>
      </w:r>
      <w:r w:rsidR="001427A0">
        <w:t>Indicates a management contract or compensatory plan or arrangement</w:t>
      </w:r>
    </w:p>
    <w:p w14:paraId="4382E3E7" w14:textId="77777777" w:rsidR="00462D62" w:rsidRDefault="00462D62" w:rsidP="00277C53"/>
    <w:p w14:paraId="29A1458B" w14:textId="62AA67B3" w:rsidR="002C10A3" w:rsidRDefault="001F0A43" w:rsidP="006C0221">
      <w:pPr>
        <w:pStyle w:val="ListParagraph"/>
        <w:numPr>
          <w:ilvl w:val="0"/>
          <w:numId w:val="15"/>
        </w:numPr>
        <w:ind w:left="720"/>
      </w:pPr>
      <w:r>
        <w:t>These interactive data files shall not be deemed filed or a part of a registration statement or prospectus for purposes of Sections 11 or 12 of the Securities Act of 1933, as amended, or Section 18 of the Securities Exchange Act of 1934, as amended, or otherwise subject to liability under these sections</w:t>
      </w:r>
      <w:r w:rsidR="00CC6E70">
        <w:t>.</w:t>
      </w:r>
    </w:p>
    <w:p w14:paraId="7DE48DE8" w14:textId="62D9D5D5" w:rsidR="00DE3857" w:rsidRDefault="00DE3857" w:rsidP="00DE3857">
      <w:pPr>
        <w:pStyle w:val="ListParagraph"/>
        <w:numPr>
          <w:ilvl w:val="0"/>
          <w:numId w:val="15"/>
        </w:numPr>
        <w:ind w:left="720"/>
      </w:pPr>
      <w:r>
        <w:t xml:space="preserve">Incorporated by reference from the registrant’s Current Report on Form 8-K filed </w:t>
      </w:r>
      <w:r w:rsidR="00C24FD2">
        <w:t>March</w:t>
      </w:r>
      <w:r>
        <w:t xml:space="preserve"> 2</w:t>
      </w:r>
      <w:r w:rsidR="00C24FD2">
        <w:t>5</w:t>
      </w:r>
      <w:r>
        <w:t>, 202</w:t>
      </w:r>
      <w:r w:rsidR="00C24FD2">
        <w:t>5</w:t>
      </w:r>
      <w:r>
        <w:t>.</w:t>
      </w:r>
    </w:p>
    <w:p w14:paraId="18AB680F" w14:textId="77777777" w:rsidR="002C10A3" w:rsidRDefault="002C10A3" w:rsidP="002C10A3"/>
    <w:p w14:paraId="685DB077" w14:textId="77777777" w:rsidR="00BD6BBE" w:rsidRPr="001C6303" w:rsidRDefault="00A87BFE">
      <w:pPr>
        <w:jc w:val="center"/>
        <w:rPr>
          <w:b/>
          <w:u w:val="single"/>
        </w:rPr>
      </w:pPr>
      <w:r w:rsidRPr="001C6303">
        <w:rPr>
          <w:b/>
          <w:u w:val="single"/>
        </w:rPr>
        <w:br w:type="page"/>
      </w:r>
      <w:r w:rsidR="00BD6BBE" w:rsidRPr="001C6303">
        <w:rPr>
          <w:b/>
          <w:u w:val="single"/>
        </w:rPr>
        <w:lastRenderedPageBreak/>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273A0929" w:rsidR="00BD6BBE" w:rsidRPr="001C6303" w:rsidRDefault="005277CB">
      <w:pPr>
        <w:tabs>
          <w:tab w:val="left" w:pos="720"/>
          <w:tab w:val="left" w:pos="5400"/>
          <w:tab w:val="center" w:pos="7380"/>
        </w:tabs>
      </w:pPr>
      <w:r w:rsidRPr="001C6303">
        <w:t>Date:</w:t>
      </w:r>
      <w:r w:rsidRPr="001C6303">
        <w:tab/>
      </w:r>
      <w:r w:rsidR="00AE2834">
        <w:t>May</w:t>
      </w:r>
      <w:r w:rsidR="00CC6E70">
        <w:t xml:space="preserve"> </w:t>
      </w:r>
      <w:r w:rsidR="00AE2834">
        <w:t>1</w:t>
      </w:r>
      <w:r w:rsidR="006B43ED" w:rsidRPr="00CD5558">
        <w:t>, 20</w:t>
      </w:r>
      <w:r w:rsidR="00717940">
        <w:t>2</w:t>
      </w:r>
      <w:r w:rsidR="00AE2834">
        <w:t>5</w:t>
      </w:r>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26"/>
      <w:headerReference w:type="default" r:id="rId27"/>
      <w:footerReference w:type="even" r:id="rId28"/>
      <w:footerReference w:type="default" r:id="rId29"/>
      <w:headerReference w:type="first" r:id="rId30"/>
      <w:footerReference w:type="first" r:id="rId3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717C" w14:textId="77777777" w:rsidR="008F0CD4" w:rsidRDefault="008F0CD4">
      <w:r>
        <w:separator/>
      </w:r>
    </w:p>
  </w:endnote>
  <w:endnote w:type="continuationSeparator" w:id="0">
    <w:p w14:paraId="2EB82905" w14:textId="77777777" w:rsidR="008F0CD4" w:rsidRDefault="008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5BA6" w14:textId="77777777" w:rsidR="005F4662" w:rsidRDefault="005F4662"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5F4662" w:rsidRDefault="005F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D819" w14:textId="77777777" w:rsidR="005F4662" w:rsidRDefault="005F4662">
    <w:pPr>
      <w:pStyle w:val="Footer"/>
      <w:framePr w:wrap="around" w:vAnchor="text" w:hAnchor="margin" w:xAlign="center" w:y="1"/>
      <w:rPr>
        <w:rStyle w:val="PageNumber"/>
      </w:rPr>
    </w:pPr>
  </w:p>
  <w:p w14:paraId="16540C0E" w14:textId="77777777" w:rsidR="005F4662" w:rsidRDefault="005F4662">
    <w:pPr>
      <w:pStyle w:val="Footer"/>
    </w:pPr>
  </w:p>
  <w:p w14:paraId="315F27D0" w14:textId="77777777" w:rsidR="005F4662" w:rsidRDefault="005F4662"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5014"/>
      <w:docPartObj>
        <w:docPartGallery w:val="Page Numbers (Bottom of Page)"/>
        <w:docPartUnique/>
      </w:docPartObj>
    </w:sdtPr>
    <w:sdtEndPr/>
    <w:sdtContent>
      <w:p w14:paraId="5B8BCD02" w14:textId="11F50AD3" w:rsidR="005F4662" w:rsidRDefault="005F4662">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1D44A63D" w14:textId="77777777" w:rsidR="005F4662" w:rsidRDefault="005F4662"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D917"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5F4662" w:rsidRDefault="005F4662">
    <w:pPr>
      <w:pStyle w:val="Footer"/>
    </w:pPr>
  </w:p>
  <w:p w14:paraId="6BB4EA6F" w14:textId="2B02572C" w:rsidR="005F4662" w:rsidRDefault="008A2604" w:rsidP="003A5897">
    <w:pPr>
      <w:pStyle w:val="Footer"/>
    </w:pPr>
    <w:fldSimple w:instr=" DOCPROPERTY &quot;SWDocID&quot;  \* MERGEFORMAT ">
      <w:r w:rsidR="0075437E" w:rsidRPr="0075437E">
        <w:rPr>
          <w:sz w:val="18"/>
        </w:rPr>
        <w:t>WCSR  3894443v2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9B4E" w14:textId="46775AA8"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90A3F9" w14:textId="77777777" w:rsidR="005F4662" w:rsidRDefault="005F4662">
    <w:pPr>
      <w:pStyle w:val="Footer"/>
    </w:pPr>
  </w:p>
  <w:p w14:paraId="54EF80D7" w14:textId="37A17F8A" w:rsidR="005F4662" w:rsidRDefault="008A2604" w:rsidP="003A5897">
    <w:pPr>
      <w:pStyle w:val="Footer"/>
    </w:pPr>
    <w:fldSimple w:instr=" DOCPROPERTY &quot;SWDocID&quot;  \* MERGEFORMAT ">
      <w:r w:rsidR="0075437E" w:rsidRPr="0075437E">
        <w:rPr>
          <w:sz w:val="18"/>
        </w:rPr>
        <w:t>WCSR  3894443v2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FFC3" w14:textId="77777777"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5F4662" w:rsidRDefault="005F4662">
    <w:pPr>
      <w:pStyle w:val="Foote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8380" w14:textId="020428AA"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5F4662" w:rsidRDefault="005F46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82A3"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42F4" w14:textId="77777777" w:rsidR="008F0CD4" w:rsidRDefault="008F0CD4">
      <w:r>
        <w:separator/>
      </w:r>
    </w:p>
  </w:footnote>
  <w:footnote w:type="continuationSeparator" w:id="0">
    <w:p w14:paraId="5155FB02" w14:textId="77777777" w:rsidR="008F0CD4" w:rsidRDefault="008F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9308" w14:textId="77777777" w:rsidR="005F4662" w:rsidRDefault="005F46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9073" w14:textId="77777777" w:rsidR="005F4662" w:rsidRDefault="005F4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9AD5" w14:textId="77777777" w:rsidR="005F4662" w:rsidRDefault="005F4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1C2D" w14:textId="77777777" w:rsidR="005F4662" w:rsidRDefault="005F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F292" w14:textId="77777777" w:rsidR="005F4662" w:rsidRDefault="005F4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7CC3" w14:textId="77777777" w:rsidR="005F4662" w:rsidRDefault="005F4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8D29" w14:textId="77777777" w:rsidR="005F4662" w:rsidRDefault="005F46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D70" w14:textId="77777777" w:rsidR="005F4662" w:rsidRDefault="005F46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4797" w14:textId="77777777" w:rsidR="005F4662" w:rsidRDefault="005F4662">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B2FE" w14:textId="77777777" w:rsidR="005F4662" w:rsidRDefault="005F46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8AA9" w14:textId="77777777" w:rsidR="005F4662" w:rsidRDefault="005F46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3184" w14:textId="77777777" w:rsidR="005F4662" w:rsidRDefault="005F4662">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D3264"/>
    <w:multiLevelType w:val="hybridMultilevel"/>
    <w:tmpl w:val="0B5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A1755"/>
    <w:multiLevelType w:val="hybridMultilevel"/>
    <w:tmpl w:val="F996A732"/>
    <w:lvl w:ilvl="0" w:tplc="B9DCE208">
      <w:start w:val="3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927BEE"/>
    <w:multiLevelType w:val="hybridMultilevel"/>
    <w:tmpl w:val="3C363A94"/>
    <w:lvl w:ilvl="0" w:tplc="E6665548">
      <w:start w:val="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75B0678"/>
    <w:multiLevelType w:val="hybridMultilevel"/>
    <w:tmpl w:val="4AE0C5BC"/>
    <w:lvl w:ilvl="0" w:tplc="A2668DAA">
      <w:start w:val="1"/>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93F15DC"/>
    <w:multiLevelType w:val="hybridMultilevel"/>
    <w:tmpl w:val="1C0657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6443C"/>
    <w:multiLevelType w:val="hybridMultilevel"/>
    <w:tmpl w:val="4BE4EA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6D63CC2"/>
    <w:multiLevelType w:val="hybridMultilevel"/>
    <w:tmpl w:val="58E8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2469F"/>
    <w:multiLevelType w:val="hybridMultilevel"/>
    <w:tmpl w:val="E68E5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7068A"/>
    <w:multiLevelType w:val="hybridMultilevel"/>
    <w:tmpl w:val="9A9CFDA6"/>
    <w:lvl w:ilvl="0" w:tplc="78107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6016C"/>
    <w:multiLevelType w:val="hybridMultilevel"/>
    <w:tmpl w:val="CE3EDF7C"/>
    <w:lvl w:ilvl="0" w:tplc="2F6CB91A">
      <w:start w:val="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B2D0DCA"/>
    <w:multiLevelType w:val="hybridMultilevel"/>
    <w:tmpl w:val="43DE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72CFF"/>
    <w:multiLevelType w:val="hybridMultilevel"/>
    <w:tmpl w:val="B7861BBC"/>
    <w:lvl w:ilvl="0" w:tplc="4C84E18E">
      <w:start w:val="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70EE1B18"/>
    <w:multiLevelType w:val="multilevel"/>
    <w:tmpl w:val="5E92680E"/>
    <w:lvl w:ilvl="0">
      <w:start w:val="1"/>
      <w:numFmt w:val="decimal"/>
      <w:lvlText w:val="%1"/>
      <w:lvlJc w:val="left"/>
      <w:pPr>
        <w:ind w:left="990" w:hanging="990"/>
      </w:pPr>
      <w:rPr>
        <w:rFonts w:hint="default"/>
      </w:rPr>
    </w:lvl>
    <w:lvl w:ilvl="1">
      <w:start w:val="1"/>
      <w:numFmt w:val="decimalZero"/>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7276644"/>
    <w:multiLevelType w:val="hybridMultilevel"/>
    <w:tmpl w:val="D82469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7812">
    <w:abstractNumId w:val="3"/>
  </w:num>
  <w:num w:numId="2" w16cid:durableId="97019539">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16cid:durableId="1462108970">
    <w:abstractNumId w:val="11"/>
  </w:num>
  <w:num w:numId="4" w16cid:durableId="31922999">
    <w:abstractNumId w:val="5"/>
  </w:num>
  <w:num w:numId="5" w16cid:durableId="583146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4575631">
    <w:abstractNumId w:val="1"/>
  </w:num>
  <w:num w:numId="7" w16cid:durableId="918561998">
    <w:abstractNumId w:val="2"/>
  </w:num>
  <w:num w:numId="8" w16cid:durableId="1966542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055740">
    <w:abstractNumId w:val="6"/>
  </w:num>
  <w:num w:numId="10" w16cid:durableId="1547378558">
    <w:abstractNumId w:val="18"/>
  </w:num>
  <w:num w:numId="11" w16cid:durableId="623535316">
    <w:abstractNumId w:val="13"/>
  </w:num>
  <w:num w:numId="12" w16cid:durableId="163017238">
    <w:abstractNumId w:val="16"/>
  </w:num>
  <w:num w:numId="13" w16cid:durableId="508300343">
    <w:abstractNumId w:val="12"/>
  </w:num>
  <w:num w:numId="14" w16cid:durableId="554894855">
    <w:abstractNumId w:val="4"/>
  </w:num>
  <w:num w:numId="15" w16cid:durableId="2712960">
    <w:abstractNumId w:val="14"/>
  </w:num>
  <w:num w:numId="16" w16cid:durableId="1257514816">
    <w:abstractNumId w:val="7"/>
  </w:num>
  <w:num w:numId="17" w16cid:durableId="1355694538">
    <w:abstractNumId w:val="17"/>
  </w:num>
  <w:num w:numId="18" w16cid:durableId="1392462376">
    <w:abstractNumId w:val="15"/>
  </w:num>
  <w:num w:numId="19" w16cid:durableId="1039863837">
    <w:abstractNumId w:val="20"/>
  </w:num>
  <w:num w:numId="20" w16cid:durableId="110055132">
    <w:abstractNumId w:val="9"/>
  </w:num>
  <w:num w:numId="21" w16cid:durableId="143351856">
    <w:abstractNumId w:val="8"/>
  </w:num>
  <w:num w:numId="22" w16cid:durableId="162321986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1C8D"/>
    <w:rsid w:val="00003127"/>
    <w:rsid w:val="000031AA"/>
    <w:rsid w:val="000034E0"/>
    <w:rsid w:val="00003985"/>
    <w:rsid w:val="00003B72"/>
    <w:rsid w:val="000045A2"/>
    <w:rsid w:val="00004976"/>
    <w:rsid w:val="00006146"/>
    <w:rsid w:val="00006D2A"/>
    <w:rsid w:val="00010534"/>
    <w:rsid w:val="000108EF"/>
    <w:rsid w:val="00010CDD"/>
    <w:rsid w:val="00011002"/>
    <w:rsid w:val="00011BEF"/>
    <w:rsid w:val="00012345"/>
    <w:rsid w:val="000128C9"/>
    <w:rsid w:val="00012E6B"/>
    <w:rsid w:val="00015D77"/>
    <w:rsid w:val="000162CE"/>
    <w:rsid w:val="000163F0"/>
    <w:rsid w:val="00017A17"/>
    <w:rsid w:val="000206F1"/>
    <w:rsid w:val="00021A09"/>
    <w:rsid w:val="00022B11"/>
    <w:rsid w:val="000237DB"/>
    <w:rsid w:val="0002455D"/>
    <w:rsid w:val="000246D7"/>
    <w:rsid w:val="000251EA"/>
    <w:rsid w:val="000253FD"/>
    <w:rsid w:val="00025C72"/>
    <w:rsid w:val="00025E86"/>
    <w:rsid w:val="000267C2"/>
    <w:rsid w:val="000311C2"/>
    <w:rsid w:val="00031A17"/>
    <w:rsid w:val="0003218D"/>
    <w:rsid w:val="00032EFE"/>
    <w:rsid w:val="00033091"/>
    <w:rsid w:val="00033723"/>
    <w:rsid w:val="00034E07"/>
    <w:rsid w:val="00035313"/>
    <w:rsid w:val="000362E1"/>
    <w:rsid w:val="00036C2E"/>
    <w:rsid w:val="00036D88"/>
    <w:rsid w:val="0003701D"/>
    <w:rsid w:val="000371CC"/>
    <w:rsid w:val="00037DDA"/>
    <w:rsid w:val="00041939"/>
    <w:rsid w:val="00041E98"/>
    <w:rsid w:val="000427E1"/>
    <w:rsid w:val="00044936"/>
    <w:rsid w:val="00045A27"/>
    <w:rsid w:val="000467AD"/>
    <w:rsid w:val="00046E77"/>
    <w:rsid w:val="000504C2"/>
    <w:rsid w:val="00050847"/>
    <w:rsid w:val="00050E31"/>
    <w:rsid w:val="000510FB"/>
    <w:rsid w:val="000514F7"/>
    <w:rsid w:val="0005266E"/>
    <w:rsid w:val="00052BD0"/>
    <w:rsid w:val="00052C14"/>
    <w:rsid w:val="00052CED"/>
    <w:rsid w:val="000539A3"/>
    <w:rsid w:val="00053F1C"/>
    <w:rsid w:val="00054B43"/>
    <w:rsid w:val="000550F2"/>
    <w:rsid w:val="00055C21"/>
    <w:rsid w:val="000563AC"/>
    <w:rsid w:val="0005774A"/>
    <w:rsid w:val="00057822"/>
    <w:rsid w:val="00060DB0"/>
    <w:rsid w:val="00061BE1"/>
    <w:rsid w:val="000644BC"/>
    <w:rsid w:val="00065002"/>
    <w:rsid w:val="000654AF"/>
    <w:rsid w:val="00065B02"/>
    <w:rsid w:val="00066C41"/>
    <w:rsid w:val="00066DD7"/>
    <w:rsid w:val="0007076D"/>
    <w:rsid w:val="00072810"/>
    <w:rsid w:val="000733A2"/>
    <w:rsid w:val="00074805"/>
    <w:rsid w:val="00074B67"/>
    <w:rsid w:val="00075378"/>
    <w:rsid w:val="00075B75"/>
    <w:rsid w:val="0007631A"/>
    <w:rsid w:val="00076557"/>
    <w:rsid w:val="00076ACC"/>
    <w:rsid w:val="00082209"/>
    <w:rsid w:val="0008274C"/>
    <w:rsid w:val="00085927"/>
    <w:rsid w:val="00086188"/>
    <w:rsid w:val="0008634B"/>
    <w:rsid w:val="00086A2F"/>
    <w:rsid w:val="000871E0"/>
    <w:rsid w:val="000877FE"/>
    <w:rsid w:val="00087841"/>
    <w:rsid w:val="00087E6E"/>
    <w:rsid w:val="00087F53"/>
    <w:rsid w:val="00090FF4"/>
    <w:rsid w:val="00094012"/>
    <w:rsid w:val="0009462E"/>
    <w:rsid w:val="000947D0"/>
    <w:rsid w:val="00095DD7"/>
    <w:rsid w:val="00096B1B"/>
    <w:rsid w:val="00096E33"/>
    <w:rsid w:val="00097B30"/>
    <w:rsid w:val="000A1F53"/>
    <w:rsid w:val="000A1FE7"/>
    <w:rsid w:val="000A3522"/>
    <w:rsid w:val="000A437C"/>
    <w:rsid w:val="000A49BE"/>
    <w:rsid w:val="000A4CB0"/>
    <w:rsid w:val="000A4DF8"/>
    <w:rsid w:val="000A5148"/>
    <w:rsid w:val="000A55AE"/>
    <w:rsid w:val="000A58BB"/>
    <w:rsid w:val="000A6576"/>
    <w:rsid w:val="000B0FD9"/>
    <w:rsid w:val="000B12B0"/>
    <w:rsid w:val="000B1892"/>
    <w:rsid w:val="000B19B2"/>
    <w:rsid w:val="000B33FC"/>
    <w:rsid w:val="000B4A80"/>
    <w:rsid w:val="000B5975"/>
    <w:rsid w:val="000B5C24"/>
    <w:rsid w:val="000B648E"/>
    <w:rsid w:val="000B712F"/>
    <w:rsid w:val="000B7596"/>
    <w:rsid w:val="000B7D9B"/>
    <w:rsid w:val="000C0100"/>
    <w:rsid w:val="000C085D"/>
    <w:rsid w:val="000C18B5"/>
    <w:rsid w:val="000C4495"/>
    <w:rsid w:val="000C47BC"/>
    <w:rsid w:val="000C50EF"/>
    <w:rsid w:val="000C6372"/>
    <w:rsid w:val="000C6642"/>
    <w:rsid w:val="000C6697"/>
    <w:rsid w:val="000C6FA0"/>
    <w:rsid w:val="000C70FD"/>
    <w:rsid w:val="000D0077"/>
    <w:rsid w:val="000D1244"/>
    <w:rsid w:val="000D15F1"/>
    <w:rsid w:val="000D175D"/>
    <w:rsid w:val="000D3DC5"/>
    <w:rsid w:val="000D4459"/>
    <w:rsid w:val="000D4A4B"/>
    <w:rsid w:val="000D51BA"/>
    <w:rsid w:val="000D595F"/>
    <w:rsid w:val="000D599A"/>
    <w:rsid w:val="000D5CD5"/>
    <w:rsid w:val="000D5FA7"/>
    <w:rsid w:val="000D6F5A"/>
    <w:rsid w:val="000D7A76"/>
    <w:rsid w:val="000D7B7A"/>
    <w:rsid w:val="000E0FB3"/>
    <w:rsid w:val="000E213D"/>
    <w:rsid w:val="000E36B3"/>
    <w:rsid w:val="000E4EF2"/>
    <w:rsid w:val="000E5E04"/>
    <w:rsid w:val="000E6FF4"/>
    <w:rsid w:val="000E74A1"/>
    <w:rsid w:val="000E7698"/>
    <w:rsid w:val="000E7CAC"/>
    <w:rsid w:val="000F0905"/>
    <w:rsid w:val="000F0B9C"/>
    <w:rsid w:val="000F0E0C"/>
    <w:rsid w:val="000F0F0D"/>
    <w:rsid w:val="000F202C"/>
    <w:rsid w:val="000F3079"/>
    <w:rsid w:val="000F3A7C"/>
    <w:rsid w:val="000F3D82"/>
    <w:rsid w:val="000F4B4D"/>
    <w:rsid w:val="000F57EC"/>
    <w:rsid w:val="000F5A92"/>
    <w:rsid w:val="000F6610"/>
    <w:rsid w:val="000F7274"/>
    <w:rsid w:val="000F74E2"/>
    <w:rsid w:val="001000F4"/>
    <w:rsid w:val="0010035E"/>
    <w:rsid w:val="00100B39"/>
    <w:rsid w:val="00103160"/>
    <w:rsid w:val="00103750"/>
    <w:rsid w:val="001046B1"/>
    <w:rsid w:val="00105589"/>
    <w:rsid w:val="00105666"/>
    <w:rsid w:val="00105905"/>
    <w:rsid w:val="00106DDC"/>
    <w:rsid w:val="00106E6F"/>
    <w:rsid w:val="0010791D"/>
    <w:rsid w:val="0011067F"/>
    <w:rsid w:val="00110954"/>
    <w:rsid w:val="00110A45"/>
    <w:rsid w:val="00110E4D"/>
    <w:rsid w:val="00110F05"/>
    <w:rsid w:val="001112D9"/>
    <w:rsid w:val="001113CE"/>
    <w:rsid w:val="001115AD"/>
    <w:rsid w:val="0011183F"/>
    <w:rsid w:val="001136D7"/>
    <w:rsid w:val="0011396A"/>
    <w:rsid w:val="00114043"/>
    <w:rsid w:val="001142B0"/>
    <w:rsid w:val="00114414"/>
    <w:rsid w:val="001157CC"/>
    <w:rsid w:val="00115A56"/>
    <w:rsid w:val="001162A8"/>
    <w:rsid w:val="001166A1"/>
    <w:rsid w:val="00116DAF"/>
    <w:rsid w:val="00117053"/>
    <w:rsid w:val="00117869"/>
    <w:rsid w:val="001179AC"/>
    <w:rsid w:val="0012093F"/>
    <w:rsid w:val="00120EBC"/>
    <w:rsid w:val="00121A58"/>
    <w:rsid w:val="00123D2A"/>
    <w:rsid w:val="00124E8B"/>
    <w:rsid w:val="00125121"/>
    <w:rsid w:val="001254C5"/>
    <w:rsid w:val="00125B03"/>
    <w:rsid w:val="00126366"/>
    <w:rsid w:val="00126621"/>
    <w:rsid w:val="00130959"/>
    <w:rsid w:val="00131C8E"/>
    <w:rsid w:val="001322CA"/>
    <w:rsid w:val="0013343B"/>
    <w:rsid w:val="0013596C"/>
    <w:rsid w:val="00135F87"/>
    <w:rsid w:val="00136153"/>
    <w:rsid w:val="001362F2"/>
    <w:rsid w:val="00137307"/>
    <w:rsid w:val="001373A9"/>
    <w:rsid w:val="001376F5"/>
    <w:rsid w:val="00137D87"/>
    <w:rsid w:val="00140C57"/>
    <w:rsid w:val="0014178D"/>
    <w:rsid w:val="00141A8D"/>
    <w:rsid w:val="001426C2"/>
    <w:rsid w:val="001427A0"/>
    <w:rsid w:val="001435F4"/>
    <w:rsid w:val="001436ED"/>
    <w:rsid w:val="00143709"/>
    <w:rsid w:val="00143716"/>
    <w:rsid w:val="001451E8"/>
    <w:rsid w:val="00146008"/>
    <w:rsid w:val="00147AF4"/>
    <w:rsid w:val="00150DA7"/>
    <w:rsid w:val="00152824"/>
    <w:rsid w:val="00154A23"/>
    <w:rsid w:val="00154F2C"/>
    <w:rsid w:val="00155130"/>
    <w:rsid w:val="001568E0"/>
    <w:rsid w:val="0016039E"/>
    <w:rsid w:val="001608A4"/>
    <w:rsid w:val="00161492"/>
    <w:rsid w:val="001615D5"/>
    <w:rsid w:val="00161A28"/>
    <w:rsid w:val="0016206A"/>
    <w:rsid w:val="00162B50"/>
    <w:rsid w:val="001630D7"/>
    <w:rsid w:val="0016377E"/>
    <w:rsid w:val="00163782"/>
    <w:rsid w:val="0016519B"/>
    <w:rsid w:val="001653A6"/>
    <w:rsid w:val="0016579D"/>
    <w:rsid w:val="00165DE5"/>
    <w:rsid w:val="001664F3"/>
    <w:rsid w:val="00166A4A"/>
    <w:rsid w:val="00170256"/>
    <w:rsid w:val="00171251"/>
    <w:rsid w:val="00172748"/>
    <w:rsid w:val="0017287E"/>
    <w:rsid w:val="00172BE4"/>
    <w:rsid w:val="00174B2B"/>
    <w:rsid w:val="00175858"/>
    <w:rsid w:val="00175A7C"/>
    <w:rsid w:val="001768F7"/>
    <w:rsid w:val="0017772C"/>
    <w:rsid w:val="00177E79"/>
    <w:rsid w:val="00180540"/>
    <w:rsid w:val="00180ACB"/>
    <w:rsid w:val="00180DCC"/>
    <w:rsid w:val="00181108"/>
    <w:rsid w:val="0018122B"/>
    <w:rsid w:val="00181C13"/>
    <w:rsid w:val="00182773"/>
    <w:rsid w:val="00182A2E"/>
    <w:rsid w:val="00182CF3"/>
    <w:rsid w:val="00182EC3"/>
    <w:rsid w:val="00183E9F"/>
    <w:rsid w:val="00184417"/>
    <w:rsid w:val="00186618"/>
    <w:rsid w:val="0018668A"/>
    <w:rsid w:val="00186BCA"/>
    <w:rsid w:val="0018726D"/>
    <w:rsid w:val="001876CF"/>
    <w:rsid w:val="0018775A"/>
    <w:rsid w:val="001877B8"/>
    <w:rsid w:val="0019030B"/>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97F88"/>
    <w:rsid w:val="001A0482"/>
    <w:rsid w:val="001A141C"/>
    <w:rsid w:val="001A178D"/>
    <w:rsid w:val="001A204D"/>
    <w:rsid w:val="001A3767"/>
    <w:rsid w:val="001A4A25"/>
    <w:rsid w:val="001A4CBD"/>
    <w:rsid w:val="001A79C0"/>
    <w:rsid w:val="001A7C9C"/>
    <w:rsid w:val="001B0731"/>
    <w:rsid w:val="001B0999"/>
    <w:rsid w:val="001B0E45"/>
    <w:rsid w:val="001B0E8C"/>
    <w:rsid w:val="001B0F51"/>
    <w:rsid w:val="001B1787"/>
    <w:rsid w:val="001B249E"/>
    <w:rsid w:val="001B3B6C"/>
    <w:rsid w:val="001B4F28"/>
    <w:rsid w:val="001B50DA"/>
    <w:rsid w:val="001B548C"/>
    <w:rsid w:val="001B5ECB"/>
    <w:rsid w:val="001B694B"/>
    <w:rsid w:val="001B7BD8"/>
    <w:rsid w:val="001C006E"/>
    <w:rsid w:val="001C0E17"/>
    <w:rsid w:val="001C32F6"/>
    <w:rsid w:val="001C3695"/>
    <w:rsid w:val="001C37F3"/>
    <w:rsid w:val="001C3AC6"/>
    <w:rsid w:val="001C4BA5"/>
    <w:rsid w:val="001C4F8F"/>
    <w:rsid w:val="001C5077"/>
    <w:rsid w:val="001C62BA"/>
    <w:rsid w:val="001C6303"/>
    <w:rsid w:val="001C6599"/>
    <w:rsid w:val="001C6718"/>
    <w:rsid w:val="001C68E3"/>
    <w:rsid w:val="001C7065"/>
    <w:rsid w:val="001C7C53"/>
    <w:rsid w:val="001D1BD8"/>
    <w:rsid w:val="001D44D7"/>
    <w:rsid w:val="001D476C"/>
    <w:rsid w:val="001D4A52"/>
    <w:rsid w:val="001D6731"/>
    <w:rsid w:val="001D7418"/>
    <w:rsid w:val="001D745A"/>
    <w:rsid w:val="001D7CCE"/>
    <w:rsid w:val="001E0D7D"/>
    <w:rsid w:val="001E1B0D"/>
    <w:rsid w:val="001E302D"/>
    <w:rsid w:val="001E43A8"/>
    <w:rsid w:val="001E4713"/>
    <w:rsid w:val="001E6A3F"/>
    <w:rsid w:val="001E77F3"/>
    <w:rsid w:val="001E78A9"/>
    <w:rsid w:val="001E7B55"/>
    <w:rsid w:val="001F04BE"/>
    <w:rsid w:val="001F0568"/>
    <w:rsid w:val="001F09D0"/>
    <w:rsid w:val="001F0A16"/>
    <w:rsid w:val="001F0A43"/>
    <w:rsid w:val="001F0B93"/>
    <w:rsid w:val="001F2008"/>
    <w:rsid w:val="001F251F"/>
    <w:rsid w:val="001F2E8C"/>
    <w:rsid w:val="001F62EC"/>
    <w:rsid w:val="001F6F90"/>
    <w:rsid w:val="001F7F86"/>
    <w:rsid w:val="00202149"/>
    <w:rsid w:val="002024CE"/>
    <w:rsid w:val="002025C3"/>
    <w:rsid w:val="00202BAB"/>
    <w:rsid w:val="0020331B"/>
    <w:rsid w:val="0020425C"/>
    <w:rsid w:val="002048CA"/>
    <w:rsid w:val="00205913"/>
    <w:rsid w:val="002059C0"/>
    <w:rsid w:val="00205B29"/>
    <w:rsid w:val="002072C5"/>
    <w:rsid w:val="00211117"/>
    <w:rsid w:val="0021186D"/>
    <w:rsid w:val="002127A7"/>
    <w:rsid w:val="00212E42"/>
    <w:rsid w:val="00212E76"/>
    <w:rsid w:val="00212F30"/>
    <w:rsid w:val="00213FD9"/>
    <w:rsid w:val="00214014"/>
    <w:rsid w:val="00214555"/>
    <w:rsid w:val="00215A77"/>
    <w:rsid w:val="0021705A"/>
    <w:rsid w:val="0021723B"/>
    <w:rsid w:val="00217A79"/>
    <w:rsid w:val="00217DF9"/>
    <w:rsid w:val="0022051E"/>
    <w:rsid w:val="0022126F"/>
    <w:rsid w:val="00222DA3"/>
    <w:rsid w:val="002239C8"/>
    <w:rsid w:val="00223A0E"/>
    <w:rsid w:val="0022458D"/>
    <w:rsid w:val="00224660"/>
    <w:rsid w:val="0022515F"/>
    <w:rsid w:val="002254C4"/>
    <w:rsid w:val="0022561F"/>
    <w:rsid w:val="002259F1"/>
    <w:rsid w:val="002260F6"/>
    <w:rsid w:val="00226729"/>
    <w:rsid w:val="002300D1"/>
    <w:rsid w:val="00231346"/>
    <w:rsid w:val="00231AD7"/>
    <w:rsid w:val="00232ECE"/>
    <w:rsid w:val="00234C34"/>
    <w:rsid w:val="00234F72"/>
    <w:rsid w:val="00235CCA"/>
    <w:rsid w:val="00236AFC"/>
    <w:rsid w:val="00237166"/>
    <w:rsid w:val="00237A64"/>
    <w:rsid w:val="00237AEE"/>
    <w:rsid w:val="0024014D"/>
    <w:rsid w:val="002401F7"/>
    <w:rsid w:val="00240B57"/>
    <w:rsid w:val="00241293"/>
    <w:rsid w:val="00243245"/>
    <w:rsid w:val="0024365D"/>
    <w:rsid w:val="0024386A"/>
    <w:rsid w:val="00243F27"/>
    <w:rsid w:val="00244A54"/>
    <w:rsid w:val="00244F17"/>
    <w:rsid w:val="00245CAF"/>
    <w:rsid w:val="00245E4D"/>
    <w:rsid w:val="00246876"/>
    <w:rsid w:val="00246D74"/>
    <w:rsid w:val="00246F1D"/>
    <w:rsid w:val="00246F50"/>
    <w:rsid w:val="002473DD"/>
    <w:rsid w:val="002475ED"/>
    <w:rsid w:val="002479E3"/>
    <w:rsid w:val="00247B7A"/>
    <w:rsid w:val="00247EFB"/>
    <w:rsid w:val="002503B0"/>
    <w:rsid w:val="00251EE8"/>
    <w:rsid w:val="0025217A"/>
    <w:rsid w:val="00252A1C"/>
    <w:rsid w:val="002533CA"/>
    <w:rsid w:val="00253985"/>
    <w:rsid w:val="00255075"/>
    <w:rsid w:val="00255E57"/>
    <w:rsid w:val="0025615B"/>
    <w:rsid w:val="00256529"/>
    <w:rsid w:val="002567E8"/>
    <w:rsid w:val="00257446"/>
    <w:rsid w:val="002575DB"/>
    <w:rsid w:val="00257A5A"/>
    <w:rsid w:val="00260D4C"/>
    <w:rsid w:val="002615A4"/>
    <w:rsid w:val="00261A9E"/>
    <w:rsid w:val="00262FED"/>
    <w:rsid w:val="00263971"/>
    <w:rsid w:val="00263DE8"/>
    <w:rsid w:val="00263E8F"/>
    <w:rsid w:val="00263F3A"/>
    <w:rsid w:val="00264164"/>
    <w:rsid w:val="00264347"/>
    <w:rsid w:val="002648E3"/>
    <w:rsid w:val="00264F2B"/>
    <w:rsid w:val="00265232"/>
    <w:rsid w:val="00265917"/>
    <w:rsid w:val="00265FE0"/>
    <w:rsid w:val="002666CA"/>
    <w:rsid w:val="002666F8"/>
    <w:rsid w:val="002703B5"/>
    <w:rsid w:val="00270616"/>
    <w:rsid w:val="00270FAD"/>
    <w:rsid w:val="0027114F"/>
    <w:rsid w:val="00271E59"/>
    <w:rsid w:val="00272B03"/>
    <w:rsid w:val="00272B87"/>
    <w:rsid w:val="00272BE3"/>
    <w:rsid w:val="00272D9F"/>
    <w:rsid w:val="00273176"/>
    <w:rsid w:val="00273F9E"/>
    <w:rsid w:val="002747DD"/>
    <w:rsid w:val="00276836"/>
    <w:rsid w:val="00276CF2"/>
    <w:rsid w:val="00277679"/>
    <w:rsid w:val="00277C53"/>
    <w:rsid w:val="00277F5A"/>
    <w:rsid w:val="00280782"/>
    <w:rsid w:val="00281A30"/>
    <w:rsid w:val="002824B6"/>
    <w:rsid w:val="002825FD"/>
    <w:rsid w:val="00282695"/>
    <w:rsid w:val="002827F5"/>
    <w:rsid w:val="002830D0"/>
    <w:rsid w:val="00283298"/>
    <w:rsid w:val="00284352"/>
    <w:rsid w:val="00284967"/>
    <w:rsid w:val="00284A96"/>
    <w:rsid w:val="00285742"/>
    <w:rsid w:val="00285F4C"/>
    <w:rsid w:val="00286211"/>
    <w:rsid w:val="002868C3"/>
    <w:rsid w:val="00286CD3"/>
    <w:rsid w:val="00286E88"/>
    <w:rsid w:val="00287997"/>
    <w:rsid w:val="00287B37"/>
    <w:rsid w:val="00291008"/>
    <w:rsid w:val="00291018"/>
    <w:rsid w:val="002916DB"/>
    <w:rsid w:val="002924FD"/>
    <w:rsid w:val="00292DA5"/>
    <w:rsid w:val="002940C2"/>
    <w:rsid w:val="00294C62"/>
    <w:rsid w:val="002953C2"/>
    <w:rsid w:val="00296B9C"/>
    <w:rsid w:val="00297C39"/>
    <w:rsid w:val="002A0849"/>
    <w:rsid w:val="002A1D5B"/>
    <w:rsid w:val="002A2053"/>
    <w:rsid w:val="002A33CE"/>
    <w:rsid w:val="002A3612"/>
    <w:rsid w:val="002A3643"/>
    <w:rsid w:val="002A366D"/>
    <w:rsid w:val="002A36E7"/>
    <w:rsid w:val="002A3CEB"/>
    <w:rsid w:val="002A4B7D"/>
    <w:rsid w:val="002A56A7"/>
    <w:rsid w:val="002A6173"/>
    <w:rsid w:val="002A64CF"/>
    <w:rsid w:val="002A7C8A"/>
    <w:rsid w:val="002B008D"/>
    <w:rsid w:val="002B012B"/>
    <w:rsid w:val="002B0148"/>
    <w:rsid w:val="002B05F2"/>
    <w:rsid w:val="002B11D6"/>
    <w:rsid w:val="002B1518"/>
    <w:rsid w:val="002B1A30"/>
    <w:rsid w:val="002B1CDF"/>
    <w:rsid w:val="002B272D"/>
    <w:rsid w:val="002B2736"/>
    <w:rsid w:val="002B2F55"/>
    <w:rsid w:val="002B36F9"/>
    <w:rsid w:val="002B3F5E"/>
    <w:rsid w:val="002B56A2"/>
    <w:rsid w:val="002B66E4"/>
    <w:rsid w:val="002B6D7D"/>
    <w:rsid w:val="002B71C6"/>
    <w:rsid w:val="002B758C"/>
    <w:rsid w:val="002C064C"/>
    <w:rsid w:val="002C0F29"/>
    <w:rsid w:val="002C10A3"/>
    <w:rsid w:val="002C15DA"/>
    <w:rsid w:val="002C1FD0"/>
    <w:rsid w:val="002C26C7"/>
    <w:rsid w:val="002C446F"/>
    <w:rsid w:val="002C4612"/>
    <w:rsid w:val="002C47DA"/>
    <w:rsid w:val="002C503A"/>
    <w:rsid w:val="002C59EC"/>
    <w:rsid w:val="002C5CCD"/>
    <w:rsid w:val="002C65AC"/>
    <w:rsid w:val="002C6B31"/>
    <w:rsid w:val="002C785E"/>
    <w:rsid w:val="002D0356"/>
    <w:rsid w:val="002D1230"/>
    <w:rsid w:val="002D19A2"/>
    <w:rsid w:val="002D1A5A"/>
    <w:rsid w:val="002D2C1C"/>
    <w:rsid w:val="002D47BF"/>
    <w:rsid w:val="002D50D9"/>
    <w:rsid w:val="002D627A"/>
    <w:rsid w:val="002D6A9E"/>
    <w:rsid w:val="002D75EF"/>
    <w:rsid w:val="002D7837"/>
    <w:rsid w:val="002E10BA"/>
    <w:rsid w:val="002E31EA"/>
    <w:rsid w:val="002E3235"/>
    <w:rsid w:val="002E3CAF"/>
    <w:rsid w:val="002E449A"/>
    <w:rsid w:val="002E4A22"/>
    <w:rsid w:val="002E4FAF"/>
    <w:rsid w:val="002E5D06"/>
    <w:rsid w:val="002E6738"/>
    <w:rsid w:val="002E74EF"/>
    <w:rsid w:val="002E7E14"/>
    <w:rsid w:val="002F05B7"/>
    <w:rsid w:val="002F0916"/>
    <w:rsid w:val="002F0BF5"/>
    <w:rsid w:val="002F1439"/>
    <w:rsid w:val="002F1B97"/>
    <w:rsid w:val="002F2CB2"/>
    <w:rsid w:val="002F3AA2"/>
    <w:rsid w:val="002F3BEB"/>
    <w:rsid w:val="002F42A3"/>
    <w:rsid w:val="002F53D1"/>
    <w:rsid w:val="002F5496"/>
    <w:rsid w:val="00300507"/>
    <w:rsid w:val="0030310F"/>
    <w:rsid w:val="0030340E"/>
    <w:rsid w:val="003039A5"/>
    <w:rsid w:val="00304332"/>
    <w:rsid w:val="0030455A"/>
    <w:rsid w:val="00306F1D"/>
    <w:rsid w:val="00310F92"/>
    <w:rsid w:val="0031109D"/>
    <w:rsid w:val="003113F2"/>
    <w:rsid w:val="00311621"/>
    <w:rsid w:val="003118CA"/>
    <w:rsid w:val="003125E6"/>
    <w:rsid w:val="00312A9D"/>
    <w:rsid w:val="00312F8D"/>
    <w:rsid w:val="003137A1"/>
    <w:rsid w:val="0031421A"/>
    <w:rsid w:val="00314494"/>
    <w:rsid w:val="00315051"/>
    <w:rsid w:val="003161F3"/>
    <w:rsid w:val="00316911"/>
    <w:rsid w:val="00316ABB"/>
    <w:rsid w:val="003179B8"/>
    <w:rsid w:val="00317F50"/>
    <w:rsid w:val="00320832"/>
    <w:rsid w:val="00320C55"/>
    <w:rsid w:val="00320EAE"/>
    <w:rsid w:val="0032202F"/>
    <w:rsid w:val="00323150"/>
    <w:rsid w:val="00324708"/>
    <w:rsid w:val="0032570B"/>
    <w:rsid w:val="003268F2"/>
    <w:rsid w:val="003304B6"/>
    <w:rsid w:val="00330817"/>
    <w:rsid w:val="00330A8F"/>
    <w:rsid w:val="00330DCA"/>
    <w:rsid w:val="00331503"/>
    <w:rsid w:val="003327BF"/>
    <w:rsid w:val="003329F8"/>
    <w:rsid w:val="00332FB0"/>
    <w:rsid w:val="00333260"/>
    <w:rsid w:val="00333843"/>
    <w:rsid w:val="00333CD6"/>
    <w:rsid w:val="00333E38"/>
    <w:rsid w:val="00334FCA"/>
    <w:rsid w:val="00335393"/>
    <w:rsid w:val="0033576A"/>
    <w:rsid w:val="00335EFC"/>
    <w:rsid w:val="00335FCC"/>
    <w:rsid w:val="003360CE"/>
    <w:rsid w:val="00337294"/>
    <w:rsid w:val="00337899"/>
    <w:rsid w:val="00340DE3"/>
    <w:rsid w:val="0034105B"/>
    <w:rsid w:val="0034132C"/>
    <w:rsid w:val="0034148D"/>
    <w:rsid w:val="003420EE"/>
    <w:rsid w:val="00342196"/>
    <w:rsid w:val="00343765"/>
    <w:rsid w:val="00343AD6"/>
    <w:rsid w:val="003441A0"/>
    <w:rsid w:val="00344350"/>
    <w:rsid w:val="00344595"/>
    <w:rsid w:val="00344EA6"/>
    <w:rsid w:val="003467A5"/>
    <w:rsid w:val="00346823"/>
    <w:rsid w:val="0034697D"/>
    <w:rsid w:val="0034732B"/>
    <w:rsid w:val="0034752F"/>
    <w:rsid w:val="003477BD"/>
    <w:rsid w:val="0035003D"/>
    <w:rsid w:val="003504E9"/>
    <w:rsid w:val="00350671"/>
    <w:rsid w:val="0035085F"/>
    <w:rsid w:val="00350D62"/>
    <w:rsid w:val="003513DB"/>
    <w:rsid w:val="00352743"/>
    <w:rsid w:val="003535E6"/>
    <w:rsid w:val="003542D2"/>
    <w:rsid w:val="00354595"/>
    <w:rsid w:val="00356734"/>
    <w:rsid w:val="003567C7"/>
    <w:rsid w:val="00356AD1"/>
    <w:rsid w:val="003576A1"/>
    <w:rsid w:val="0035777C"/>
    <w:rsid w:val="00357DC8"/>
    <w:rsid w:val="00357E0B"/>
    <w:rsid w:val="00360806"/>
    <w:rsid w:val="00361012"/>
    <w:rsid w:val="003615B2"/>
    <w:rsid w:val="00361F10"/>
    <w:rsid w:val="00363680"/>
    <w:rsid w:val="0036411A"/>
    <w:rsid w:val="00365F57"/>
    <w:rsid w:val="003669F6"/>
    <w:rsid w:val="003675C8"/>
    <w:rsid w:val="003703FE"/>
    <w:rsid w:val="003705E9"/>
    <w:rsid w:val="003710EF"/>
    <w:rsid w:val="00372D41"/>
    <w:rsid w:val="003737BF"/>
    <w:rsid w:val="00373C76"/>
    <w:rsid w:val="00374DEE"/>
    <w:rsid w:val="00374EE5"/>
    <w:rsid w:val="00374FE3"/>
    <w:rsid w:val="0037516F"/>
    <w:rsid w:val="00376BB7"/>
    <w:rsid w:val="00380C40"/>
    <w:rsid w:val="00381705"/>
    <w:rsid w:val="003818AF"/>
    <w:rsid w:val="00382323"/>
    <w:rsid w:val="003832D9"/>
    <w:rsid w:val="00383780"/>
    <w:rsid w:val="00384143"/>
    <w:rsid w:val="00384F51"/>
    <w:rsid w:val="00385703"/>
    <w:rsid w:val="00385E2F"/>
    <w:rsid w:val="00386021"/>
    <w:rsid w:val="00386760"/>
    <w:rsid w:val="00386CCA"/>
    <w:rsid w:val="00387105"/>
    <w:rsid w:val="003872D2"/>
    <w:rsid w:val="00387333"/>
    <w:rsid w:val="00387D5C"/>
    <w:rsid w:val="00391F19"/>
    <w:rsid w:val="0039222C"/>
    <w:rsid w:val="0039241A"/>
    <w:rsid w:val="003927C1"/>
    <w:rsid w:val="00392899"/>
    <w:rsid w:val="0039294F"/>
    <w:rsid w:val="00394160"/>
    <w:rsid w:val="00394451"/>
    <w:rsid w:val="003944F2"/>
    <w:rsid w:val="0039467E"/>
    <w:rsid w:val="00395F83"/>
    <w:rsid w:val="00396286"/>
    <w:rsid w:val="003963E0"/>
    <w:rsid w:val="003A00C7"/>
    <w:rsid w:val="003A0C0D"/>
    <w:rsid w:val="003A21F9"/>
    <w:rsid w:val="003A2390"/>
    <w:rsid w:val="003A50B1"/>
    <w:rsid w:val="003A5897"/>
    <w:rsid w:val="003A6A7C"/>
    <w:rsid w:val="003A79FC"/>
    <w:rsid w:val="003A7CB0"/>
    <w:rsid w:val="003B0507"/>
    <w:rsid w:val="003B2EC1"/>
    <w:rsid w:val="003B36F0"/>
    <w:rsid w:val="003B3A46"/>
    <w:rsid w:val="003B4244"/>
    <w:rsid w:val="003B4535"/>
    <w:rsid w:val="003B45A6"/>
    <w:rsid w:val="003B48B5"/>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624"/>
    <w:rsid w:val="003C6B64"/>
    <w:rsid w:val="003C6B8A"/>
    <w:rsid w:val="003C73D3"/>
    <w:rsid w:val="003C7AF0"/>
    <w:rsid w:val="003D0372"/>
    <w:rsid w:val="003D0FFF"/>
    <w:rsid w:val="003D13CC"/>
    <w:rsid w:val="003D173F"/>
    <w:rsid w:val="003D2CA5"/>
    <w:rsid w:val="003D3EA8"/>
    <w:rsid w:val="003D45FB"/>
    <w:rsid w:val="003D5252"/>
    <w:rsid w:val="003D663A"/>
    <w:rsid w:val="003D6A75"/>
    <w:rsid w:val="003D719E"/>
    <w:rsid w:val="003E2267"/>
    <w:rsid w:val="003E2B17"/>
    <w:rsid w:val="003E425C"/>
    <w:rsid w:val="003E4563"/>
    <w:rsid w:val="003E4B17"/>
    <w:rsid w:val="003E4BC5"/>
    <w:rsid w:val="003E4CAD"/>
    <w:rsid w:val="003E5086"/>
    <w:rsid w:val="003E6788"/>
    <w:rsid w:val="003E67B3"/>
    <w:rsid w:val="003E7124"/>
    <w:rsid w:val="003E7450"/>
    <w:rsid w:val="003F3C5A"/>
    <w:rsid w:val="003F3F98"/>
    <w:rsid w:val="003F4F6C"/>
    <w:rsid w:val="003F5257"/>
    <w:rsid w:val="003F664C"/>
    <w:rsid w:val="003F6B86"/>
    <w:rsid w:val="003F6C32"/>
    <w:rsid w:val="003F7E05"/>
    <w:rsid w:val="00400247"/>
    <w:rsid w:val="004008BE"/>
    <w:rsid w:val="004008E8"/>
    <w:rsid w:val="00400AFE"/>
    <w:rsid w:val="00400D6F"/>
    <w:rsid w:val="0040231A"/>
    <w:rsid w:val="00402A8F"/>
    <w:rsid w:val="00403122"/>
    <w:rsid w:val="004034E9"/>
    <w:rsid w:val="00404CBC"/>
    <w:rsid w:val="00405129"/>
    <w:rsid w:val="0040627F"/>
    <w:rsid w:val="00407464"/>
    <w:rsid w:val="004075BE"/>
    <w:rsid w:val="00411635"/>
    <w:rsid w:val="0041180F"/>
    <w:rsid w:val="00411BD1"/>
    <w:rsid w:val="004140BF"/>
    <w:rsid w:val="00414ADC"/>
    <w:rsid w:val="004203C0"/>
    <w:rsid w:val="00420D59"/>
    <w:rsid w:val="004218DC"/>
    <w:rsid w:val="004223D8"/>
    <w:rsid w:val="00423C1B"/>
    <w:rsid w:val="00425B36"/>
    <w:rsid w:val="00425BBF"/>
    <w:rsid w:val="00427848"/>
    <w:rsid w:val="0042784A"/>
    <w:rsid w:val="00427CB9"/>
    <w:rsid w:val="004332CF"/>
    <w:rsid w:val="0043364F"/>
    <w:rsid w:val="00433E3C"/>
    <w:rsid w:val="0043475C"/>
    <w:rsid w:val="004351C7"/>
    <w:rsid w:val="00435288"/>
    <w:rsid w:val="004357D8"/>
    <w:rsid w:val="00435BCD"/>
    <w:rsid w:val="00435FCE"/>
    <w:rsid w:val="00436318"/>
    <w:rsid w:val="00436B74"/>
    <w:rsid w:val="0043702E"/>
    <w:rsid w:val="00437A00"/>
    <w:rsid w:val="00440A64"/>
    <w:rsid w:val="004413A2"/>
    <w:rsid w:val="00442E1C"/>
    <w:rsid w:val="004436F2"/>
    <w:rsid w:val="00444503"/>
    <w:rsid w:val="00446351"/>
    <w:rsid w:val="004477EF"/>
    <w:rsid w:val="004506F6"/>
    <w:rsid w:val="0045103B"/>
    <w:rsid w:val="004511C6"/>
    <w:rsid w:val="004514BA"/>
    <w:rsid w:val="00451563"/>
    <w:rsid w:val="0045277A"/>
    <w:rsid w:val="00452D3C"/>
    <w:rsid w:val="00453AD4"/>
    <w:rsid w:val="004549A7"/>
    <w:rsid w:val="00454D03"/>
    <w:rsid w:val="00456E9A"/>
    <w:rsid w:val="00457098"/>
    <w:rsid w:val="0045791B"/>
    <w:rsid w:val="00457923"/>
    <w:rsid w:val="00457C00"/>
    <w:rsid w:val="00460775"/>
    <w:rsid w:val="004612F7"/>
    <w:rsid w:val="00462439"/>
    <w:rsid w:val="0046257C"/>
    <w:rsid w:val="0046273F"/>
    <w:rsid w:val="0046286C"/>
    <w:rsid w:val="00462D62"/>
    <w:rsid w:val="00463064"/>
    <w:rsid w:val="00463FB7"/>
    <w:rsid w:val="004640D8"/>
    <w:rsid w:val="00464623"/>
    <w:rsid w:val="00464893"/>
    <w:rsid w:val="00464BA7"/>
    <w:rsid w:val="004652C0"/>
    <w:rsid w:val="00466C11"/>
    <w:rsid w:val="00467265"/>
    <w:rsid w:val="004672D4"/>
    <w:rsid w:val="00470774"/>
    <w:rsid w:val="0047335B"/>
    <w:rsid w:val="00474127"/>
    <w:rsid w:val="00475DE6"/>
    <w:rsid w:val="00477F76"/>
    <w:rsid w:val="0048157D"/>
    <w:rsid w:val="00482106"/>
    <w:rsid w:val="004821FA"/>
    <w:rsid w:val="0048252D"/>
    <w:rsid w:val="004837E8"/>
    <w:rsid w:val="00483834"/>
    <w:rsid w:val="00483B91"/>
    <w:rsid w:val="00483E00"/>
    <w:rsid w:val="00484A73"/>
    <w:rsid w:val="00484BB3"/>
    <w:rsid w:val="00484BB9"/>
    <w:rsid w:val="00485558"/>
    <w:rsid w:val="0048591D"/>
    <w:rsid w:val="00486466"/>
    <w:rsid w:val="004866E4"/>
    <w:rsid w:val="00486728"/>
    <w:rsid w:val="00487CAB"/>
    <w:rsid w:val="004901C9"/>
    <w:rsid w:val="004905B9"/>
    <w:rsid w:val="00491083"/>
    <w:rsid w:val="00493BB7"/>
    <w:rsid w:val="00493E48"/>
    <w:rsid w:val="00494FDD"/>
    <w:rsid w:val="00495FB2"/>
    <w:rsid w:val="0049614B"/>
    <w:rsid w:val="00496902"/>
    <w:rsid w:val="004A028C"/>
    <w:rsid w:val="004A02F2"/>
    <w:rsid w:val="004A0507"/>
    <w:rsid w:val="004A05A5"/>
    <w:rsid w:val="004A06DF"/>
    <w:rsid w:val="004A3014"/>
    <w:rsid w:val="004A3A49"/>
    <w:rsid w:val="004A4DC6"/>
    <w:rsid w:val="004A5665"/>
    <w:rsid w:val="004A5874"/>
    <w:rsid w:val="004A5F4E"/>
    <w:rsid w:val="004B0174"/>
    <w:rsid w:val="004B063C"/>
    <w:rsid w:val="004B2EEB"/>
    <w:rsid w:val="004B3413"/>
    <w:rsid w:val="004B43AC"/>
    <w:rsid w:val="004B5102"/>
    <w:rsid w:val="004B5435"/>
    <w:rsid w:val="004B5B77"/>
    <w:rsid w:val="004B5DC9"/>
    <w:rsid w:val="004B5DF1"/>
    <w:rsid w:val="004B6B15"/>
    <w:rsid w:val="004B6E93"/>
    <w:rsid w:val="004B7205"/>
    <w:rsid w:val="004B7AC9"/>
    <w:rsid w:val="004C179D"/>
    <w:rsid w:val="004C3FBC"/>
    <w:rsid w:val="004C5060"/>
    <w:rsid w:val="004C570D"/>
    <w:rsid w:val="004C5EF1"/>
    <w:rsid w:val="004C6488"/>
    <w:rsid w:val="004C6572"/>
    <w:rsid w:val="004C77EE"/>
    <w:rsid w:val="004D1CDF"/>
    <w:rsid w:val="004D2502"/>
    <w:rsid w:val="004D27B4"/>
    <w:rsid w:val="004D285A"/>
    <w:rsid w:val="004D2A78"/>
    <w:rsid w:val="004D2E2F"/>
    <w:rsid w:val="004D40D8"/>
    <w:rsid w:val="004D43DB"/>
    <w:rsid w:val="004D5228"/>
    <w:rsid w:val="004D5835"/>
    <w:rsid w:val="004D58F1"/>
    <w:rsid w:val="004D5F4F"/>
    <w:rsid w:val="004D61A5"/>
    <w:rsid w:val="004D6825"/>
    <w:rsid w:val="004D6F0F"/>
    <w:rsid w:val="004D6F55"/>
    <w:rsid w:val="004D78A3"/>
    <w:rsid w:val="004E07F6"/>
    <w:rsid w:val="004E090E"/>
    <w:rsid w:val="004E11CB"/>
    <w:rsid w:val="004E206D"/>
    <w:rsid w:val="004E21C8"/>
    <w:rsid w:val="004E2C15"/>
    <w:rsid w:val="004E3374"/>
    <w:rsid w:val="004E3B36"/>
    <w:rsid w:val="004E564C"/>
    <w:rsid w:val="004E5BEA"/>
    <w:rsid w:val="004E5E4C"/>
    <w:rsid w:val="004E7AA1"/>
    <w:rsid w:val="004F2810"/>
    <w:rsid w:val="004F283D"/>
    <w:rsid w:val="004F2FF4"/>
    <w:rsid w:val="004F479E"/>
    <w:rsid w:val="004F529E"/>
    <w:rsid w:val="004F57D4"/>
    <w:rsid w:val="004F596C"/>
    <w:rsid w:val="004F6699"/>
    <w:rsid w:val="004F6B5D"/>
    <w:rsid w:val="004F7572"/>
    <w:rsid w:val="005003DA"/>
    <w:rsid w:val="0050175E"/>
    <w:rsid w:val="00501EEA"/>
    <w:rsid w:val="00502134"/>
    <w:rsid w:val="005024A5"/>
    <w:rsid w:val="005024F5"/>
    <w:rsid w:val="00502870"/>
    <w:rsid w:val="005036D4"/>
    <w:rsid w:val="00504189"/>
    <w:rsid w:val="00504E21"/>
    <w:rsid w:val="00506C8E"/>
    <w:rsid w:val="00507645"/>
    <w:rsid w:val="00507ADB"/>
    <w:rsid w:val="00507DB9"/>
    <w:rsid w:val="00507FFA"/>
    <w:rsid w:val="005105AA"/>
    <w:rsid w:val="005105D4"/>
    <w:rsid w:val="00511410"/>
    <w:rsid w:val="005127D2"/>
    <w:rsid w:val="0051605E"/>
    <w:rsid w:val="00516556"/>
    <w:rsid w:val="0051766F"/>
    <w:rsid w:val="005177BD"/>
    <w:rsid w:val="005213AC"/>
    <w:rsid w:val="00521F32"/>
    <w:rsid w:val="005220C7"/>
    <w:rsid w:val="005220EF"/>
    <w:rsid w:val="00522582"/>
    <w:rsid w:val="0052366F"/>
    <w:rsid w:val="00523C32"/>
    <w:rsid w:val="00524636"/>
    <w:rsid w:val="005268FE"/>
    <w:rsid w:val="005277CB"/>
    <w:rsid w:val="00527F02"/>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50C3"/>
    <w:rsid w:val="00546BAF"/>
    <w:rsid w:val="00547A7D"/>
    <w:rsid w:val="005503FC"/>
    <w:rsid w:val="00550CE0"/>
    <w:rsid w:val="00551AD4"/>
    <w:rsid w:val="00551B36"/>
    <w:rsid w:val="00552064"/>
    <w:rsid w:val="00553221"/>
    <w:rsid w:val="00553AEA"/>
    <w:rsid w:val="00554371"/>
    <w:rsid w:val="0055467E"/>
    <w:rsid w:val="00557049"/>
    <w:rsid w:val="00560065"/>
    <w:rsid w:val="00560D10"/>
    <w:rsid w:val="00560D6A"/>
    <w:rsid w:val="00561271"/>
    <w:rsid w:val="0056383C"/>
    <w:rsid w:val="005641C0"/>
    <w:rsid w:val="00565257"/>
    <w:rsid w:val="005652BD"/>
    <w:rsid w:val="00565650"/>
    <w:rsid w:val="0056581D"/>
    <w:rsid w:val="00565A68"/>
    <w:rsid w:val="005661A8"/>
    <w:rsid w:val="005669F2"/>
    <w:rsid w:val="0057050B"/>
    <w:rsid w:val="00572656"/>
    <w:rsid w:val="005731CC"/>
    <w:rsid w:val="005737C3"/>
    <w:rsid w:val="0057490D"/>
    <w:rsid w:val="00574A25"/>
    <w:rsid w:val="0057563D"/>
    <w:rsid w:val="0057572B"/>
    <w:rsid w:val="00576C19"/>
    <w:rsid w:val="0057743A"/>
    <w:rsid w:val="005776D5"/>
    <w:rsid w:val="00577A08"/>
    <w:rsid w:val="00580F8A"/>
    <w:rsid w:val="0058175D"/>
    <w:rsid w:val="00581EE6"/>
    <w:rsid w:val="00582294"/>
    <w:rsid w:val="0058293D"/>
    <w:rsid w:val="00583B2A"/>
    <w:rsid w:val="0058507E"/>
    <w:rsid w:val="00585725"/>
    <w:rsid w:val="00585E89"/>
    <w:rsid w:val="005863B1"/>
    <w:rsid w:val="00586B72"/>
    <w:rsid w:val="00587719"/>
    <w:rsid w:val="00587925"/>
    <w:rsid w:val="005879BD"/>
    <w:rsid w:val="005903E6"/>
    <w:rsid w:val="00590AFC"/>
    <w:rsid w:val="00590DBA"/>
    <w:rsid w:val="005916C0"/>
    <w:rsid w:val="005922F5"/>
    <w:rsid w:val="00593889"/>
    <w:rsid w:val="00593EB6"/>
    <w:rsid w:val="00594438"/>
    <w:rsid w:val="00594717"/>
    <w:rsid w:val="00595E6C"/>
    <w:rsid w:val="005A0080"/>
    <w:rsid w:val="005A04E5"/>
    <w:rsid w:val="005A0E70"/>
    <w:rsid w:val="005A1611"/>
    <w:rsid w:val="005A1716"/>
    <w:rsid w:val="005A2265"/>
    <w:rsid w:val="005A4699"/>
    <w:rsid w:val="005A4977"/>
    <w:rsid w:val="005A60F4"/>
    <w:rsid w:val="005B043B"/>
    <w:rsid w:val="005B092C"/>
    <w:rsid w:val="005B0E0D"/>
    <w:rsid w:val="005B12C6"/>
    <w:rsid w:val="005B14CF"/>
    <w:rsid w:val="005B1AC2"/>
    <w:rsid w:val="005B3E3F"/>
    <w:rsid w:val="005B4AEA"/>
    <w:rsid w:val="005B4FAC"/>
    <w:rsid w:val="005B58B3"/>
    <w:rsid w:val="005B5C43"/>
    <w:rsid w:val="005B61C4"/>
    <w:rsid w:val="005B66C6"/>
    <w:rsid w:val="005B6CD8"/>
    <w:rsid w:val="005B6EF5"/>
    <w:rsid w:val="005B70E8"/>
    <w:rsid w:val="005B7AA7"/>
    <w:rsid w:val="005B7D6F"/>
    <w:rsid w:val="005B7E33"/>
    <w:rsid w:val="005C048B"/>
    <w:rsid w:val="005C04A2"/>
    <w:rsid w:val="005C1072"/>
    <w:rsid w:val="005C1E20"/>
    <w:rsid w:val="005C202D"/>
    <w:rsid w:val="005C3311"/>
    <w:rsid w:val="005C39B1"/>
    <w:rsid w:val="005C5025"/>
    <w:rsid w:val="005C5156"/>
    <w:rsid w:val="005C6958"/>
    <w:rsid w:val="005D0043"/>
    <w:rsid w:val="005D00F1"/>
    <w:rsid w:val="005D043E"/>
    <w:rsid w:val="005D1183"/>
    <w:rsid w:val="005D2328"/>
    <w:rsid w:val="005D2491"/>
    <w:rsid w:val="005D2500"/>
    <w:rsid w:val="005D2DB8"/>
    <w:rsid w:val="005D2DE8"/>
    <w:rsid w:val="005D347D"/>
    <w:rsid w:val="005D4939"/>
    <w:rsid w:val="005D52D0"/>
    <w:rsid w:val="005D5785"/>
    <w:rsid w:val="005D6991"/>
    <w:rsid w:val="005D74D5"/>
    <w:rsid w:val="005D79A2"/>
    <w:rsid w:val="005E032F"/>
    <w:rsid w:val="005E0913"/>
    <w:rsid w:val="005E0E8D"/>
    <w:rsid w:val="005E198A"/>
    <w:rsid w:val="005E19D9"/>
    <w:rsid w:val="005E260A"/>
    <w:rsid w:val="005E3725"/>
    <w:rsid w:val="005E3D8A"/>
    <w:rsid w:val="005E4416"/>
    <w:rsid w:val="005E4C5A"/>
    <w:rsid w:val="005E4E22"/>
    <w:rsid w:val="005E4F2B"/>
    <w:rsid w:val="005E515A"/>
    <w:rsid w:val="005E5AE1"/>
    <w:rsid w:val="005E7A32"/>
    <w:rsid w:val="005F0563"/>
    <w:rsid w:val="005F06F0"/>
    <w:rsid w:val="005F0851"/>
    <w:rsid w:val="005F0CB8"/>
    <w:rsid w:val="005F1378"/>
    <w:rsid w:val="005F2FFB"/>
    <w:rsid w:val="005F3FA4"/>
    <w:rsid w:val="005F4076"/>
    <w:rsid w:val="005F40B3"/>
    <w:rsid w:val="005F4662"/>
    <w:rsid w:val="005F6AE5"/>
    <w:rsid w:val="006002B4"/>
    <w:rsid w:val="006008BF"/>
    <w:rsid w:val="00601A18"/>
    <w:rsid w:val="00602613"/>
    <w:rsid w:val="00603305"/>
    <w:rsid w:val="006035B9"/>
    <w:rsid w:val="00604177"/>
    <w:rsid w:val="00604611"/>
    <w:rsid w:val="00604788"/>
    <w:rsid w:val="006060BC"/>
    <w:rsid w:val="0060614F"/>
    <w:rsid w:val="006061C7"/>
    <w:rsid w:val="0060682C"/>
    <w:rsid w:val="00606C8D"/>
    <w:rsid w:val="00607593"/>
    <w:rsid w:val="006079E6"/>
    <w:rsid w:val="00610322"/>
    <w:rsid w:val="00611672"/>
    <w:rsid w:val="006118A2"/>
    <w:rsid w:val="00611AB1"/>
    <w:rsid w:val="00611DD6"/>
    <w:rsid w:val="00611EE5"/>
    <w:rsid w:val="006125DE"/>
    <w:rsid w:val="00612B10"/>
    <w:rsid w:val="00612DF9"/>
    <w:rsid w:val="0061314E"/>
    <w:rsid w:val="006138A7"/>
    <w:rsid w:val="00614585"/>
    <w:rsid w:val="006156EA"/>
    <w:rsid w:val="00616ABC"/>
    <w:rsid w:val="00616C12"/>
    <w:rsid w:val="00617734"/>
    <w:rsid w:val="006201DA"/>
    <w:rsid w:val="006201F3"/>
    <w:rsid w:val="00620B3E"/>
    <w:rsid w:val="0062287A"/>
    <w:rsid w:val="00623265"/>
    <w:rsid w:val="00623804"/>
    <w:rsid w:val="00623BBF"/>
    <w:rsid w:val="00626A6C"/>
    <w:rsid w:val="00626E7D"/>
    <w:rsid w:val="00630044"/>
    <w:rsid w:val="006302CB"/>
    <w:rsid w:val="006303A1"/>
    <w:rsid w:val="00631B52"/>
    <w:rsid w:val="00632AC8"/>
    <w:rsid w:val="0063349C"/>
    <w:rsid w:val="00633723"/>
    <w:rsid w:val="006361C6"/>
    <w:rsid w:val="00636396"/>
    <w:rsid w:val="00636549"/>
    <w:rsid w:val="00636763"/>
    <w:rsid w:val="006378DE"/>
    <w:rsid w:val="00637BD4"/>
    <w:rsid w:val="00640348"/>
    <w:rsid w:val="0064058A"/>
    <w:rsid w:val="00643C50"/>
    <w:rsid w:val="00643C84"/>
    <w:rsid w:val="00644067"/>
    <w:rsid w:val="00644156"/>
    <w:rsid w:val="006446F0"/>
    <w:rsid w:val="006449CF"/>
    <w:rsid w:val="00644AFF"/>
    <w:rsid w:val="00644ECA"/>
    <w:rsid w:val="006451A1"/>
    <w:rsid w:val="00645F0E"/>
    <w:rsid w:val="00646219"/>
    <w:rsid w:val="00646565"/>
    <w:rsid w:val="00646E48"/>
    <w:rsid w:val="00647403"/>
    <w:rsid w:val="00647548"/>
    <w:rsid w:val="00647C06"/>
    <w:rsid w:val="00647C66"/>
    <w:rsid w:val="00650E77"/>
    <w:rsid w:val="0065342E"/>
    <w:rsid w:val="006537DA"/>
    <w:rsid w:val="00653E5F"/>
    <w:rsid w:val="006546CE"/>
    <w:rsid w:val="006567BB"/>
    <w:rsid w:val="0065681E"/>
    <w:rsid w:val="00657F33"/>
    <w:rsid w:val="00661976"/>
    <w:rsid w:val="00662C05"/>
    <w:rsid w:val="00663CBB"/>
    <w:rsid w:val="00664EEA"/>
    <w:rsid w:val="00665232"/>
    <w:rsid w:val="00665612"/>
    <w:rsid w:val="0066567A"/>
    <w:rsid w:val="00665E82"/>
    <w:rsid w:val="006660DA"/>
    <w:rsid w:val="00666C4F"/>
    <w:rsid w:val="00670736"/>
    <w:rsid w:val="006728D8"/>
    <w:rsid w:val="00672EE4"/>
    <w:rsid w:val="006734BC"/>
    <w:rsid w:val="00673612"/>
    <w:rsid w:val="00673ADB"/>
    <w:rsid w:val="006749F1"/>
    <w:rsid w:val="00674BF3"/>
    <w:rsid w:val="00675187"/>
    <w:rsid w:val="006753E2"/>
    <w:rsid w:val="00675961"/>
    <w:rsid w:val="00675C69"/>
    <w:rsid w:val="00676336"/>
    <w:rsid w:val="00676E8C"/>
    <w:rsid w:val="00677308"/>
    <w:rsid w:val="00677311"/>
    <w:rsid w:val="006777B4"/>
    <w:rsid w:val="00680BC1"/>
    <w:rsid w:val="00680EF7"/>
    <w:rsid w:val="006813FC"/>
    <w:rsid w:val="006816F3"/>
    <w:rsid w:val="00681E0D"/>
    <w:rsid w:val="0068236C"/>
    <w:rsid w:val="0068375E"/>
    <w:rsid w:val="00683FD1"/>
    <w:rsid w:val="00684452"/>
    <w:rsid w:val="00684966"/>
    <w:rsid w:val="00685606"/>
    <w:rsid w:val="00686BC1"/>
    <w:rsid w:val="006874E2"/>
    <w:rsid w:val="00687F54"/>
    <w:rsid w:val="00690BE6"/>
    <w:rsid w:val="00690CED"/>
    <w:rsid w:val="00690D70"/>
    <w:rsid w:val="00691987"/>
    <w:rsid w:val="00691CC0"/>
    <w:rsid w:val="00692504"/>
    <w:rsid w:val="00693185"/>
    <w:rsid w:val="00694EA1"/>
    <w:rsid w:val="00695515"/>
    <w:rsid w:val="00695B83"/>
    <w:rsid w:val="0069739C"/>
    <w:rsid w:val="00697B51"/>
    <w:rsid w:val="00697D16"/>
    <w:rsid w:val="006A0191"/>
    <w:rsid w:val="006A0F15"/>
    <w:rsid w:val="006A0F79"/>
    <w:rsid w:val="006A121E"/>
    <w:rsid w:val="006A16BF"/>
    <w:rsid w:val="006A1BB0"/>
    <w:rsid w:val="006A266A"/>
    <w:rsid w:val="006A37A4"/>
    <w:rsid w:val="006A3A92"/>
    <w:rsid w:val="006A3D3F"/>
    <w:rsid w:val="006A3ECD"/>
    <w:rsid w:val="006A4280"/>
    <w:rsid w:val="006A4689"/>
    <w:rsid w:val="006A4A4B"/>
    <w:rsid w:val="006A4E88"/>
    <w:rsid w:val="006A5639"/>
    <w:rsid w:val="006A6B3F"/>
    <w:rsid w:val="006A70C4"/>
    <w:rsid w:val="006B08CC"/>
    <w:rsid w:val="006B0CFA"/>
    <w:rsid w:val="006B15D8"/>
    <w:rsid w:val="006B2167"/>
    <w:rsid w:val="006B2E73"/>
    <w:rsid w:val="006B3F11"/>
    <w:rsid w:val="006B43A2"/>
    <w:rsid w:val="006B43ED"/>
    <w:rsid w:val="006B69BF"/>
    <w:rsid w:val="006B6B64"/>
    <w:rsid w:val="006B6CF9"/>
    <w:rsid w:val="006B73D8"/>
    <w:rsid w:val="006B79A4"/>
    <w:rsid w:val="006B7CE4"/>
    <w:rsid w:val="006C0221"/>
    <w:rsid w:val="006C0D1D"/>
    <w:rsid w:val="006C115A"/>
    <w:rsid w:val="006C1B86"/>
    <w:rsid w:val="006C2E50"/>
    <w:rsid w:val="006C41C5"/>
    <w:rsid w:val="006C483D"/>
    <w:rsid w:val="006C52EA"/>
    <w:rsid w:val="006C5B40"/>
    <w:rsid w:val="006C6143"/>
    <w:rsid w:val="006C6D19"/>
    <w:rsid w:val="006D0991"/>
    <w:rsid w:val="006D156D"/>
    <w:rsid w:val="006D22F6"/>
    <w:rsid w:val="006D35E3"/>
    <w:rsid w:val="006D41BE"/>
    <w:rsid w:val="006D4355"/>
    <w:rsid w:val="006D5D40"/>
    <w:rsid w:val="006D5FDD"/>
    <w:rsid w:val="006D71E6"/>
    <w:rsid w:val="006D7F41"/>
    <w:rsid w:val="006E01E4"/>
    <w:rsid w:val="006E03B3"/>
    <w:rsid w:val="006E04EF"/>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3D14"/>
    <w:rsid w:val="006F40F9"/>
    <w:rsid w:val="006F5B94"/>
    <w:rsid w:val="006F7401"/>
    <w:rsid w:val="006F74A0"/>
    <w:rsid w:val="006F7AED"/>
    <w:rsid w:val="006F7F56"/>
    <w:rsid w:val="00700CEA"/>
    <w:rsid w:val="00702174"/>
    <w:rsid w:val="00702986"/>
    <w:rsid w:val="0070332A"/>
    <w:rsid w:val="00703996"/>
    <w:rsid w:val="00703A3F"/>
    <w:rsid w:val="00703CA8"/>
    <w:rsid w:val="00705F16"/>
    <w:rsid w:val="00707130"/>
    <w:rsid w:val="00707A22"/>
    <w:rsid w:val="00710777"/>
    <w:rsid w:val="00711387"/>
    <w:rsid w:val="00712CE1"/>
    <w:rsid w:val="0071419A"/>
    <w:rsid w:val="00715260"/>
    <w:rsid w:val="007153E3"/>
    <w:rsid w:val="0071684D"/>
    <w:rsid w:val="0071685B"/>
    <w:rsid w:val="00716A40"/>
    <w:rsid w:val="00716EFC"/>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27CF3"/>
    <w:rsid w:val="007318C7"/>
    <w:rsid w:val="00731B50"/>
    <w:rsid w:val="00731C61"/>
    <w:rsid w:val="00731D11"/>
    <w:rsid w:val="00731FC4"/>
    <w:rsid w:val="0073635E"/>
    <w:rsid w:val="007364FE"/>
    <w:rsid w:val="007369F8"/>
    <w:rsid w:val="00737604"/>
    <w:rsid w:val="00737B40"/>
    <w:rsid w:val="00740957"/>
    <w:rsid w:val="00741150"/>
    <w:rsid w:val="00741E04"/>
    <w:rsid w:val="00742C89"/>
    <w:rsid w:val="00742E05"/>
    <w:rsid w:val="00742ED6"/>
    <w:rsid w:val="007435E1"/>
    <w:rsid w:val="00743CB7"/>
    <w:rsid w:val="0074461A"/>
    <w:rsid w:val="00745277"/>
    <w:rsid w:val="0074681A"/>
    <w:rsid w:val="00747B76"/>
    <w:rsid w:val="00747E9C"/>
    <w:rsid w:val="00747F31"/>
    <w:rsid w:val="007517D7"/>
    <w:rsid w:val="007536E4"/>
    <w:rsid w:val="0075396C"/>
    <w:rsid w:val="00753C4E"/>
    <w:rsid w:val="0075437E"/>
    <w:rsid w:val="007543D1"/>
    <w:rsid w:val="007544BA"/>
    <w:rsid w:val="00754655"/>
    <w:rsid w:val="007558A2"/>
    <w:rsid w:val="00755A34"/>
    <w:rsid w:val="00756B6F"/>
    <w:rsid w:val="00757775"/>
    <w:rsid w:val="00761288"/>
    <w:rsid w:val="00761C9F"/>
    <w:rsid w:val="00761DCE"/>
    <w:rsid w:val="00762AA1"/>
    <w:rsid w:val="007636B6"/>
    <w:rsid w:val="00763BFE"/>
    <w:rsid w:val="007640CB"/>
    <w:rsid w:val="007649AE"/>
    <w:rsid w:val="007653A2"/>
    <w:rsid w:val="0076600A"/>
    <w:rsid w:val="007662C7"/>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2FEB"/>
    <w:rsid w:val="007748E2"/>
    <w:rsid w:val="00775911"/>
    <w:rsid w:val="00775D2C"/>
    <w:rsid w:val="00775DD0"/>
    <w:rsid w:val="00775E8C"/>
    <w:rsid w:val="0077636A"/>
    <w:rsid w:val="007764D3"/>
    <w:rsid w:val="007814FB"/>
    <w:rsid w:val="007824B8"/>
    <w:rsid w:val="00782840"/>
    <w:rsid w:val="00782D41"/>
    <w:rsid w:val="0078469E"/>
    <w:rsid w:val="007852C5"/>
    <w:rsid w:val="00785361"/>
    <w:rsid w:val="007875CC"/>
    <w:rsid w:val="00790130"/>
    <w:rsid w:val="0079064B"/>
    <w:rsid w:val="00791546"/>
    <w:rsid w:val="00791C84"/>
    <w:rsid w:val="00792866"/>
    <w:rsid w:val="007933DC"/>
    <w:rsid w:val="00793844"/>
    <w:rsid w:val="00793CD5"/>
    <w:rsid w:val="007947EE"/>
    <w:rsid w:val="0079713A"/>
    <w:rsid w:val="00797EE1"/>
    <w:rsid w:val="007A0881"/>
    <w:rsid w:val="007A1B83"/>
    <w:rsid w:val="007A1C41"/>
    <w:rsid w:val="007A2647"/>
    <w:rsid w:val="007A2C9E"/>
    <w:rsid w:val="007A478F"/>
    <w:rsid w:val="007A4B96"/>
    <w:rsid w:val="007A4F71"/>
    <w:rsid w:val="007A6461"/>
    <w:rsid w:val="007A761B"/>
    <w:rsid w:val="007A7D2F"/>
    <w:rsid w:val="007B0EC1"/>
    <w:rsid w:val="007B103A"/>
    <w:rsid w:val="007B193D"/>
    <w:rsid w:val="007B28FC"/>
    <w:rsid w:val="007B30E9"/>
    <w:rsid w:val="007B3798"/>
    <w:rsid w:val="007B404A"/>
    <w:rsid w:val="007B4115"/>
    <w:rsid w:val="007B42FD"/>
    <w:rsid w:val="007B4479"/>
    <w:rsid w:val="007B4D3B"/>
    <w:rsid w:val="007B503B"/>
    <w:rsid w:val="007B7A5C"/>
    <w:rsid w:val="007C1630"/>
    <w:rsid w:val="007C1911"/>
    <w:rsid w:val="007C3197"/>
    <w:rsid w:val="007C36C5"/>
    <w:rsid w:val="007C3F16"/>
    <w:rsid w:val="007C442F"/>
    <w:rsid w:val="007C4601"/>
    <w:rsid w:val="007C4AB8"/>
    <w:rsid w:val="007C72CD"/>
    <w:rsid w:val="007C7EFF"/>
    <w:rsid w:val="007C7FA6"/>
    <w:rsid w:val="007D04E9"/>
    <w:rsid w:val="007D175E"/>
    <w:rsid w:val="007D3A34"/>
    <w:rsid w:val="007D3A80"/>
    <w:rsid w:val="007D43D8"/>
    <w:rsid w:val="007D464B"/>
    <w:rsid w:val="007D4AF8"/>
    <w:rsid w:val="007D51A9"/>
    <w:rsid w:val="007D6A0B"/>
    <w:rsid w:val="007D74AF"/>
    <w:rsid w:val="007D7B84"/>
    <w:rsid w:val="007E0AB8"/>
    <w:rsid w:val="007E0ED2"/>
    <w:rsid w:val="007E1316"/>
    <w:rsid w:val="007E24F4"/>
    <w:rsid w:val="007E24FC"/>
    <w:rsid w:val="007E26A4"/>
    <w:rsid w:val="007E2FC1"/>
    <w:rsid w:val="007E3A05"/>
    <w:rsid w:val="007E41A2"/>
    <w:rsid w:val="007E46E3"/>
    <w:rsid w:val="007E5C3A"/>
    <w:rsid w:val="007E6502"/>
    <w:rsid w:val="007E686F"/>
    <w:rsid w:val="007E6C75"/>
    <w:rsid w:val="007E7A7F"/>
    <w:rsid w:val="007E7E46"/>
    <w:rsid w:val="007F0597"/>
    <w:rsid w:val="007F1159"/>
    <w:rsid w:val="007F2C9F"/>
    <w:rsid w:val="007F35C2"/>
    <w:rsid w:val="007F3F0D"/>
    <w:rsid w:val="007F4789"/>
    <w:rsid w:val="007F5D4D"/>
    <w:rsid w:val="007F70DF"/>
    <w:rsid w:val="00801622"/>
    <w:rsid w:val="00802195"/>
    <w:rsid w:val="008027B2"/>
    <w:rsid w:val="00802940"/>
    <w:rsid w:val="0080388E"/>
    <w:rsid w:val="00804316"/>
    <w:rsid w:val="008043F7"/>
    <w:rsid w:val="0080452D"/>
    <w:rsid w:val="0080456C"/>
    <w:rsid w:val="008059FE"/>
    <w:rsid w:val="008060E2"/>
    <w:rsid w:val="00806CA0"/>
    <w:rsid w:val="00806F82"/>
    <w:rsid w:val="0080777A"/>
    <w:rsid w:val="00807E2B"/>
    <w:rsid w:val="00811133"/>
    <w:rsid w:val="008121E0"/>
    <w:rsid w:val="0081257D"/>
    <w:rsid w:val="00812E86"/>
    <w:rsid w:val="0081350C"/>
    <w:rsid w:val="00815F96"/>
    <w:rsid w:val="0081657E"/>
    <w:rsid w:val="00816946"/>
    <w:rsid w:val="00816DB9"/>
    <w:rsid w:val="00817FA2"/>
    <w:rsid w:val="008203CD"/>
    <w:rsid w:val="0082111B"/>
    <w:rsid w:val="00821C02"/>
    <w:rsid w:val="008235C7"/>
    <w:rsid w:val="0082373B"/>
    <w:rsid w:val="00823D2D"/>
    <w:rsid w:val="00825948"/>
    <w:rsid w:val="00825A24"/>
    <w:rsid w:val="00825F2E"/>
    <w:rsid w:val="00827AAD"/>
    <w:rsid w:val="00827CEF"/>
    <w:rsid w:val="00827D33"/>
    <w:rsid w:val="00830ECC"/>
    <w:rsid w:val="0083123E"/>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2C46"/>
    <w:rsid w:val="00843806"/>
    <w:rsid w:val="00844352"/>
    <w:rsid w:val="008446E6"/>
    <w:rsid w:val="00847A94"/>
    <w:rsid w:val="00851793"/>
    <w:rsid w:val="00851B00"/>
    <w:rsid w:val="00852055"/>
    <w:rsid w:val="008522D3"/>
    <w:rsid w:val="0085259B"/>
    <w:rsid w:val="0085270C"/>
    <w:rsid w:val="00853096"/>
    <w:rsid w:val="0085417A"/>
    <w:rsid w:val="00854AB8"/>
    <w:rsid w:val="0085665E"/>
    <w:rsid w:val="00856BC0"/>
    <w:rsid w:val="008570C2"/>
    <w:rsid w:val="0085717B"/>
    <w:rsid w:val="008576FB"/>
    <w:rsid w:val="00857E8A"/>
    <w:rsid w:val="00861E51"/>
    <w:rsid w:val="008620A3"/>
    <w:rsid w:val="00862E6F"/>
    <w:rsid w:val="008637A2"/>
    <w:rsid w:val="008637C6"/>
    <w:rsid w:val="0086394E"/>
    <w:rsid w:val="0086541A"/>
    <w:rsid w:val="00865E4A"/>
    <w:rsid w:val="00865FB3"/>
    <w:rsid w:val="00866611"/>
    <w:rsid w:val="00866755"/>
    <w:rsid w:val="008678E6"/>
    <w:rsid w:val="00867A8D"/>
    <w:rsid w:val="00867ACE"/>
    <w:rsid w:val="00867B5A"/>
    <w:rsid w:val="008705CB"/>
    <w:rsid w:val="00870AE8"/>
    <w:rsid w:val="00870D62"/>
    <w:rsid w:val="008712BB"/>
    <w:rsid w:val="008752B0"/>
    <w:rsid w:val="00875F81"/>
    <w:rsid w:val="0087657B"/>
    <w:rsid w:val="00880545"/>
    <w:rsid w:val="00881333"/>
    <w:rsid w:val="00881E20"/>
    <w:rsid w:val="00883CC1"/>
    <w:rsid w:val="0088453E"/>
    <w:rsid w:val="00884BA5"/>
    <w:rsid w:val="008861A0"/>
    <w:rsid w:val="008864E5"/>
    <w:rsid w:val="00886FCF"/>
    <w:rsid w:val="00890B89"/>
    <w:rsid w:val="008918DD"/>
    <w:rsid w:val="00893C62"/>
    <w:rsid w:val="00894076"/>
    <w:rsid w:val="0089545E"/>
    <w:rsid w:val="0089572B"/>
    <w:rsid w:val="00895DC9"/>
    <w:rsid w:val="00897792"/>
    <w:rsid w:val="008A10DA"/>
    <w:rsid w:val="008A2604"/>
    <w:rsid w:val="008A2914"/>
    <w:rsid w:val="008A2924"/>
    <w:rsid w:val="008A47E2"/>
    <w:rsid w:val="008A6515"/>
    <w:rsid w:val="008A66A8"/>
    <w:rsid w:val="008A721C"/>
    <w:rsid w:val="008B03D7"/>
    <w:rsid w:val="008B0E39"/>
    <w:rsid w:val="008B1C1E"/>
    <w:rsid w:val="008B1FC2"/>
    <w:rsid w:val="008B2A13"/>
    <w:rsid w:val="008B321B"/>
    <w:rsid w:val="008B3D62"/>
    <w:rsid w:val="008B577D"/>
    <w:rsid w:val="008B66A9"/>
    <w:rsid w:val="008B689F"/>
    <w:rsid w:val="008B6D03"/>
    <w:rsid w:val="008B7143"/>
    <w:rsid w:val="008B7315"/>
    <w:rsid w:val="008C0026"/>
    <w:rsid w:val="008C0ABC"/>
    <w:rsid w:val="008C1886"/>
    <w:rsid w:val="008C1A7E"/>
    <w:rsid w:val="008C266F"/>
    <w:rsid w:val="008C287F"/>
    <w:rsid w:val="008C2AC9"/>
    <w:rsid w:val="008C2FE1"/>
    <w:rsid w:val="008C326E"/>
    <w:rsid w:val="008C3877"/>
    <w:rsid w:val="008C5B79"/>
    <w:rsid w:val="008C5C30"/>
    <w:rsid w:val="008C6230"/>
    <w:rsid w:val="008D0625"/>
    <w:rsid w:val="008D0D87"/>
    <w:rsid w:val="008D0F89"/>
    <w:rsid w:val="008D1017"/>
    <w:rsid w:val="008D2424"/>
    <w:rsid w:val="008D2C81"/>
    <w:rsid w:val="008D39E4"/>
    <w:rsid w:val="008D40B9"/>
    <w:rsid w:val="008D462F"/>
    <w:rsid w:val="008D5E1C"/>
    <w:rsid w:val="008D6655"/>
    <w:rsid w:val="008D6989"/>
    <w:rsid w:val="008D6A94"/>
    <w:rsid w:val="008D6DD7"/>
    <w:rsid w:val="008D72F6"/>
    <w:rsid w:val="008E03A9"/>
    <w:rsid w:val="008E074D"/>
    <w:rsid w:val="008E09EF"/>
    <w:rsid w:val="008E1242"/>
    <w:rsid w:val="008E1DB8"/>
    <w:rsid w:val="008E1E89"/>
    <w:rsid w:val="008E1FE0"/>
    <w:rsid w:val="008E28F7"/>
    <w:rsid w:val="008E2AD3"/>
    <w:rsid w:val="008E4766"/>
    <w:rsid w:val="008E4BA9"/>
    <w:rsid w:val="008E55C8"/>
    <w:rsid w:val="008E5C1D"/>
    <w:rsid w:val="008E660A"/>
    <w:rsid w:val="008E6CE7"/>
    <w:rsid w:val="008E7234"/>
    <w:rsid w:val="008E7552"/>
    <w:rsid w:val="008E7767"/>
    <w:rsid w:val="008E7DBC"/>
    <w:rsid w:val="008F088E"/>
    <w:rsid w:val="008F0CD4"/>
    <w:rsid w:val="008F1269"/>
    <w:rsid w:val="008F1FE6"/>
    <w:rsid w:val="008F2D01"/>
    <w:rsid w:val="008F3451"/>
    <w:rsid w:val="008F3719"/>
    <w:rsid w:val="008F465E"/>
    <w:rsid w:val="008F524C"/>
    <w:rsid w:val="008F636C"/>
    <w:rsid w:val="008F656F"/>
    <w:rsid w:val="008F7315"/>
    <w:rsid w:val="008F7CD9"/>
    <w:rsid w:val="008F7D8F"/>
    <w:rsid w:val="00900236"/>
    <w:rsid w:val="009006FB"/>
    <w:rsid w:val="00900739"/>
    <w:rsid w:val="0090075B"/>
    <w:rsid w:val="0090104B"/>
    <w:rsid w:val="00902324"/>
    <w:rsid w:val="00902B26"/>
    <w:rsid w:val="00902E0A"/>
    <w:rsid w:val="00903566"/>
    <w:rsid w:val="00903CA5"/>
    <w:rsid w:val="0090404A"/>
    <w:rsid w:val="00904E61"/>
    <w:rsid w:val="00905D0A"/>
    <w:rsid w:val="00906109"/>
    <w:rsid w:val="00907198"/>
    <w:rsid w:val="00907515"/>
    <w:rsid w:val="00907FC3"/>
    <w:rsid w:val="0091095B"/>
    <w:rsid w:val="009114CD"/>
    <w:rsid w:val="009126EB"/>
    <w:rsid w:val="00912751"/>
    <w:rsid w:val="0091418B"/>
    <w:rsid w:val="00914DFD"/>
    <w:rsid w:val="00915293"/>
    <w:rsid w:val="009157AA"/>
    <w:rsid w:val="009173EB"/>
    <w:rsid w:val="0092033C"/>
    <w:rsid w:val="00920B30"/>
    <w:rsid w:val="0092101B"/>
    <w:rsid w:val="009219F7"/>
    <w:rsid w:val="00921A55"/>
    <w:rsid w:val="00925C68"/>
    <w:rsid w:val="00925E4B"/>
    <w:rsid w:val="00925FE3"/>
    <w:rsid w:val="009262BD"/>
    <w:rsid w:val="009265AA"/>
    <w:rsid w:val="00931027"/>
    <w:rsid w:val="009312E9"/>
    <w:rsid w:val="009318C1"/>
    <w:rsid w:val="00931D38"/>
    <w:rsid w:val="00932F75"/>
    <w:rsid w:val="0093359E"/>
    <w:rsid w:val="009336A9"/>
    <w:rsid w:val="00933A2B"/>
    <w:rsid w:val="00933EC4"/>
    <w:rsid w:val="00934AC2"/>
    <w:rsid w:val="00934F25"/>
    <w:rsid w:val="0093581E"/>
    <w:rsid w:val="00936289"/>
    <w:rsid w:val="009369A2"/>
    <w:rsid w:val="00936A7F"/>
    <w:rsid w:val="009372F2"/>
    <w:rsid w:val="00937376"/>
    <w:rsid w:val="00937A3A"/>
    <w:rsid w:val="00937B1B"/>
    <w:rsid w:val="00937D81"/>
    <w:rsid w:val="00940623"/>
    <w:rsid w:val="009409E5"/>
    <w:rsid w:val="00940E80"/>
    <w:rsid w:val="00945742"/>
    <w:rsid w:val="009457C2"/>
    <w:rsid w:val="00945D31"/>
    <w:rsid w:val="00945DB9"/>
    <w:rsid w:val="0094630A"/>
    <w:rsid w:val="009465AC"/>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321B"/>
    <w:rsid w:val="00963B34"/>
    <w:rsid w:val="00965461"/>
    <w:rsid w:val="009659B1"/>
    <w:rsid w:val="00965A43"/>
    <w:rsid w:val="00965C5B"/>
    <w:rsid w:val="009673AF"/>
    <w:rsid w:val="009675FA"/>
    <w:rsid w:val="009701D0"/>
    <w:rsid w:val="009707CC"/>
    <w:rsid w:val="00970943"/>
    <w:rsid w:val="00970CF9"/>
    <w:rsid w:val="00970E88"/>
    <w:rsid w:val="0097181C"/>
    <w:rsid w:val="009721AB"/>
    <w:rsid w:val="00972725"/>
    <w:rsid w:val="00972E8F"/>
    <w:rsid w:val="009736ED"/>
    <w:rsid w:val="00974832"/>
    <w:rsid w:val="009751BA"/>
    <w:rsid w:val="009761D8"/>
    <w:rsid w:val="009761F7"/>
    <w:rsid w:val="009765DD"/>
    <w:rsid w:val="009768F3"/>
    <w:rsid w:val="00976C24"/>
    <w:rsid w:val="00976D49"/>
    <w:rsid w:val="009771C4"/>
    <w:rsid w:val="009818D6"/>
    <w:rsid w:val="0098252B"/>
    <w:rsid w:val="00982D21"/>
    <w:rsid w:val="00983948"/>
    <w:rsid w:val="0098411C"/>
    <w:rsid w:val="009853BF"/>
    <w:rsid w:val="009857D8"/>
    <w:rsid w:val="009874B5"/>
    <w:rsid w:val="009877E6"/>
    <w:rsid w:val="00987E07"/>
    <w:rsid w:val="00987EF3"/>
    <w:rsid w:val="009935BC"/>
    <w:rsid w:val="009941FA"/>
    <w:rsid w:val="009946C2"/>
    <w:rsid w:val="009948FF"/>
    <w:rsid w:val="00995C4E"/>
    <w:rsid w:val="00995F7A"/>
    <w:rsid w:val="009961D7"/>
    <w:rsid w:val="009973AE"/>
    <w:rsid w:val="00997848"/>
    <w:rsid w:val="00997F61"/>
    <w:rsid w:val="009A0761"/>
    <w:rsid w:val="009A08E5"/>
    <w:rsid w:val="009A09A6"/>
    <w:rsid w:val="009A2AB6"/>
    <w:rsid w:val="009A443F"/>
    <w:rsid w:val="009A53FB"/>
    <w:rsid w:val="009A5B53"/>
    <w:rsid w:val="009A5FA2"/>
    <w:rsid w:val="009A6954"/>
    <w:rsid w:val="009A733D"/>
    <w:rsid w:val="009B0697"/>
    <w:rsid w:val="009B0828"/>
    <w:rsid w:val="009B0A52"/>
    <w:rsid w:val="009B0D23"/>
    <w:rsid w:val="009B114A"/>
    <w:rsid w:val="009B1468"/>
    <w:rsid w:val="009B1B60"/>
    <w:rsid w:val="009B20E1"/>
    <w:rsid w:val="009B2404"/>
    <w:rsid w:val="009B355C"/>
    <w:rsid w:val="009B3EA3"/>
    <w:rsid w:val="009B5445"/>
    <w:rsid w:val="009B589E"/>
    <w:rsid w:val="009B5C12"/>
    <w:rsid w:val="009B6AB0"/>
    <w:rsid w:val="009B6E4F"/>
    <w:rsid w:val="009B74C0"/>
    <w:rsid w:val="009B76ED"/>
    <w:rsid w:val="009B7C97"/>
    <w:rsid w:val="009C00AE"/>
    <w:rsid w:val="009C06F9"/>
    <w:rsid w:val="009C154D"/>
    <w:rsid w:val="009C1762"/>
    <w:rsid w:val="009C2367"/>
    <w:rsid w:val="009C272E"/>
    <w:rsid w:val="009C350E"/>
    <w:rsid w:val="009C3E9C"/>
    <w:rsid w:val="009C4D0C"/>
    <w:rsid w:val="009C514D"/>
    <w:rsid w:val="009C5216"/>
    <w:rsid w:val="009C5872"/>
    <w:rsid w:val="009C5AF3"/>
    <w:rsid w:val="009C6192"/>
    <w:rsid w:val="009C65DF"/>
    <w:rsid w:val="009C6CB0"/>
    <w:rsid w:val="009C6D14"/>
    <w:rsid w:val="009C708D"/>
    <w:rsid w:val="009C76C1"/>
    <w:rsid w:val="009C7BC9"/>
    <w:rsid w:val="009D0001"/>
    <w:rsid w:val="009D038D"/>
    <w:rsid w:val="009D1538"/>
    <w:rsid w:val="009D1F29"/>
    <w:rsid w:val="009D298D"/>
    <w:rsid w:val="009D3694"/>
    <w:rsid w:val="009D4152"/>
    <w:rsid w:val="009D5108"/>
    <w:rsid w:val="009D60B3"/>
    <w:rsid w:val="009D73C2"/>
    <w:rsid w:val="009E050B"/>
    <w:rsid w:val="009E0C12"/>
    <w:rsid w:val="009E0EDC"/>
    <w:rsid w:val="009E1876"/>
    <w:rsid w:val="009E1FEF"/>
    <w:rsid w:val="009E20DE"/>
    <w:rsid w:val="009E2CD3"/>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2C6"/>
    <w:rsid w:val="009F5B9F"/>
    <w:rsid w:val="009F710B"/>
    <w:rsid w:val="009F79A0"/>
    <w:rsid w:val="00A003BF"/>
    <w:rsid w:val="00A0243B"/>
    <w:rsid w:val="00A024CE"/>
    <w:rsid w:val="00A03548"/>
    <w:rsid w:val="00A04E2D"/>
    <w:rsid w:val="00A0538A"/>
    <w:rsid w:val="00A05516"/>
    <w:rsid w:val="00A05EC1"/>
    <w:rsid w:val="00A069DA"/>
    <w:rsid w:val="00A07A94"/>
    <w:rsid w:val="00A111FB"/>
    <w:rsid w:val="00A12752"/>
    <w:rsid w:val="00A12E9E"/>
    <w:rsid w:val="00A13B10"/>
    <w:rsid w:val="00A13B22"/>
    <w:rsid w:val="00A14727"/>
    <w:rsid w:val="00A15BDB"/>
    <w:rsid w:val="00A16074"/>
    <w:rsid w:val="00A161F7"/>
    <w:rsid w:val="00A16AF6"/>
    <w:rsid w:val="00A16B79"/>
    <w:rsid w:val="00A170BC"/>
    <w:rsid w:val="00A17B7E"/>
    <w:rsid w:val="00A17F6B"/>
    <w:rsid w:val="00A2060E"/>
    <w:rsid w:val="00A20C5A"/>
    <w:rsid w:val="00A23B93"/>
    <w:rsid w:val="00A2408F"/>
    <w:rsid w:val="00A24968"/>
    <w:rsid w:val="00A2506B"/>
    <w:rsid w:val="00A25DA5"/>
    <w:rsid w:val="00A261B4"/>
    <w:rsid w:val="00A26E64"/>
    <w:rsid w:val="00A2738E"/>
    <w:rsid w:val="00A305B3"/>
    <w:rsid w:val="00A30640"/>
    <w:rsid w:val="00A30A35"/>
    <w:rsid w:val="00A311EA"/>
    <w:rsid w:val="00A31A34"/>
    <w:rsid w:val="00A323B3"/>
    <w:rsid w:val="00A32A75"/>
    <w:rsid w:val="00A32B44"/>
    <w:rsid w:val="00A33CA7"/>
    <w:rsid w:val="00A34115"/>
    <w:rsid w:val="00A351AE"/>
    <w:rsid w:val="00A3551C"/>
    <w:rsid w:val="00A4002A"/>
    <w:rsid w:val="00A40D25"/>
    <w:rsid w:val="00A415C6"/>
    <w:rsid w:val="00A41884"/>
    <w:rsid w:val="00A420E8"/>
    <w:rsid w:val="00A425E4"/>
    <w:rsid w:val="00A42963"/>
    <w:rsid w:val="00A43281"/>
    <w:rsid w:val="00A43563"/>
    <w:rsid w:val="00A44671"/>
    <w:rsid w:val="00A4477E"/>
    <w:rsid w:val="00A4500B"/>
    <w:rsid w:val="00A4563F"/>
    <w:rsid w:val="00A459FF"/>
    <w:rsid w:val="00A4662D"/>
    <w:rsid w:val="00A47125"/>
    <w:rsid w:val="00A5303E"/>
    <w:rsid w:val="00A53156"/>
    <w:rsid w:val="00A531D3"/>
    <w:rsid w:val="00A53872"/>
    <w:rsid w:val="00A53AB8"/>
    <w:rsid w:val="00A54AEC"/>
    <w:rsid w:val="00A54EAD"/>
    <w:rsid w:val="00A55095"/>
    <w:rsid w:val="00A55569"/>
    <w:rsid w:val="00A5669E"/>
    <w:rsid w:val="00A56A43"/>
    <w:rsid w:val="00A57C79"/>
    <w:rsid w:val="00A602B6"/>
    <w:rsid w:val="00A60344"/>
    <w:rsid w:val="00A605A5"/>
    <w:rsid w:val="00A61728"/>
    <w:rsid w:val="00A6252C"/>
    <w:rsid w:val="00A63414"/>
    <w:rsid w:val="00A6350E"/>
    <w:rsid w:val="00A637D4"/>
    <w:rsid w:val="00A638E1"/>
    <w:rsid w:val="00A640A8"/>
    <w:rsid w:val="00A64203"/>
    <w:rsid w:val="00A65DC2"/>
    <w:rsid w:val="00A65F5F"/>
    <w:rsid w:val="00A66596"/>
    <w:rsid w:val="00A6709E"/>
    <w:rsid w:val="00A67921"/>
    <w:rsid w:val="00A67F10"/>
    <w:rsid w:val="00A707C8"/>
    <w:rsid w:val="00A71A83"/>
    <w:rsid w:val="00A73268"/>
    <w:rsid w:val="00A7437C"/>
    <w:rsid w:val="00A76736"/>
    <w:rsid w:val="00A8053D"/>
    <w:rsid w:val="00A8079E"/>
    <w:rsid w:val="00A80E0D"/>
    <w:rsid w:val="00A81221"/>
    <w:rsid w:val="00A82443"/>
    <w:rsid w:val="00A82773"/>
    <w:rsid w:val="00A8340F"/>
    <w:rsid w:val="00A83961"/>
    <w:rsid w:val="00A83EDC"/>
    <w:rsid w:val="00A840E6"/>
    <w:rsid w:val="00A8483B"/>
    <w:rsid w:val="00A85885"/>
    <w:rsid w:val="00A85DA0"/>
    <w:rsid w:val="00A871D2"/>
    <w:rsid w:val="00A87BFE"/>
    <w:rsid w:val="00A90048"/>
    <w:rsid w:val="00A902E0"/>
    <w:rsid w:val="00A905B6"/>
    <w:rsid w:val="00A9163D"/>
    <w:rsid w:val="00A920D8"/>
    <w:rsid w:val="00A95C7B"/>
    <w:rsid w:val="00A964EA"/>
    <w:rsid w:val="00A967B3"/>
    <w:rsid w:val="00A96B1A"/>
    <w:rsid w:val="00A97380"/>
    <w:rsid w:val="00A978F5"/>
    <w:rsid w:val="00AA0679"/>
    <w:rsid w:val="00AA0A65"/>
    <w:rsid w:val="00AA0E89"/>
    <w:rsid w:val="00AA1471"/>
    <w:rsid w:val="00AA2FA9"/>
    <w:rsid w:val="00AA332D"/>
    <w:rsid w:val="00AA3CC3"/>
    <w:rsid w:val="00AA3FEE"/>
    <w:rsid w:val="00AA47F7"/>
    <w:rsid w:val="00AA4D48"/>
    <w:rsid w:val="00AA53A3"/>
    <w:rsid w:val="00AA5B2A"/>
    <w:rsid w:val="00AA6158"/>
    <w:rsid w:val="00AA616D"/>
    <w:rsid w:val="00AA6C68"/>
    <w:rsid w:val="00AA7711"/>
    <w:rsid w:val="00AA7978"/>
    <w:rsid w:val="00AA7DFD"/>
    <w:rsid w:val="00AB0B7F"/>
    <w:rsid w:val="00AB0DCC"/>
    <w:rsid w:val="00AB3952"/>
    <w:rsid w:val="00AB3C18"/>
    <w:rsid w:val="00AB412E"/>
    <w:rsid w:val="00AB4A8D"/>
    <w:rsid w:val="00AB525E"/>
    <w:rsid w:val="00AB6119"/>
    <w:rsid w:val="00AB7386"/>
    <w:rsid w:val="00AB751E"/>
    <w:rsid w:val="00AC01C4"/>
    <w:rsid w:val="00AC0782"/>
    <w:rsid w:val="00AC1CBA"/>
    <w:rsid w:val="00AC2071"/>
    <w:rsid w:val="00AC2F0A"/>
    <w:rsid w:val="00AC34FC"/>
    <w:rsid w:val="00AC3C74"/>
    <w:rsid w:val="00AC42E9"/>
    <w:rsid w:val="00AC463D"/>
    <w:rsid w:val="00AC47AB"/>
    <w:rsid w:val="00AC47F0"/>
    <w:rsid w:val="00AC6837"/>
    <w:rsid w:val="00AC7B96"/>
    <w:rsid w:val="00AD003B"/>
    <w:rsid w:val="00AD0118"/>
    <w:rsid w:val="00AD017A"/>
    <w:rsid w:val="00AD19ED"/>
    <w:rsid w:val="00AD2CA6"/>
    <w:rsid w:val="00AD3433"/>
    <w:rsid w:val="00AD3F5E"/>
    <w:rsid w:val="00AD60D7"/>
    <w:rsid w:val="00AD6B28"/>
    <w:rsid w:val="00AD71BE"/>
    <w:rsid w:val="00AD73C8"/>
    <w:rsid w:val="00AD77CD"/>
    <w:rsid w:val="00AE007C"/>
    <w:rsid w:val="00AE0CFF"/>
    <w:rsid w:val="00AE10E1"/>
    <w:rsid w:val="00AE1136"/>
    <w:rsid w:val="00AE1FDC"/>
    <w:rsid w:val="00AE2834"/>
    <w:rsid w:val="00AE31DB"/>
    <w:rsid w:val="00AE3FA6"/>
    <w:rsid w:val="00AE46A3"/>
    <w:rsid w:val="00AE4867"/>
    <w:rsid w:val="00AE52C3"/>
    <w:rsid w:val="00AE619A"/>
    <w:rsid w:val="00AF0BDD"/>
    <w:rsid w:val="00AF17E1"/>
    <w:rsid w:val="00AF238A"/>
    <w:rsid w:val="00AF341B"/>
    <w:rsid w:val="00AF3639"/>
    <w:rsid w:val="00AF7B97"/>
    <w:rsid w:val="00AF7C6C"/>
    <w:rsid w:val="00B0021E"/>
    <w:rsid w:val="00B00F3D"/>
    <w:rsid w:val="00B0193A"/>
    <w:rsid w:val="00B01FAC"/>
    <w:rsid w:val="00B02535"/>
    <w:rsid w:val="00B03994"/>
    <w:rsid w:val="00B04260"/>
    <w:rsid w:val="00B05A07"/>
    <w:rsid w:val="00B05DCE"/>
    <w:rsid w:val="00B065AB"/>
    <w:rsid w:val="00B06924"/>
    <w:rsid w:val="00B06A21"/>
    <w:rsid w:val="00B06C0B"/>
    <w:rsid w:val="00B0716D"/>
    <w:rsid w:val="00B078A2"/>
    <w:rsid w:val="00B07D72"/>
    <w:rsid w:val="00B1007E"/>
    <w:rsid w:val="00B10247"/>
    <w:rsid w:val="00B117EB"/>
    <w:rsid w:val="00B11B28"/>
    <w:rsid w:val="00B11FF6"/>
    <w:rsid w:val="00B12774"/>
    <w:rsid w:val="00B13804"/>
    <w:rsid w:val="00B1413A"/>
    <w:rsid w:val="00B158D9"/>
    <w:rsid w:val="00B15B2D"/>
    <w:rsid w:val="00B15BDD"/>
    <w:rsid w:val="00B15C36"/>
    <w:rsid w:val="00B15DE7"/>
    <w:rsid w:val="00B16E5C"/>
    <w:rsid w:val="00B17656"/>
    <w:rsid w:val="00B20C5F"/>
    <w:rsid w:val="00B21800"/>
    <w:rsid w:val="00B218E5"/>
    <w:rsid w:val="00B219F0"/>
    <w:rsid w:val="00B229E2"/>
    <w:rsid w:val="00B238D3"/>
    <w:rsid w:val="00B24904"/>
    <w:rsid w:val="00B24B84"/>
    <w:rsid w:val="00B24BB5"/>
    <w:rsid w:val="00B254A3"/>
    <w:rsid w:val="00B26306"/>
    <w:rsid w:val="00B26345"/>
    <w:rsid w:val="00B26669"/>
    <w:rsid w:val="00B26F93"/>
    <w:rsid w:val="00B275EC"/>
    <w:rsid w:val="00B27B9D"/>
    <w:rsid w:val="00B301AA"/>
    <w:rsid w:val="00B307CB"/>
    <w:rsid w:val="00B30CEA"/>
    <w:rsid w:val="00B3108A"/>
    <w:rsid w:val="00B31655"/>
    <w:rsid w:val="00B31D29"/>
    <w:rsid w:val="00B31F23"/>
    <w:rsid w:val="00B328B6"/>
    <w:rsid w:val="00B34006"/>
    <w:rsid w:val="00B345DC"/>
    <w:rsid w:val="00B34BA9"/>
    <w:rsid w:val="00B35C97"/>
    <w:rsid w:val="00B36D5A"/>
    <w:rsid w:val="00B37F78"/>
    <w:rsid w:val="00B40538"/>
    <w:rsid w:val="00B41520"/>
    <w:rsid w:val="00B418BF"/>
    <w:rsid w:val="00B43991"/>
    <w:rsid w:val="00B43DB2"/>
    <w:rsid w:val="00B43E67"/>
    <w:rsid w:val="00B44A4C"/>
    <w:rsid w:val="00B45129"/>
    <w:rsid w:val="00B45FA4"/>
    <w:rsid w:val="00B47783"/>
    <w:rsid w:val="00B50703"/>
    <w:rsid w:val="00B50B1D"/>
    <w:rsid w:val="00B53172"/>
    <w:rsid w:val="00B53199"/>
    <w:rsid w:val="00B54D7E"/>
    <w:rsid w:val="00B54E09"/>
    <w:rsid w:val="00B55E44"/>
    <w:rsid w:val="00B562DA"/>
    <w:rsid w:val="00B571FD"/>
    <w:rsid w:val="00B605EA"/>
    <w:rsid w:val="00B60D36"/>
    <w:rsid w:val="00B62FB6"/>
    <w:rsid w:val="00B647B5"/>
    <w:rsid w:val="00B6522E"/>
    <w:rsid w:val="00B65815"/>
    <w:rsid w:val="00B65E66"/>
    <w:rsid w:val="00B67889"/>
    <w:rsid w:val="00B67D15"/>
    <w:rsid w:val="00B706C8"/>
    <w:rsid w:val="00B70FE8"/>
    <w:rsid w:val="00B71C0F"/>
    <w:rsid w:val="00B723D0"/>
    <w:rsid w:val="00B739C5"/>
    <w:rsid w:val="00B74BA5"/>
    <w:rsid w:val="00B76BCF"/>
    <w:rsid w:val="00B76E58"/>
    <w:rsid w:val="00B76FD4"/>
    <w:rsid w:val="00B80008"/>
    <w:rsid w:val="00B82609"/>
    <w:rsid w:val="00B830A8"/>
    <w:rsid w:val="00B83382"/>
    <w:rsid w:val="00B83C21"/>
    <w:rsid w:val="00B85BC7"/>
    <w:rsid w:val="00B903CF"/>
    <w:rsid w:val="00B90557"/>
    <w:rsid w:val="00B91E17"/>
    <w:rsid w:val="00B932CD"/>
    <w:rsid w:val="00B9332C"/>
    <w:rsid w:val="00B935E6"/>
    <w:rsid w:val="00B936FD"/>
    <w:rsid w:val="00B937D8"/>
    <w:rsid w:val="00B93C45"/>
    <w:rsid w:val="00B94BF2"/>
    <w:rsid w:val="00B94CBC"/>
    <w:rsid w:val="00B9502C"/>
    <w:rsid w:val="00B95ABE"/>
    <w:rsid w:val="00B95DE7"/>
    <w:rsid w:val="00B96105"/>
    <w:rsid w:val="00BA0CA6"/>
    <w:rsid w:val="00BA1860"/>
    <w:rsid w:val="00BA1C3C"/>
    <w:rsid w:val="00BA214E"/>
    <w:rsid w:val="00BA2A18"/>
    <w:rsid w:val="00BA32B9"/>
    <w:rsid w:val="00BA343C"/>
    <w:rsid w:val="00BA3BFF"/>
    <w:rsid w:val="00BA4726"/>
    <w:rsid w:val="00BA51AB"/>
    <w:rsid w:val="00BA5934"/>
    <w:rsid w:val="00BA66CA"/>
    <w:rsid w:val="00BA6C73"/>
    <w:rsid w:val="00BA7033"/>
    <w:rsid w:val="00BA7585"/>
    <w:rsid w:val="00BA79CC"/>
    <w:rsid w:val="00BB0883"/>
    <w:rsid w:val="00BB1421"/>
    <w:rsid w:val="00BB1537"/>
    <w:rsid w:val="00BB20B6"/>
    <w:rsid w:val="00BB225F"/>
    <w:rsid w:val="00BB2F66"/>
    <w:rsid w:val="00BB4A62"/>
    <w:rsid w:val="00BB4C3B"/>
    <w:rsid w:val="00BB58AA"/>
    <w:rsid w:val="00BB5D3A"/>
    <w:rsid w:val="00BB5EC1"/>
    <w:rsid w:val="00BB64C9"/>
    <w:rsid w:val="00BB68A7"/>
    <w:rsid w:val="00BB70B1"/>
    <w:rsid w:val="00BB71A7"/>
    <w:rsid w:val="00BB750D"/>
    <w:rsid w:val="00BB7BD4"/>
    <w:rsid w:val="00BB7F5F"/>
    <w:rsid w:val="00BC1257"/>
    <w:rsid w:val="00BC1D08"/>
    <w:rsid w:val="00BC1F3E"/>
    <w:rsid w:val="00BC418A"/>
    <w:rsid w:val="00BC442B"/>
    <w:rsid w:val="00BC44C4"/>
    <w:rsid w:val="00BC4ACE"/>
    <w:rsid w:val="00BC4FC4"/>
    <w:rsid w:val="00BC59D3"/>
    <w:rsid w:val="00BC5C8C"/>
    <w:rsid w:val="00BC706D"/>
    <w:rsid w:val="00BC7464"/>
    <w:rsid w:val="00BD0DB6"/>
    <w:rsid w:val="00BD302A"/>
    <w:rsid w:val="00BD3259"/>
    <w:rsid w:val="00BD3C1C"/>
    <w:rsid w:val="00BD3C5A"/>
    <w:rsid w:val="00BD3EA9"/>
    <w:rsid w:val="00BD41FD"/>
    <w:rsid w:val="00BD4290"/>
    <w:rsid w:val="00BD52D4"/>
    <w:rsid w:val="00BD554F"/>
    <w:rsid w:val="00BD582B"/>
    <w:rsid w:val="00BD58A6"/>
    <w:rsid w:val="00BD6562"/>
    <w:rsid w:val="00BD6B81"/>
    <w:rsid w:val="00BD6BBE"/>
    <w:rsid w:val="00BD6C62"/>
    <w:rsid w:val="00BE070A"/>
    <w:rsid w:val="00BE1BAD"/>
    <w:rsid w:val="00BE2405"/>
    <w:rsid w:val="00BE2CA7"/>
    <w:rsid w:val="00BE2D3F"/>
    <w:rsid w:val="00BE4D94"/>
    <w:rsid w:val="00BE61F2"/>
    <w:rsid w:val="00BF0850"/>
    <w:rsid w:val="00BF13B4"/>
    <w:rsid w:val="00BF311F"/>
    <w:rsid w:val="00BF4340"/>
    <w:rsid w:val="00BF664E"/>
    <w:rsid w:val="00BF705A"/>
    <w:rsid w:val="00BF72B7"/>
    <w:rsid w:val="00BF75A2"/>
    <w:rsid w:val="00BF79B1"/>
    <w:rsid w:val="00BF7DB7"/>
    <w:rsid w:val="00C01522"/>
    <w:rsid w:val="00C02C9D"/>
    <w:rsid w:val="00C0394C"/>
    <w:rsid w:val="00C03E0C"/>
    <w:rsid w:val="00C04945"/>
    <w:rsid w:val="00C05683"/>
    <w:rsid w:val="00C05C64"/>
    <w:rsid w:val="00C063E5"/>
    <w:rsid w:val="00C068B5"/>
    <w:rsid w:val="00C06DE2"/>
    <w:rsid w:val="00C07024"/>
    <w:rsid w:val="00C07381"/>
    <w:rsid w:val="00C07C60"/>
    <w:rsid w:val="00C07E1E"/>
    <w:rsid w:val="00C10B3D"/>
    <w:rsid w:val="00C10E11"/>
    <w:rsid w:val="00C119A2"/>
    <w:rsid w:val="00C11CEA"/>
    <w:rsid w:val="00C123C8"/>
    <w:rsid w:val="00C1358F"/>
    <w:rsid w:val="00C13AA3"/>
    <w:rsid w:val="00C144F7"/>
    <w:rsid w:val="00C1506D"/>
    <w:rsid w:val="00C160B2"/>
    <w:rsid w:val="00C16C0D"/>
    <w:rsid w:val="00C16FBA"/>
    <w:rsid w:val="00C17152"/>
    <w:rsid w:val="00C17918"/>
    <w:rsid w:val="00C20A28"/>
    <w:rsid w:val="00C20F8B"/>
    <w:rsid w:val="00C212D3"/>
    <w:rsid w:val="00C219DA"/>
    <w:rsid w:val="00C22080"/>
    <w:rsid w:val="00C22799"/>
    <w:rsid w:val="00C22CAA"/>
    <w:rsid w:val="00C242B3"/>
    <w:rsid w:val="00C24AEF"/>
    <w:rsid w:val="00C24C0F"/>
    <w:rsid w:val="00C24FD2"/>
    <w:rsid w:val="00C253D5"/>
    <w:rsid w:val="00C25BCC"/>
    <w:rsid w:val="00C26454"/>
    <w:rsid w:val="00C2698D"/>
    <w:rsid w:val="00C276B1"/>
    <w:rsid w:val="00C277EE"/>
    <w:rsid w:val="00C3064C"/>
    <w:rsid w:val="00C313A9"/>
    <w:rsid w:val="00C3176C"/>
    <w:rsid w:val="00C31EDD"/>
    <w:rsid w:val="00C323DF"/>
    <w:rsid w:val="00C3255F"/>
    <w:rsid w:val="00C33214"/>
    <w:rsid w:val="00C33CB9"/>
    <w:rsid w:val="00C34257"/>
    <w:rsid w:val="00C34D64"/>
    <w:rsid w:val="00C35021"/>
    <w:rsid w:val="00C360D2"/>
    <w:rsid w:val="00C366FC"/>
    <w:rsid w:val="00C370D3"/>
    <w:rsid w:val="00C37230"/>
    <w:rsid w:val="00C372FB"/>
    <w:rsid w:val="00C3738A"/>
    <w:rsid w:val="00C375C2"/>
    <w:rsid w:val="00C4007C"/>
    <w:rsid w:val="00C402E2"/>
    <w:rsid w:val="00C41A77"/>
    <w:rsid w:val="00C41AA8"/>
    <w:rsid w:val="00C41D39"/>
    <w:rsid w:val="00C4250B"/>
    <w:rsid w:val="00C42965"/>
    <w:rsid w:val="00C43DAD"/>
    <w:rsid w:val="00C44927"/>
    <w:rsid w:val="00C453B4"/>
    <w:rsid w:val="00C4685F"/>
    <w:rsid w:val="00C46918"/>
    <w:rsid w:val="00C47900"/>
    <w:rsid w:val="00C47B84"/>
    <w:rsid w:val="00C47E0F"/>
    <w:rsid w:val="00C500F1"/>
    <w:rsid w:val="00C5109F"/>
    <w:rsid w:val="00C5141A"/>
    <w:rsid w:val="00C520D6"/>
    <w:rsid w:val="00C52774"/>
    <w:rsid w:val="00C538B8"/>
    <w:rsid w:val="00C549DB"/>
    <w:rsid w:val="00C55A83"/>
    <w:rsid w:val="00C57864"/>
    <w:rsid w:val="00C6018F"/>
    <w:rsid w:val="00C606BA"/>
    <w:rsid w:val="00C608E2"/>
    <w:rsid w:val="00C615CA"/>
    <w:rsid w:val="00C64BCB"/>
    <w:rsid w:val="00C64F44"/>
    <w:rsid w:val="00C65F0F"/>
    <w:rsid w:val="00C662C0"/>
    <w:rsid w:val="00C664AE"/>
    <w:rsid w:val="00C66573"/>
    <w:rsid w:val="00C6672A"/>
    <w:rsid w:val="00C67A59"/>
    <w:rsid w:val="00C67C3F"/>
    <w:rsid w:val="00C67F29"/>
    <w:rsid w:val="00C719DC"/>
    <w:rsid w:val="00C72903"/>
    <w:rsid w:val="00C734E4"/>
    <w:rsid w:val="00C73A89"/>
    <w:rsid w:val="00C744F8"/>
    <w:rsid w:val="00C74BAF"/>
    <w:rsid w:val="00C7540D"/>
    <w:rsid w:val="00C75F2A"/>
    <w:rsid w:val="00C76143"/>
    <w:rsid w:val="00C764B8"/>
    <w:rsid w:val="00C7694C"/>
    <w:rsid w:val="00C77DC0"/>
    <w:rsid w:val="00C80FAC"/>
    <w:rsid w:val="00C8257E"/>
    <w:rsid w:val="00C825BE"/>
    <w:rsid w:val="00C82B84"/>
    <w:rsid w:val="00C83CF9"/>
    <w:rsid w:val="00C84BC9"/>
    <w:rsid w:val="00C85A90"/>
    <w:rsid w:val="00C85B5F"/>
    <w:rsid w:val="00C85BD8"/>
    <w:rsid w:val="00C86B3F"/>
    <w:rsid w:val="00C870D6"/>
    <w:rsid w:val="00C87902"/>
    <w:rsid w:val="00C87C0D"/>
    <w:rsid w:val="00C90299"/>
    <w:rsid w:val="00C91073"/>
    <w:rsid w:val="00C910ED"/>
    <w:rsid w:val="00C914D8"/>
    <w:rsid w:val="00C91970"/>
    <w:rsid w:val="00C927E1"/>
    <w:rsid w:val="00C92DE3"/>
    <w:rsid w:val="00C9328D"/>
    <w:rsid w:val="00C9396D"/>
    <w:rsid w:val="00C93B8F"/>
    <w:rsid w:val="00C94342"/>
    <w:rsid w:val="00C94A9A"/>
    <w:rsid w:val="00C94B67"/>
    <w:rsid w:val="00C9566C"/>
    <w:rsid w:val="00C968B2"/>
    <w:rsid w:val="00C96A0E"/>
    <w:rsid w:val="00C96CC7"/>
    <w:rsid w:val="00C97366"/>
    <w:rsid w:val="00C9747A"/>
    <w:rsid w:val="00CA27AE"/>
    <w:rsid w:val="00CA3018"/>
    <w:rsid w:val="00CA3F6F"/>
    <w:rsid w:val="00CA4B17"/>
    <w:rsid w:val="00CA560B"/>
    <w:rsid w:val="00CA5B5F"/>
    <w:rsid w:val="00CA5C79"/>
    <w:rsid w:val="00CA6DDA"/>
    <w:rsid w:val="00CA7549"/>
    <w:rsid w:val="00CA7960"/>
    <w:rsid w:val="00CB03AD"/>
    <w:rsid w:val="00CB2C32"/>
    <w:rsid w:val="00CB2EA8"/>
    <w:rsid w:val="00CB564D"/>
    <w:rsid w:val="00CB57BB"/>
    <w:rsid w:val="00CB60AF"/>
    <w:rsid w:val="00CB6329"/>
    <w:rsid w:val="00CB6359"/>
    <w:rsid w:val="00CB6539"/>
    <w:rsid w:val="00CB6D76"/>
    <w:rsid w:val="00CB787F"/>
    <w:rsid w:val="00CC0245"/>
    <w:rsid w:val="00CC0408"/>
    <w:rsid w:val="00CC0E04"/>
    <w:rsid w:val="00CC10F7"/>
    <w:rsid w:val="00CC2136"/>
    <w:rsid w:val="00CC3038"/>
    <w:rsid w:val="00CC55FB"/>
    <w:rsid w:val="00CC59C6"/>
    <w:rsid w:val="00CC6082"/>
    <w:rsid w:val="00CC6D8F"/>
    <w:rsid w:val="00CC6E70"/>
    <w:rsid w:val="00CC770F"/>
    <w:rsid w:val="00CC77C2"/>
    <w:rsid w:val="00CC7B89"/>
    <w:rsid w:val="00CC7DFB"/>
    <w:rsid w:val="00CD09B5"/>
    <w:rsid w:val="00CD0BFA"/>
    <w:rsid w:val="00CD1CCB"/>
    <w:rsid w:val="00CD23A1"/>
    <w:rsid w:val="00CD2A74"/>
    <w:rsid w:val="00CD2DA9"/>
    <w:rsid w:val="00CD2F4C"/>
    <w:rsid w:val="00CD3897"/>
    <w:rsid w:val="00CD427F"/>
    <w:rsid w:val="00CD43E7"/>
    <w:rsid w:val="00CD4698"/>
    <w:rsid w:val="00CD48EF"/>
    <w:rsid w:val="00CD5073"/>
    <w:rsid w:val="00CD5558"/>
    <w:rsid w:val="00CD56F2"/>
    <w:rsid w:val="00CD5F26"/>
    <w:rsid w:val="00CD6319"/>
    <w:rsid w:val="00CD6D88"/>
    <w:rsid w:val="00CD71DB"/>
    <w:rsid w:val="00CE04AB"/>
    <w:rsid w:val="00CE0C17"/>
    <w:rsid w:val="00CE1FF4"/>
    <w:rsid w:val="00CE4269"/>
    <w:rsid w:val="00CE53FC"/>
    <w:rsid w:val="00CE5648"/>
    <w:rsid w:val="00CE568B"/>
    <w:rsid w:val="00CE5C5E"/>
    <w:rsid w:val="00CE76CE"/>
    <w:rsid w:val="00CE7D66"/>
    <w:rsid w:val="00CE7D72"/>
    <w:rsid w:val="00CF03B6"/>
    <w:rsid w:val="00CF0AA2"/>
    <w:rsid w:val="00CF1375"/>
    <w:rsid w:val="00CF24AC"/>
    <w:rsid w:val="00CF2653"/>
    <w:rsid w:val="00CF3A57"/>
    <w:rsid w:val="00CF4185"/>
    <w:rsid w:val="00CF4280"/>
    <w:rsid w:val="00CF5635"/>
    <w:rsid w:val="00CF588B"/>
    <w:rsid w:val="00CF5C51"/>
    <w:rsid w:val="00CF5DFF"/>
    <w:rsid w:val="00CF6943"/>
    <w:rsid w:val="00CF71E6"/>
    <w:rsid w:val="00CF7B2B"/>
    <w:rsid w:val="00CF7D03"/>
    <w:rsid w:val="00D01388"/>
    <w:rsid w:val="00D027C9"/>
    <w:rsid w:val="00D02D19"/>
    <w:rsid w:val="00D035BA"/>
    <w:rsid w:val="00D04597"/>
    <w:rsid w:val="00D060E5"/>
    <w:rsid w:val="00D06843"/>
    <w:rsid w:val="00D068B8"/>
    <w:rsid w:val="00D06A5F"/>
    <w:rsid w:val="00D07464"/>
    <w:rsid w:val="00D07D2C"/>
    <w:rsid w:val="00D104D4"/>
    <w:rsid w:val="00D11C3E"/>
    <w:rsid w:val="00D11F86"/>
    <w:rsid w:val="00D127E4"/>
    <w:rsid w:val="00D12976"/>
    <w:rsid w:val="00D1369D"/>
    <w:rsid w:val="00D13ECA"/>
    <w:rsid w:val="00D1495A"/>
    <w:rsid w:val="00D1539D"/>
    <w:rsid w:val="00D157A7"/>
    <w:rsid w:val="00D15D89"/>
    <w:rsid w:val="00D163C8"/>
    <w:rsid w:val="00D16FDE"/>
    <w:rsid w:val="00D174BC"/>
    <w:rsid w:val="00D1774F"/>
    <w:rsid w:val="00D2028D"/>
    <w:rsid w:val="00D21257"/>
    <w:rsid w:val="00D21F02"/>
    <w:rsid w:val="00D21F04"/>
    <w:rsid w:val="00D2206A"/>
    <w:rsid w:val="00D2319B"/>
    <w:rsid w:val="00D2384F"/>
    <w:rsid w:val="00D24902"/>
    <w:rsid w:val="00D24DC9"/>
    <w:rsid w:val="00D258C7"/>
    <w:rsid w:val="00D274AB"/>
    <w:rsid w:val="00D27ADC"/>
    <w:rsid w:val="00D27C90"/>
    <w:rsid w:val="00D311E6"/>
    <w:rsid w:val="00D31668"/>
    <w:rsid w:val="00D3168F"/>
    <w:rsid w:val="00D31A28"/>
    <w:rsid w:val="00D338E8"/>
    <w:rsid w:val="00D36633"/>
    <w:rsid w:val="00D36A67"/>
    <w:rsid w:val="00D40B86"/>
    <w:rsid w:val="00D40C5C"/>
    <w:rsid w:val="00D4126F"/>
    <w:rsid w:val="00D435AD"/>
    <w:rsid w:val="00D442CA"/>
    <w:rsid w:val="00D46D14"/>
    <w:rsid w:val="00D46F7B"/>
    <w:rsid w:val="00D47205"/>
    <w:rsid w:val="00D47FE0"/>
    <w:rsid w:val="00D5037D"/>
    <w:rsid w:val="00D503C2"/>
    <w:rsid w:val="00D509C7"/>
    <w:rsid w:val="00D5105E"/>
    <w:rsid w:val="00D524FF"/>
    <w:rsid w:val="00D5277C"/>
    <w:rsid w:val="00D537FB"/>
    <w:rsid w:val="00D54A29"/>
    <w:rsid w:val="00D5505F"/>
    <w:rsid w:val="00D5595F"/>
    <w:rsid w:val="00D56227"/>
    <w:rsid w:val="00D56397"/>
    <w:rsid w:val="00D571BB"/>
    <w:rsid w:val="00D574E2"/>
    <w:rsid w:val="00D61660"/>
    <w:rsid w:val="00D61BD4"/>
    <w:rsid w:val="00D6319D"/>
    <w:rsid w:val="00D63F37"/>
    <w:rsid w:val="00D6400A"/>
    <w:rsid w:val="00D64B73"/>
    <w:rsid w:val="00D64BAB"/>
    <w:rsid w:val="00D64CC7"/>
    <w:rsid w:val="00D667C9"/>
    <w:rsid w:val="00D66E04"/>
    <w:rsid w:val="00D670E8"/>
    <w:rsid w:val="00D67582"/>
    <w:rsid w:val="00D67911"/>
    <w:rsid w:val="00D71484"/>
    <w:rsid w:val="00D7185B"/>
    <w:rsid w:val="00D71F94"/>
    <w:rsid w:val="00D72A53"/>
    <w:rsid w:val="00D72CF1"/>
    <w:rsid w:val="00D7310F"/>
    <w:rsid w:val="00D73920"/>
    <w:rsid w:val="00D745F2"/>
    <w:rsid w:val="00D74F1F"/>
    <w:rsid w:val="00D754DB"/>
    <w:rsid w:val="00D760A5"/>
    <w:rsid w:val="00D76B60"/>
    <w:rsid w:val="00D76F94"/>
    <w:rsid w:val="00D807EA"/>
    <w:rsid w:val="00D812D6"/>
    <w:rsid w:val="00D82707"/>
    <w:rsid w:val="00D82855"/>
    <w:rsid w:val="00D8350B"/>
    <w:rsid w:val="00D843A8"/>
    <w:rsid w:val="00D8589C"/>
    <w:rsid w:val="00D8725E"/>
    <w:rsid w:val="00D87745"/>
    <w:rsid w:val="00D9086D"/>
    <w:rsid w:val="00D90A9C"/>
    <w:rsid w:val="00D90BE6"/>
    <w:rsid w:val="00D91A59"/>
    <w:rsid w:val="00D93079"/>
    <w:rsid w:val="00D94996"/>
    <w:rsid w:val="00D94D1C"/>
    <w:rsid w:val="00D94E2D"/>
    <w:rsid w:val="00D9526A"/>
    <w:rsid w:val="00D95286"/>
    <w:rsid w:val="00D96108"/>
    <w:rsid w:val="00D97250"/>
    <w:rsid w:val="00DA05C3"/>
    <w:rsid w:val="00DA0864"/>
    <w:rsid w:val="00DA1B75"/>
    <w:rsid w:val="00DA2768"/>
    <w:rsid w:val="00DA339E"/>
    <w:rsid w:val="00DA35E9"/>
    <w:rsid w:val="00DA7089"/>
    <w:rsid w:val="00DB2B75"/>
    <w:rsid w:val="00DB3A89"/>
    <w:rsid w:val="00DB3B22"/>
    <w:rsid w:val="00DB49F9"/>
    <w:rsid w:val="00DB5278"/>
    <w:rsid w:val="00DB570D"/>
    <w:rsid w:val="00DB580D"/>
    <w:rsid w:val="00DB605D"/>
    <w:rsid w:val="00DB63C8"/>
    <w:rsid w:val="00DB6A3F"/>
    <w:rsid w:val="00DC085C"/>
    <w:rsid w:val="00DC17AE"/>
    <w:rsid w:val="00DC221A"/>
    <w:rsid w:val="00DC260D"/>
    <w:rsid w:val="00DC2A66"/>
    <w:rsid w:val="00DC2D36"/>
    <w:rsid w:val="00DC3414"/>
    <w:rsid w:val="00DC3A57"/>
    <w:rsid w:val="00DC3FAF"/>
    <w:rsid w:val="00DC457D"/>
    <w:rsid w:val="00DC7213"/>
    <w:rsid w:val="00DC7387"/>
    <w:rsid w:val="00DC7EB9"/>
    <w:rsid w:val="00DD1D9F"/>
    <w:rsid w:val="00DD263D"/>
    <w:rsid w:val="00DD3786"/>
    <w:rsid w:val="00DD3887"/>
    <w:rsid w:val="00DD3D67"/>
    <w:rsid w:val="00DD4293"/>
    <w:rsid w:val="00DD731B"/>
    <w:rsid w:val="00DD73A5"/>
    <w:rsid w:val="00DD77D5"/>
    <w:rsid w:val="00DD78E3"/>
    <w:rsid w:val="00DE0E14"/>
    <w:rsid w:val="00DE14C8"/>
    <w:rsid w:val="00DE24A5"/>
    <w:rsid w:val="00DE27BF"/>
    <w:rsid w:val="00DE35DB"/>
    <w:rsid w:val="00DE3857"/>
    <w:rsid w:val="00DE3FD6"/>
    <w:rsid w:val="00DE468B"/>
    <w:rsid w:val="00DE4B96"/>
    <w:rsid w:val="00DE52E2"/>
    <w:rsid w:val="00DE58E3"/>
    <w:rsid w:val="00DE5E07"/>
    <w:rsid w:val="00DE5E11"/>
    <w:rsid w:val="00DE618C"/>
    <w:rsid w:val="00DE7280"/>
    <w:rsid w:val="00DF0152"/>
    <w:rsid w:val="00DF0750"/>
    <w:rsid w:val="00DF09F3"/>
    <w:rsid w:val="00DF0D99"/>
    <w:rsid w:val="00DF1090"/>
    <w:rsid w:val="00DF1678"/>
    <w:rsid w:val="00DF1980"/>
    <w:rsid w:val="00DF1F1D"/>
    <w:rsid w:val="00DF250A"/>
    <w:rsid w:val="00DF27AB"/>
    <w:rsid w:val="00DF27BD"/>
    <w:rsid w:val="00DF2BA6"/>
    <w:rsid w:val="00DF2CC7"/>
    <w:rsid w:val="00DF2E24"/>
    <w:rsid w:val="00DF2F2F"/>
    <w:rsid w:val="00DF3673"/>
    <w:rsid w:val="00DF4200"/>
    <w:rsid w:val="00DF54F5"/>
    <w:rsid w:val="00DF61B0"/>
    <w:rsid w:val="00DF72F8"/>
    <w:rsid w:val="00DF760C"/>
    <w:rsid w:val="00E0049A"/>
    <w:rsid w:val="00E008AF"/>
    <w:rsid w:val="00E014FA"/>
    <w:rsid w:val="00E019E2"/>
    <w:rsid w:val="00E022F7"/>
    <w:rsid w:val="00E0298C"/>
    <w:rsid w:val="00E02F7D"/>
    <w:rsid w:val="00E0337A"/>
    <w:rsid w:val="00E060AD"/>
    <w:rsid w:val="00E0736D"/>
    <w:rsid w:val="00E10233"/>
    <w:rsid w:val="00E105BA"/>
    <w:rsid w:val="00E10764"/>
    <w:rsid w:val="00E1121F"/>
    <w:rsid w:val="00E11D8F"/>
    <w:rsid w:val="00E12D5A"/>
    <w:rsid w:val="00E13787"/>
    <w:rsid w:val="00E13FE9"/>
    <w:rsid w:val="00E16346"/>
    <w:rsid w:val="00E16565"/>
    <w:rsid w:val="00E16A75"/>
    <w:rsid w:val="00E1707A"/>
    <w:rsid w:val="00E17803"/>
    <w:rsid w:val="00E17A9F"/>
    <w:rsid w:val="00E22B31"/>
    <w:rsid w:val="00E235EF"/>
    <w:rsid w:val="00E23D51"/>
    <w:rsid w:val="00E243F1"/>
    <w:rsid w:val="00E245FF"/>
    <w:rsid w:val="00E24CD9"/>
    <w:rsid w:val="00E265CB"/>
    <w:rsid w:val="00E26EA9"/>
    <w:rsid w:val="00E271E8"/>
    <w:rsid w:val="00E30283"/>
    <w:rsid w:val="00E30D57"/>
    <w:rsid w:val="00E3156C"/>
    <w:rsid w:val="00E31EB2"/>
    <w:rsid w:val="00E321CC"/>
    <w:rsid w:val="00E3224D"/>
    <w:rsid w:val="00E329B5"/>
    <w:rsid w:val="00E32EA3"/>
    <w:rsid w:val="00E3326C"/>
    <w:rsid w:val="00E34893"/>
    <w:rsid w:val="00E35747"/>
    <w:rsid w:val="00E3643B"/>
    <w:rsid w:val="00E377E4"/>
    <w:rsid w:val="00E37E28"/>
    <w:rsid w:val="00E415D4"/>
    <w:rsid w:val="00E41903"/>
    <w:rsid w:val="00E41AF1"/>
    <w:rsid w:val="00E42517"/>
    <w:rsid w:val="00E42747"/>
    <w:rsid w:val="00E427BD"/>
    <w:rsid w:val="00E42AFF"/>
    <w:rsid w:val="00E42B46"/>
    <w:rsid w:val="00E43273"/>
    <w:rsid w:val="00E4353B"/>
    <w:rsid w:val="00E440EE"/>
    <w:rsid w:val="00E44522"/>
    <w:rsid w:val="00E446F6"/>
    <w:rsid w:val="00E44C4B"/>
    <w:rsid w:val="00E45FE3"/>
    <w:rsid w:val="00E46115"/>
    <w:rsid w:val="00E46D29"/>
    <w:rsid w:val="00E47221"/>
    <w:rsid w:val="00E47E5D"/>
    <w:rsid w:val="00E50F53"/>
    <w:rsid w:val="00E51702"/>
    <w:rsid w:val="00E522E4"/>
    <w:rsid w:val="00E527EA"/>
    <w:rsid w:val="00E529C7"/>
    <w:rsid w:val="00E52CA6"/>
    <w:rsid w:val="00E535C6"/>
    <w:rsid w:val="00E53694"/>
    <w:rsid w:val="00E536B2"/>
    <w:rsid w:val="00E53FC4"/>
    <w:rsid w:val="00E55A6A"/>
    <w:rsid w:val="00E563E0"/>
    <w:rsid w:val="00E56CF1"/>
    <w:rsid w:val="00E576BB"/>
    <w:rsid w:val="00E5783E"/>
    <w:rsid w:val="00E57C60"/>
    <w:rsid w:val="00E57E5D"/>
    <w:rsid w:val="00E60DDF"/>
    <w:rsid w:val="00E617AF"/>
    <w:rsid w:val="00E619F8"/>
    <w:rsid w:val="00E61C81"/>
    <w:rsid w:val="00E62B24"/>
    <w:rsid w:val="00E63149"/>
    <w:rsid w:val="00E63B6A"/>
    <w:rsid w:val="00E63E95"/>
    <w:rsid w:val="00E663A3"/>
    <w:rsid w:val="00E668EB"/>
    <w:rsid w:val="00E67399"/>
    <w:rsid w:val="00E706C3"/>
    <w:rsid w:val="00E71814"/>
    <w:rsid w:val="00E71A3A"/>
    <w:rsid w:val="00E727AE"/>
    <w:rsid w:val="00E72AC0"/>
    <w:rsid w:val="00E7341C"/>
    <w:rsid w:val="00E73A1D"/>
    <w:rsid w:val="00E74795"/>
    <w:rsid w:val="00E75734"/>
    <w:rsid w:val="00E758EC"/>
    <w:rsid w:val="00E75C56"/>
    <w:rsid w:val="00E76167"/>
    <w:rsid w:val="00E76AB0"/>
    <w:rsid w:val="00E7744B"/>
    <w:rsid w:val="00E774DA"/>
    <w:rsid w:val="00E77B25"/>
    <w:rsid w:val="00E80550"/>
    <w:rsid w:val="00E818F2"/>
    <w:rsid w:val="00E8233C"/>
    <w:rsid w:val="00E823D1"/>
    <w:rsid w:val="00E827D3"/>
    <w:rsid w:val="00E82DA7"/>
    <w:rsid w:val="00E83679"/>
    <w:rsid w:val="00E8377F"/>
    <w:rsid w:val="00E85043"/>
    <w:rsid w:val="00E85122"/>
    <w:rsid w:val="00E854B0"/>
    <w:rsid w:val="00E85911"/>
    <w:rsid w:val="00E8647A"/>
    <w:rsid w:val="00E86B1C"/>
    <w:rsid w:val="00E906FA"/>
    <w:rsid w:val="00E90717"/>
    <w:rsid w:val="00E955C3"/>
    <w:rsid w:val="00E959E0"/>
    <w:rsid w:val="00E965C4"/>
    <w:rsid w:val="00E966BC"/>
    <w:rsid w:val="00E96928"/>
    <w:rsid w:val="00E97381"/>
    <w:rsid w:val="00E97FE3"/>
    <w:rsid w:val="00EA0483"/>
    <w:rsid w:val="00EA05B8"/>
    <w:rsid w:val="00EA0FE2"/>
    <w:rsid w:val="00EA4059"/>
    <w:rsid w:val="00EA568D"/>
    <w:rsid w:val="00EB02C5"/>
    <w:rsid w:val="00EB14D5"/>
    <w:rsid w:val="00EB15C5"/>
    <w:rsid w:val="00EB1EEE"/>
    <w:rsid w:val="00EB1FBB"/>
    <w:rsid w:val="00EB20A3"/>
    <w:rsid w:val="00EB2897"/>
    <w:rsid w:val="00EB29EE"/>
    <w:rsid w:val="00EB2C7A"/>
    <w:rsid w:val="00EB3024"/>
    <w:rsid w:val="00EB3255"/>
    <w:rsid w:val="00EB39DF"/>
    <w:rsid w:val="00EB3E30"/>
    <w:rsid w:val="00EB402A"/>
    <w:rsid w:val="00EB48EF"/>
    <w:rsid w:val="00EB5C06"/>
    <w:rsid w:val="00EB60FC"/>
    <w:rsid w:val="00EB6619"/>
    <w:rsid w:val="00EB69A7"/>
    <w:rsid w:val="00EB7440"/>
    <w:rsid w:val="00EB7890"/>
    <w:rsid w:val="00EC046B"/>
    <w:rsid w:val="00EC1997"/>
    <w:rsid w:val="00EC3D68"/>
    <w:rsid w:val="00EC4079"/>
    <w:rsid w:val="00EC43F8"/>
    <w:rsid w:val="00EC52E7"/>
    <w:rsid w:val="00EC59E2"/>
    <w:rsid w:val="00EC69DE"/>
    <w:rsid w:val="00EC6F3F"/>
    <w:rsid w:val="00ED09BF"/>
    <w:rsid w:val="00ED15BB"/>
    <w:rsid w:val="00ED1975"/>
    <w:rsid w:val="00ED1AE4"/>
    <w:rsid w:val="00ED1E26"/>
    <w:rsid w:val="00ED2485"/>
    <w:rsid w:val="00ED3AED"/>
    <w:rsid w:val="00ED3D3E"/>
    <w:rsid w:val="00ED4EBE"/>
    <w:rsid w:val="00ED6B2C"/>
    <w:rsid w:val="00ED6C0E"/>
    <w:rsid w:val="00ED6E67"/>
    <w:rsid w:val="00ED6E96"/>
    <w:rsid w:val="00EE03A0"/>
    <w:rsid w:val="00EE135C"/>
    <w:rsid w:val="00EE1EE9"/>
    <w:rsid w:val="00EE23E9"/>
    <w:rsid w:val="00EE3934"/>
    <w:rsid w:val="00EE3B65"/>
    <w:rsid w:val="00EE3CF1"/>
    <w:rsid w:val="00EE4E23"/>
    <w:rsid w:val="00EE5C76"/>
    <w:rsid w:val="00EF07E8"/>
    <w:rsid w:val="00EF09A9"/>
    <w:rsid w:val="00EF211C"/>
    <w:rsid w:val="00EF2BD0"/>
    <w:rsid w:val="00EF479A"/>
    <w:rsid w:val="00EF5748"/>
    <w:rsid w:val="00EF6357"/>
    <w:rsid w:val="00EF6E26"/>
    <w:rsid w:val="00EF7C00"/>
    <w:rsid w:val="00F0041E"/>
    <w:rsid w:val="00F01C2D"/>
    <w:rsid w:val="00F0247F"/>
    <w:rsid w:val="00F038AE"/>
    <w:rsid w:val="00F04CF5"/>
    <w:rsid w:val="00F06223"/>
    <w:rsid w:val="00F06F27"/>
    <w:rsid w:val="00F06FE4"/>
    <w:rsid w:val="00F0785E"/>
    <w:rsid w:val="00F10299"/>
    <w:rsid w:val="00F11277"/>
    <w:rsid w:val="00F11696"/>
    <w:rsid w:val="00F11B56"/>
    <w:rsid w:val="00F131A5"/>
    <w:rsid w:val="00F13BDD"/>
    <w:rsid w:val="00F13DE0"/>
    <w:rsid w:val="00F1433A"/>
    <w:rsid w:val="00F150F3"/>
    <w:rsid w:val="00F16886"/>
    <w:rsid w:val="00F17632"/>
    <w:rsid w:val="00F21C60"/>
    <w:rsid w:val="00F2269E"/>
    <w:rsid w:val="00F22C94"/>
    <w:rsid w:val="00F233ED"/>
    <w:rsid w:val="00F237AD"/>
    <w:rsid w:val="00F23B39"/>
    <w:rsid w:val="00F259D5"/>
    <w:rsid w:val="00F25CAB"/>
    <w:rsid w:val="00F26E0E"/>
    <w:rsid w:val="00F2707B"/>
    <w:rsid w:val="00F27CCD"/>
    <w:rsid w:val="00F30223"/>
    <w:rsid w:val="00F30F86"/>
    <w:rsid w:val="00F34FA5"/>
    <w:rsid w:val="00F3553F"/>
    <w:rsid w:val="00F36129"/>
    <w:rsid w:val="00F3683A"/>
    <w:rsid w:val="00F376E7"/>
    <w:rsid w:val="00F4064E"/>
    <w:rsid w:val="00F40B5E"/>
    <w:rsid w:val="00F415DC"/>
    <w:rsid w:val="00F4178F"/>
    <w:rsid w:val="00F41E37"/>
    <w:rsid w:val="00F424B3"/>
    <w:rsid w:val="00F42D61"/>
    <w:rsid w:val="00F437C5"/>
    <w:rsid w:val="00F442E3"/>
    <w:rsid w:val="00F44C3F"/>
    <w:rsid w:val="00F44FD3"/>
    <w:rsid w:val="00F461F3"/>
    <w:rsid w:val="00F478E5"/>
    <w:rsid w:val="00F51616"/>
    <w:rsid w:val="00F51F55"/>
    <w:rsid w:val="00F52299"/>
    <w:rsid w:val="00F53171"/>
    <w:rsid w:val="00F53F94"/>
    <w:rsid w:val="00F57376"/>
    <w:rsid w:val="00F57CCD"/>
    <w:rsid w:val="00F61FAE"/>
    <w:rsid w:val="00F6275F"/>
    <w:rsid w:val="00F63074"/>
    <w:rsid w:val="00F6385E"/>
    <w:rsid w:val="00F63FCA"/>
    <w:rsid w:val="00F64C78"/>
    <w:rsid w:val="00F65747"/>
    <w:rsid w:val="00F669C6"/>
    <w:rsid w:val="00F67419"/>
    <w:rsid w:val="00F701DC"/>
    <w:rsid w:val="00F70957"/>
    <w:rsid w:val="00F71CE5"/>
    <w:rsid w:val="00F73630"/>
    <w:rsid w:val="00F736A0"/>
    <w:rsid w:val="00F750B2"/>
    <w:rsid w:val="00F75588"/>
    <w:rsid w:val="00F758D1"/>
    <w:rsid w:val="00F76150"/>
    <w:rsid w:val="00F766A5"/>
    <w:rsid w:val="00F7793A"/>
    <w:rsid w:val="00F77BCE"/>
    <w:rsid w:val="00F800D4"/>
    <w:rsid w:val="00F81759"/>
    <w:rsid w:val="00F8513F"/>
    <w:rsid w:val="00F85301"/>
    <w:rsid w:val="00F855ED"/>
    <w:rsid w:val="00F85A7D"/>
    <w:rsid w:val="00F85B8A"/>
    <w:rsid w:val="00F869FA"/>
    <w:rsid w:val="00F8707F"/>
    <w:rsid w:val="00F872A9"/>
    <w:rsid w:val="00F87A5B"/>
    <w:rsid w:val="00F87A83"/>
    <w:rsid w:val="00F910D1"/>
    <w:rsid w:val="00F920CD"/>
    <w:rsid w:val="00F92A7B"/>
    <w:rsid w:val="00F93945"/>
    <w:rsid w:val="00F93D84"/>
    <w:rsid w:val="00F95EF4"/>
    <w:rsid w:val="00F964F5"/>
    <w:rsid w:val="00F965AB"/>
    <w:rsid w:val="00FA005A"/>
    <w:rsid w:val="00FA0662"/>
    <w:rsid w:val="00FA0A33"/>
    <w:rsid w:val="00FA11DD"/>
    <w:rsid w:val="00FA15F9"/>
    <w:rsid w:val="00FA16A5"/>
    <w:rsid w:val="00FA242F"/>
    <w:rsid w:val="00FA28B9"/>
    <w:rsid w:val="00FA3470"/>
    <w:rsid w:val="00FA533D"/>
    <w:rsid w:val="00FA67EE"/>
    <w:rsid w:val="00FA793B"/>
    <w:rsid w:val="00FB1450"/>
    <w:rsid w:val="00FB1B00"/>
    <w:rsid w:val="00FB1EB5"/>
    <w:rsid w:val="00FB28E2"/>
    <w:rsid w:val="00FB2CC8"/>
    <w:rsid w:val="00FB387B"/>
    <w:rsid w:val="00FB3F52"/>
    <w:rsid w:val="00FB451C"/>
    <w:rsid w:val="00FB587B"/>
    <w:rsid w:val="00FB6A85"/>
    <w:rsid w:val="00FB6E04"/>
    <w:rsid w:val="00FB6E40"/>
    <w:rsid w:val="00FB7645"/>
    <w:rsid w:val="00FC0E85"/>
    <w:rsid w:val="00FC1630"/>
    <w:rsid w:val="00FC1C63"/>
    <w:rsid w:val="00FC1C96"/>
    <w:rsid w:val="00FC2429"/>
    <w:rsid w:val="00FC34B4"/>
    <w:rsid w:val="00FC4D73"/>
    <w:rsid w:val="00FC4FFA"/>
    <w:rsid w:val="00FC74C3"/>
    <w:rsid w:val="00FC78B7"/>
    <w:rsid w:val="00FD013A"/>
    <w:rsid w:val="00FD0C12"/>
    <w:rsid w:val="00FD194E"/>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49A2"/>
    <w:rsid w:val="00FE53A6"/>
    <w:rsid w:val="00FE5DE0"/>
    <w:rsid w:val="00FE69F3"/>
    <w:rsid w:val="00FE6C1C"/>
    <w:rsid w:val="00FE7746"/>
    <w:rsid w:val="00FF1475"/>
    <w:rsid w:val="00FF14E4"/>
    <w:rsid w:val="00FF28F8"/>
    <w:rsid w:val="00FF4353"/>
    <w:rsid w:val="00FF4AE5"/>
    <w:rsid w:val="00FF4C1F"/>
    <w:rsid w:val="00FF638C"/>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uiPriority w:val="39"/>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C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3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7C6C"/>
    <w:rPr>
      <w:rFonts w:ascii="Times New Roman" w:hAnsi="Times New Roman"/>
    </w:rPr>
  </w:style>
  <w:style w:type="paragraph" w:styleId="FootnoteText">
    <w:name w:val="footnote text"/>
    <w:basedOn w:val="Normal"/>
    <w:link w:val="FootnoteTextChar"/>
    <w:semiHidden/>
    <w:unhideWhenUsed/>
    <w:rsid w:val="007814FB"/>
  </w:style>
  <w:style w:type="character" w:customStyle="1" w:styleId="FootnoteTextChar">
    <w:name w:val="Footnote Text Char"/>
    <w:basedOn w:val="DefaultParagraphFont"/>
    <w:link w:val="FootnoteText"/>
    <w:semiHidden/>
    <w:rsid w:val="007814FB"/>
    <w:rPr>
      <w:rFonts w:ascii="Times New Roman" w:hAnsi="Times New Roman"/>
    </w:rPr>
  </w:style>
  <w:style w:type="character" w:styleId="FootnoteReference">
    <w:name w:val="footnote reference"/>
    <w:basedOn w:val="DefaultParagraphFont"/>
    <w:semiHidden/>
    <w:unhideWhenUsed/>
    <w:rsid w:val="007814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199785389">
      <w:bodyDiv w:val="1"/>
      <w:marLeft w:val="0"/>
      <w:marRight w:val="0"/>
      <w:marTop w:val="0"/>
      <w:marBottom w:val="0"/>
      <w:divBdr>
        <w:top w:val="none" w:sz="0" w:space="0" w:color="auto"/>
        <w:left w:val="none" w:sz="0" w:space="0" w:color="auto"/>
        <w:bottom w:val="none" w:sz="0" w:space="0" w:color="auto"/>
        <w:right w:val="none" w:sz="0" w:space="0" w:color="auto"/>
      </w:divBdr>
    </w:div>
    <w:div w:id="229122679">
      <w:bodyDiv w:val="1"/>
      <w:marLeft w:val="0"/>
      <w:marRight w:val="0"/>
      <w:marTop w:val="0"/>
      <w:marBottom w:val="0"/>
      <w:divBdr>
        <w:top w:val="none" w:sz="0" w:space="0" w:color="auto"/>
        <w:left w:val="none" w:sz="0" w:space="0" w:color="auto"/>
        <w:bottom w:val="none" w:sz="0" w:space="0" w:color="auto"/>
        <w:right w:val="none" w:sz="0" w:space="0" w:color="auto"/>
      </w:divBdr>
      <w:divsChild>
        <w:div w:id="1101880848">
          <w:marLeft w:val="0"/>
          <w:marRight w:val="0"/>
          <w:marTop w:val="0"/>
          <w:marBottom w:val="0"/>
          <w:divBdr>
            <w:top w:val="none" w:sz="0" w:space="0" w:color="auto"/>
            <w:left w:val="none" w:sz="0" w:space="0" w:color="auto"/>
            <w:bottom w:val="none" w:sz="0" w:space="0" w:color="auto"/>
            <w:right w:val="none" w:sz="0" w:space="0" w:color="auto"/>
          </w:divBdr>
        </w:div>
        <w:div w:id="1050806186">
          <w:marLeft w:val="0"/>
          <w:marRight w:val="0"/>
          <w:marTop w:val="0"/>
          <w:marBottom w:val="0"/>
          <w:divBdr>
            <w:top w:val="none" w:sz="0" w:space="0" w:color="auto"/>
            <w:left w:val="none" w:sz="0" w:space="0" w:color="auto"/>
            <w:bottom w:val="none" w:sz="0" w:space="0" w:color="auto"/>
            <w:right w:val="none" w:sz="0" w:space="0" w:color="auto"/>
          </w:divBdr>
        </w:div>
        <w:div w:id="293871822">
          <w:marLeft w:val="0"/>
          <w:marRight w:val="0"/>
          <w:marTop w:val="0"/>
          <w:marBottom w:val="0"/>
          <w:divBdr>
            <w:top w:val="none" w:sz="0" w:space="0" w:color="auto"/>
            <w:left w:val="none" w:sz="0" w:space="0" w:color="auto"/>
            <w:bottom w:val="none" w:sz="0" w:space="0" w:color="auto"/>
            <w:right w:val="none" w:sz="0" w:space="0" w:color="auto"/>
          </w:divBdr>
        </w:div>
        <w:div w:id="530073058">
          <w:marLeft w:val="0"/>
          <w:marRight w:val="0"/>
          <w:marTop w:val="0"/>
          <w:marBottom w:val="0"/>
          <w:divBdr>
            <w:top w:val="none" w:sz="0" w:space="0" w:color="auto"/>
            <w:left w:val="none" w:sz="0" w:space="0" w:color="auto"/>
            <w:bottom w:val="none" w:sz="0" w:space="0" w:color="auto"/>
            <w:right w:val="none" w:sz="0" w:space="0" w:color="auto"/>
          </w:divBdr>
        </w:div>
      </w:divsChild>
    </w:div>
    <w:div w:id="255600873">
      <w:bodyDiv w:val="1"/>
      <w:marLeft w:val="0"/>
      <w:marRight w:val="0"/>
      <w:marTop w:val="0"/>
      <w:marBottom w:val="0"/>
      <w:divBdr>
        <w:top w:val="none" w:sz="0" w:space="0" w:color="auto"/>
        <w:left w:val="none" w:sz="0" w:space="0" w:color="auto"/>
        <w:bottom w:val="none" w:sz="0" w:space="0" w:color="auto"/>
        <w:right w:val="none" w:sz="0" w:space="0" w:color="auto"/>
      </w:divBdr>
    </w:div>
    <w:div w:id="277027623">
      <w:bodyDiv w:val="1"/>
      <w:marLeft w:val="0"/>
      <w:marRight w:val="0"/>
      <w:marTop w:val="0"/>
      <w:marBottom w:val="0"/>
      <w:divBdr>
        <w:top w:val="none" w:sz="0" w:space="0" w:color="auto"/>
        <w:left w:val="none" w:sz="0" w:space="0" w:color="auto"/>
        <w:bottom w:val="none" w:sz="0" w:space="0" w:color="auto"/>
        <w:right w:val="none" w:sz="0" w:space="0" w:color="auto"/>
      </w:divBdr>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683702957">
      <w:bodyDiv w:val="1"/>
      <w:marLeft w:val="0"/>
      <w:marRight w:val="0"/>
      <w:marTop w:val="0"/>
      <w:marBottom w:val="0"/>
      <w:divBdr>
        <w:top w:val="none" w:sz="0" w:space="0" w:color="auto"/>
        <w:left w:val="none" w:sz="0" w:space="0" w:color="auto"/>
        <w:bottom w:val="none" w:sz="0" w:space="0" w:color="auto"/>
        <w:right w:val="none" w:sz="0" w:space="0" w:color="auto"/>
      </w:divBdr>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0730">
      <w:bodyDiv w:val="1"/>
      <w:marLeft w:val="0"/>
      <w:marRight w:val="0"/>
      <w:marTop w:val="0"/>
      <w:marBottom w:val="0"/>
      <w:divBdr>
        <w:top w:val="none" w:sz="0" w:space="0" w:color="auto"/>
        <w:left w:val="none" w:sz="0" w:space="0" w:color="auto"/>
        <w:bottom w:val="none" w:sz="0" w:space="0" w:color="auto"/>
        <w:right w:val="none" w:sz="0" w:space="0" w:color="auto"/>
      </w:divBdr>
    </w:div>
    <w:div w:id="792214932">
      <w:bodyDiv w:val="1"/>
      <w:marLeft w:val="0"/>
      <w:marRight w:val="0"/>
      <w:marTop w:val="0"/>
      <w:marBottom w:val="0"/>
      <w:divBdr>
        <w:top w:val="none" w:sz="0" w:space="0" w:color="auto"/>
        <w:left w:val="none" w:sz="0" w:space="0" w:color="auto"/>
        <w:bottom w:val="none" w:sz="0" w:space="0" w:color="auto"/>
        <w:right w:val="none" w:sz="0" w:space="0" w:color="auto"/>
      </w:divBdr>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970789466">
      <w:bodyDiv w:val="1"/>
      <w:marLeft w:val="0"/>
      <w:marRight w:val="0"/>
      <w:marTop w:val="0"/>
      <w:marBottom w:val="0"/>
      <w:divBdr>
        <w:top w:val="none" w:sz="0" w:space="0" w:color="auto"/>
        <w:left w:val="none" w:sz="0" w:space="0" w:color="auto"/>
        <w:bottom w:val="none" w:sz="0" w:space="0" w:color="auto"/>
        <w:right w:val="none" w:sz="0" w:space="0" w:color="auto"/>
      </w:divBdr>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975">
      <w:bodyDiv w:val="1"/>
      <w:marLeft w:val="0"/>
      <w:marRight w:val="0"/>
      <w:marTop w:val="0"/>
      <w:marBottom w:val="0"/>
      <w:divBdr>
        <w:top w:val="none" w:sz="0" w:space="0" w:color="auto"/>
        <w:left w:val="none" w:sz="0" w:space="0" w:color="auto"/>
        <w:bottom w:val="none" w:sz="0" w:space="0" w:color="auto"/>
        <w:right w:val="none" w:sz="0" w:space="0" w:color="auto"/>
      </w:divBdr>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1258433">
      <w:bodyDiv w:val="1"/>
      <w:marLeft w:val="0"/>
      <w:marRight w:val="0"/>
      <w:marTop w:val="0"/>
      <w:marBottom w:val="0"/>
      <w:divBdr>
        <w:top w:val="none" w:sz="0" w:space="0" w:color="auto"/>
        <w:left w:val="none" w:sz="0" w:space="0" w:color="auto"/>
        <w:bottom w:val="none" w:sz="0" w:space="0" w:color="auto"/>
        <w:right w:val="none" w:sz="0" w:space="0" w:color="auto"/>
      </w:divBdr>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69127">
      <w:bodyDiv w:val="1"/>
      <w:marLeft w:val="0"/>
      <w:marRight w:val="0"/>
      <w:marTop w:val="0"/>
      <w:marBottom w:val="0"/>
      <w:divBdr>
        <w:top w:val="none" w:sz="0" w:space="0" w:color="auto"/>
        <w:left w:val="none" w:sz="0" w:space="0" w:color="auto"/>
        <w:bottom w:val="none" w:sz="0" w:space="0" w:color="auto"/>
        <w:right w:val="none" w:sz="0" w:space="0" w:color="auto"/>
      </w:divBdr>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77479655">
      <w:bodyDiv w:val="1"/>
      <w:marLeft w:val="0"/>
      <w:marRight w:val="0"/>
      <w:marTop w:val="0"/>
      <w:marBottom w:val="0"/>
      <w:divBdr>
        <w:top w:val="none" w:sz="0" w:space="0" w:color="auto"/>
        <w:left w:val="none" w:sz="0" w:space="0" w:color="auto"/>
        <w:bottom w:val="none" w:sz="0" w:space="0" w:color="auto"/>
        <w:right w:val="none" w:sz="0" w:space="0" w:color="auto"/>
      </w:divBdr>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sec.gov/Archives/edgar/data/832489/000143774925009141/ex_79377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c.gov/Archives/edgar/data/832489/000143774925009141/ex_79377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c.gov/Archives/edgar/data/832489/000143774925009141/ex_793774.htm"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sec.gov/Archives/edgar/data/832489/000143774925009141/ex_793773.htm" TargetMode="Externa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5A9-4B13-4409-A32B-B28108F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7647</Words>
  <Characters>46161</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53701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 Reynolds</cp:lastModifiedBy>
  <cp:revision>5</cp:revision>
  <cp:lastPrinted>2025-05-01T19:39:00Z</cp:lastPrinted>
  <dcterms:created xsi:type="dcterms:W3CDTF">2025-04-25T20:02:00Z</dcterms:created>
  <dcterms:modified xsi:type="dcterms:W3CDTF">2025-05-01T19:39:00Z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