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69399F"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0916835E" w:rsidR="008D7E3A" w:rsidRDefault="008D7E3A" w:rsidP="008D7E3A">
      <w:pPr>
        <w:ind w:left="144" w:right="144"/>
        <w:jc w:val="center"/>
        <w:rPr>
          <w:sz w:val="20"/>
          <w:szCs w:val="20"/>
        </w:rPr>
      </w:pPr>
      <w:r>
        <w:rPr>
          <w:b/>
          <w:bCs/>
          <w:sz w:val="20"/>
          <w:szCs w:val="20"/>
        </w:rPr>
        <w:t>Date of report (Date of earliest event reported):  </w:t>
      </w:r>
      <w:r w:rsidR="00890CB9">
        <w:rPr>
          <w:b/>
          <w:bCs/>
          <w:sz w:val="20"/>
          <w:szCs w:val="20"/>
        </w:rPr>
        <w:t>June 12</w:t>
      </w:r>
      <w:r>
        <w:rPr>
          <w:b/>
          <w:bCs/>
          <w:sz w:val="20"/>
          <w:szCs w:val="20"/>
        </w:rPr>
        <w:t>, 202</w:t>
      </w:r>
      <w:r w:rsidR="00387407">
        <w:rPr>
          <w:b/>
          <w:bCs/>
          <w:sz w:val="20"/>
          <w:szCs w:val="20"/>
        </w:rPr>
        <w:t>4</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69399F"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59ED29CC" w:rsidR="003F3DEB" w:rsidRDefault="003F3DEB" w:rsidP="00272EA7">
            <w:pPr>
              <w:rPr>
                <w:color w:val="000000"/>
                <w:sz w:val="20"/>
                <w:szCs w:val="20"/>
              </w:rPr>
            </w:pPr>
            <w:r>
              <w:rPr>
                <w:b/>
                <w:bCs/>
                <w:color w:val="000000"/>
                <w:sz w:val="20"/>
                <w:szCs w:val="20"/>
              </w:rPr>
              <w:t xml:space="preserve">Item </w:t>
            </w:r>
            <w:r w:rsidR="00862E4C">
              <w:rPr>
                <w:b/>
                <w:bCs/>
                <w:color w:val="000000"/>
                <w:sz w:val="20"/>
                <w:szCs w:val="20"/>
              </w:rPr>
              <w:t>1</w:t>
            </w:r>
            <w:r>
              <w:rPr>
                <w:b/>
                <w:bCs/>
                <w:color w:val="000000"/>
                <w:sz w:val="20"/>
                <w:szCs w:val="20"/>
              </w:rPr>
              <w:t>.0</w:t>
            </w:r>
            <w:r w:rsidR="00862E4C">
              <w:rPr>
                <w:b/>
                <w:bCs/>
                <w:color w:val="000000"/>
                <w:sz w:val="20"/>
                <w:szCs w:val="20"/>
              </w:rPr>
              <w:t>1</w:t>
            </w:r>
            <w:r>
              <w:rPr>
                <w:b/>
                <w:bCs/>
                <w:color w:val="000000"/>
                <w:sz w:val="20"/>
                <w:szCs w:val="20"/>
              </w:rPr>
              <w:t xml:space="preserve"> </w:t>
            </w:r>
          </w:p>
        </w:tc>
        <w:tc>
          <w:tcPr>
            <w:tcW w:w="0" w:type="auto"/>
            <w:tcMar>
              <w:top w:w="5" w:type="dxa"/>
              <w:left w:w="5" w:type="dxa"/>
              <w:bottom w:w="5" w:type="dxa"/>
              <w:right w:w="5" w:type="dxa"/>
            </w:tcMar>
            <w:hideMark/>
          </w:tcPr>
          <w:p w14:paraId="543D638B" w14:textId="3CBB8CB0" w:rsidR="003F3DEB" w:rsidRPr="00862E4C" w:rsidRDefault="00862E4C" w:rsidP="00272EA7">
            <w:pPr>
              <w:rPr>
                <w:b/>
                <w:bCs/>
                <w:color w:val="000000"/>
                <w:sz w:val="20"/>
                <w:szCs w:val="20"/>
              </w:rPr>
            </w:pPr>
            <w:r w:rsidRPr="00862E4C">
              <w:rPr>
                <w:b/>
                <w:bCs/>
                <w:color w:val="000000"/>
                <w:sz w:val="20"/>
                <w:szCs w:val="20"/>
              </w:rPr>
              <w:t>Entry into a Material Definitive Agreement</w:t>
            </w:r>
          </w:p>
        </w:tc>
      </w:tr>
    </w:tbl>
    <w:p w14:paraId="1C41C417" w14:textId="6D3DD8C6" w:rsidR="00F404C4" w:rsidRDefault="00F404C4" w:rsidP="00862E4C">
      <w:pPr>
        <w:ind w:left="144" w:right="144"/>
        <w:rPr>
          <w:sz w:val="20"/>
          <w:szCs w:val="20"/>
        </w:rPr>
      </w:pPr>
    </w:p>
    <w:p w14:paraId="097B8ACB" w14:textId="0D88FA2D" w:rsidR="00285865" w:rsidRPr="00285865" w:rsidRDefault="00285865" w:rsidP="00296B2F">
      <w:pPr>
        <w:ind w:left="144" w:right="144"/>
        <w:jc w:val="both"/>
        <w:rPr>
          <w:sz w:val="20"/>
          <w:szCs w:val="20"/>
        </w:rPr>
      </w:pPr>
      <w:r>
        <w:rPr>
          <w:sz w:val="20"/>
          <w:szCs w:val="20"/>
        </w:rPr>
        <w:t xml:space="preserve">On </w:t>
      </w:r>
      <w:r w:rsidR="00890CB9">
        <w:rPr>
          <w:sz w:val="20"/>
          <w:szCs w:val="20"/>
        </w:rPr>
        <w:t>June</w:t>
      </w:r>
      <w:r>
        <w:rPr>
          <w:sz w:val="20"/>
          <w:szCs w:val="20"/>
        </w:rPr>
        <w:t xml:space="preserve"> </w:t>
      </w:r>
      <w:r w:rsidR="00890CB9">
        <w:rPr>
          <w:sz w:val="20"/>
          <w:szCs w:val="20"/>
        </w:rPr>
        <w:t>12</w:t>
      </w:r>
      <w:r>
        <w:rPr>
          <w:sz w:val="20"/>
          <w:szCs w:val="20"/>
        </w:rPr>
        <w:t>, 2024, GeoVax, Inc. (</w:t>
      </w:r>
      <w:r w:rsidR="000A0411">
        <w:rPr>
          <w:sz w:val="20"/>
          <w:szCs w:val="20"/>
        </w:rPr>
        <w:t xml:space="preserve">“GeoVax” or </w:t>
      </w:r>
      <w:r>
        <w:rPr>
          <w:sz w:val="20"/>
          <w:szCs w:val="20"/>
        </w:rPr>
        <w:t xml:space="preserve">the “Company”) </w:t>
      </w:r>
      <w:r w:rsidRPr="00285865">
        <w:rPr>
          <w:sz w:val="20"/>
          <w:szCs w:val="20"/>
        </w:rPr>
        <w:t>received a</w:t>
      </w:r>
      <w:r>
        <w:rPr>
          <w:sz w:val="20"/>
          <w:szCs w:val="20"/>
        </w:rPr>
        <w:t>n</w:t>
      </w:r>
      <w:r w:rsidRPr="00285865">
        <w:rPr>
          <w:sz w:val="20"/>
          <w:szCs w:val="20"/>
        </w:rPr>
        <w:t xml:space="preserve"> award </w:t>
      </w:r>
      <w:r w:rsidR="00316FE1">
        <w:rPr>
          <w:sz w:val="20"/>
          <w:szCs w:val="20"/>
        </w:rPr>
        <w:t xml:space="preserve">(the “BARDA Contract”) </w:t>
      </w:r>
      <w:r w:rsidRPr="00285865">
        <w:rPr>
          <w:sz w:val="20"/>
          <w:szCs w:val="20"/>
        </w:rPr>
        <w:t>through the Rapid Response Partnership Vehicle (RRPV) to advance development of GEO-CM04S1, GeoVax’s dual-antigen next-generation COVID-19 vaccine, in a Phase 2b clinical trial. The RRPV is a Consortium funded by the Biomedical Advanced Research and Development Authority (BARDA), part of the Administration for Strategic Preparedness and Response (ASPR) in the U.S. Department of Health and Human Services (HHS).</w:t>
      </w:r>
    </w:p>
    <w:p w14:paraId="656526D8" w14:textId="77777777" w:rsidR="00285865" w:rsidRDefault="00285865" w:rsidP="00296B2F">
      <w:pPr>
        <w:ind w:left="144" w:right="144"/>
        <w:jc w:val="both"/>
        <w:rPr>
          <w:sz w:val="20"/>
          <w:szCs w:val="20"/>
        </w:rPr>
      </w:pPr>
    </w:p>
    <w:p w14:paraId="71A4E736" w14:textId="13580AE0" w:rsidR="00862E4C" w:rsidRDefault="00285865" w:rsidP="00296B2F">
      <w:pPr>
        <w:ind w:left="144" w:right="144"/>
        <w:jc w:val="both"/>
        <w:rPr>
          <w:sz w:val="20"/>
          <w:szCs w:val="20"/>
        </w:rPr>
      </w:pPr>
      <w:r w:rsidRPr="00285865">
        <w:rPr>
          <w:sz w:val="20"/>
          <w:szCs w:val="20"/>
        </w:rPr>
        <w:t xml:space="preserve">Under the agreement, </w:t>
      </w:r>
      <w:r>
        <w:rPr>
          <w:sz w:val="20"/>
          <w:szCs w:val="20"/>
        </w:rPr>
        <w:t>the Company</w:t>
      </w:r>
      <w:r w:rsidRPr="00285865">
        <w:rPr>
          <w:sz w:val="20"/>
          <w:szCs w:val="20"/>
        </w:rPr>
        <w:t xml:space="preserve"> will sponsor a 10,000-participant, randomized, Phase 2b double-blinded study to compare the efficacy, safety, and immunogenicity of GEO-CM04S1 with a U.S. Food and Drug Administration (FDA)-approved mRNA COVID-19 vaccine. Preparations for the study are underway, and execution of the study will be fully funded by BARDA under its Clinical Studies Network</w:t>
      </w:r>
      <w:r w:rsidR="000A0411">
        <w:rPr>
          <w:sz w:val="20"/>
          <w:szCs w:val="20"/>
        </w:rPr>
        <w:t>.</w:t>
      </w:r>
    </w:p>
    <w:p w14:paraId="16E0912C" w14:textId="77777777" w:rsidR="00596CDF" w:rsidRDefault="00596CDF" w:rsidP="00596CDF">
      <w:pPr>
        <w:ind w:right="144"/>
        <w:jc w:val="both"/>
        <w:rPr>
          <w:sz w:val="20"/>
          <w:szCs w:val="20"/>
        </w:rPr>
      </w:pPr>
    </w:p>
    <w:p w14:paraId="401D0778" w14:textId="5AFCCF36" w:rsidR="00596CDF" w:rsidRPr="00BA3AF4" w:rsidRDefault="00596CDF" w:rsidP="00596CDF">
      <w:pPr>
        <w:ind w:left="180" w:right="144"/>
        <w:jc w:val="both"/>
        <w:rPr>
          <w:sz w:val="20"/>
          <w:szCs w:val="20"/>
        </w:rPr>
      </w:pPr>
      <w:r w:rsidRPr="00596CDF">
        <w:rPr>
          <w:sz w:val="20"/>
          <w:szCs w:val="20"/>
        </w:rPr>
        <w:t>The direct award to GeoVax of approximately $24.3 million, which may increase to as much as $45 million, will fund the manufacturing of clinical materials and support for the Phase 2b clinical trial, including regulatory activities. BARDA has made separate awards through its Clinical Studies Network to support execution of the study. That funding will represent approximately $343M from the Project NextGen program for a CRO to execute the clinical trial using GeoVax’s vaccine.</w:t>
      </w:r>
    </w:p>
    <w:p w14:paraId="04DD8C2D" w14:textId="77777777" w:rsidR="00862E4C" w:rsidRPr="00862E4C" w:rsidRDefault="00862E4C" w:rsidP="00296B2F">
      <w:pPr>
        <w:ind w:right="144"/>
        <w:jc w:val="both"/>
        <w:rPr>
          <w:sz w:val="20"/>
          <w:szCs w:val="20"/>
        </w:rPr>
      </w:pPr>
    </w:p>
    <w:p w14:paraId="4764ACE4" w14:textId="72E52E57" w:rsidR="00862E4C" w:rsidRDefault="00862E4C" w:rsidP="00296B2F">
      <w:pPr>
        <w:ind w:left="180" w:right="144"/>
        <w:jc w:val="both"/>
        <w:rPr>
          <w:sz w:val="20"/>
          <w:szCs w:val="20"/>
        </w:rPr>
      </w:pPr>
      <w:r w:rsidRPr="00862E4C">
        <w:rPr>
          <w:sz w:val="20"/>
          <w:szCs w:val="20"/>
        </w:rPr>
        <w:t xml:space="preserve">The foregoing description of the BARDA Contract does not purport to be complete and is qualified in its entirety by reference to the full text of the BARDA Contract, which will be filed as an exhibit to the Company’s </w:t>
      </w:r>
      <w:r w:rsidR="00296B2F">
        <w:rPr>
          <w:sz w:val="20"/>
          <w:szCs w:val="20"/>
        </w:rPr>
        <w:t>next periodic report</w:t>
      </w:r>
      <w:r w:rsidRPr="00862E4C">
        <w:rPr>
          <w:sz w:val="20"/>
          <w:szCs w:val="20"/>
        </w:rPr>
        <w:t xml:space="preserve"> on Form 10-Q</w:t>
      </w:r>
      <w:r w:rsidR="00296B2F">
        <w:rPr>
          <w:sz w:val="20"/>
          <w:szCs w:val="20"/>
        </w:rPr>
        <w:t>.</w:t>
      </w:r>
    </w:p>
    <w:p w14:paraId="771CBE74" w14:textId="77777777" w:rsidR="00296B2F" w:rsidRDefault="00296B2F" w:rsidP="00296B2F">
      <w:pPr>
        <w:ind w:left="180" w:right="144"/>
        <w:jc w:val="both"/>
        <w:rPr>
          <w:sz w:val="20"/>
          <w:szCs w:val="20"/>
        </w:rPr>
      </w:pPr>
    </w:p>
    <w:p w14:paraId="07F1B8DF" w14:textId="38891C95" w:rsidR="00862E4C" w:rsidRDefault="00862E4C" w:rsidP="00296B2F">
      <w:pPr>
        <w:ind w:left="180" w:right="144"/>
        <w:jc w:val="both"/>
        <w:rPr>
          <w:sz w:val="20"/>
          <w:szCs w:val="20"/>
        </w:rPr>
      </w:pPr>
      <w:r w:rsidRPr="00862E4C">
        <w:rPr>
          <w:sz w:val="20"/>
          <w:szCs w:val="20"/>
        </w:rPr>
        <w:t xml:space="preserve">On </w:t>
      </w:r>
      <w:r w:rsidR="00890CB9">
        <w:rPr>
          <w:sz w:val="20"/>
          <w:szCs w:val="20"/>
        </w:rPr>
        <w:t>June</w:t>
      </w:r>
      <w:r w:rsidR="004268BD">
        <w:rPr>
          <w:sz w:val="20"/>
          <w:szCs w:val="20"/>
        </w:rPr>
        <w:t xml:space="preserve"> </w:t>
      </w:r>
      <w:r w:rsidR="00890CB9">
        <w:rPr>
          <w:sz w:val="20"/>
          <w:szCs w:val="20"/>
        </w:rPr>
        <w:t>18</w:t>
      </w:r>
      <w:r w:rsidRPr="00862E4C">
        <w:rPr>
          <w:sz w:val="20"/>
          <w:szCs w:val="20"/>
        </w:rPr>
        <w:t>, 202</w:t>
      </w:r>
      <w:r w:rsidR="004268BD">
        <w:rPr>
          <w:sz w:val="20"/>
          <w:szCs w:val="20"/>
        </w:rPr>
        <w:t>4</w:t>
      </w:r>
      <w:r w:rsidRPr="00862E4C">
        <w:rPr>
          <w:sz w:val="20"/>
          <w:szCs w:val="20"/>
        </w:rPr>
        <w:t>, the Company issued a press release announcing its entry into the BARDA Contract, a copy of which is furnished as Exhibit 99.1 to this Current Report on Form 8-K. </w:t>
      </w:r>
    </w:p>
    <w:p w14:paraId="413D330F" w14:textId="77777777" w:rsidR="00BB7014" w:rsidRDefault="00BB7014" w:rsidP="00862E4C">
      <w:pPr>
        <w:ind w:left="90"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14972B20" w:rsidR="008D7E3A" w:rsidRDefault="00EC3F8A" w:rsidP="00EC3F8A">
            <w:pPr>
              <w:rPr>
                <w:sz w:val="20"/>
                <w:szCs w:val="20"/>
              </w:rPr>
            </w:pPr>
            <w:r w:rsidRPr="00B02C57">
              <w:rPr>
                <w:bCs/>
                <w:sz w:val="20"/>
                <w:szCs w:val="20"/>
              </w:rPr>
              <w:t xml:space="preserve">Press Release dated </w:t>
            </w:r>
            <w:r w:rsidR="00890CB9">
              <w:rPr>
                <w:bCs/>
                <w:sz w:val="20"/>
                <w:szCs w:val="20"/>
              </w:rPr>
              <w:t>June</w:t>
            </w:r>
            <w:r w:rsidR="00B02C57" w:rsidRPr="00B02C57">
              <w:rPr>
                <w:bCs/>
                <w:sz w:val="20"/>
                <w:szCs w:val="20"/>
              </w:rPr>
              <w:t xml:space="preserve"> </w:t>
            </w:r>
            <w:r w:rsidR="00890CB9">
              <w:rPr>
                <w:bCs/>
                <w:sz w:val="20"/>
                <w:szCs w:val="20"/>
              </w:rPr>
              <w:t>18</w:t>
            </w:r>
            <w:r w:rsidRPr="00B02C57">
              <w:rPr>
                <w:bCs/>
                <w:sz w:val="20"/>
                <w:szCs w:val="20"/>
              </w:rPr>
              <w:t>, 202</w:t>
            </w:r>
            <w:r w:rsidR="00387407">
              <w:rPr>
                <w:bCs/>
                <w:sz w:val="20"/>
                <w:szCs w:val="20"/>
              </w:rPr>
              <w:t>4</w:t>
            </w:r>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6EBB5389" w:rsidR="008D7E3A" w:rsidRDefault="008D7E3A" w:rsidP="008D7E3A">
      <w:pPr>
        <w:ind w:left="144" w:right="144"/>
        <w:rPr>
          <w:sz w:val="20"/>
          <w:szCs w:val="20"/>
        </w:rPr>
      </w:pPr>
      <w:r>
        <w:rPr>
          <w:sz w:val="20"/>
          <w:szCs w:val="20"/>
        </w:rPr>
        <w:t xml:space="preserve">Date: </w:t>
      </w:r>
      <w:r w:rsidR="00890CB9">
        <w:rPr>
          <w:sz w:val="20"/>
          <w:szCs w:val="20"/>
        </w:rPr>
        <w:t>June</w:t>
      </w:r>
      <w:r w:rsidR="004D4E0A">
        <w:rPr>
          <w:sz w:val="20"/>
          <w:szCs w:val="20"/>
        </w:rPr>
        <w:t xml:space="preserve"> </w:t>
      </w:r>
      <w:r w:rsidR="00890CB9">
        <w:rPr>
          <w:sz w:val="20"/>
          <w:szCs w:val="20"/>
        </w:rPr>
        <w:t>18</w:t>
      </w:r>
      <w:r>
        <w:rPr>
          <w:sz w:val="20"/>
          <w:szCs w:val="20"/>
        </w:rPr>
        <w:t>, 202</w:t>
      </w:r>
      <w:r w:rsidR="00387407">
        <w:rPr>
          <w:sz w:val="20"/>
          <w:szCs w:val="20"/>
        </w:rPr>
        <w:t>4</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24D15D73" w:rsidR="008D7E3A" w:rsidRDefault="008D7E3A" w:rsidP="008D7E3A">
      <w:pPr>
        <w:ind w:left="144" w:right="144"/>
        <w:rPr>
          <w:sz w:val="20"/>
          <w:szCs w:val="20"/>
        </w:rPr>
      </w:pPr>
    </w:p>
    <w:p w14:paraId="7D2C77B9" w14:textId="77777777" w:rsidR="0069399F" w:rsidRDefault="0069399F" w:rsidP="008D7E3A">
      <w:pPr>
        <w:sectPr w:rsidR="0069399F">
          <w:footerReference w:type="default" r:id="rId8"/>
          <w:pgSz w:w="12240" w:h="15840"/>
          <w:pgMar w:top="576" w:right="720" w:bottom="576" w:left="720" w:header="144" w:footer="432" w:gutter="0"/>
          <w:cols w:space="720"/>
        </w:sectPr>
      </w:pPr>
    </w:p>
    <w:p w14:paraId="2E6F4321" w14:textId="0EFAC4B2" w:rsidR="0069399F" w:rsidRPr="00B811E5" w:rsidRDefault="0069399F" w:rsidP="0069399F">
      <w:pPr>
        <w:jc w:val="center"/>
        <w:rPr>
          <w:b/>
          <w:sz w:val="32"/>
          <w:szCs w:val="32"/>
        </w:rPr>
      </w:pPr>
      <w:r>
        <w:rPr>
          <w:noProof/>
        </w:rPr>
        <w:lastRenderedPageBreak/>
        <mc:AlternateContent>
          <mc:Choice Requires="wps">
            <w:drawing>
              <wp:anchor distT="45720" distB="45720" distL="114300" distR="114300" simplePos="0" relativeHeight="251659264" behindDoc="1" locked="0" layoutInCell="1" allowOverlap="1" wp14:anchorId="20A0A3B3" wp14:editId="22D21D15">
                <wp:simplePos x="0" y="0"/>
                <wp:positionH relativeFrom="column">
                  <wp:posOffset>4036695</wp:posOffset>
                </wp:positionH>
                <wp:positionV relativeFrom="paragraph">
                  <wp:posOffset>-368300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D5A7FA" w14:textId="647E8439" w:rsidR="0069399F" w:rsidRPr="0069399F" w:rsidRDefault="0069399F" w:rsidP="0069399F">
                            <w:pPr>
                              <w:jc w:val="right"/>
                              <w:rPr>
                                <w:b/>
                                <w:bCs/>
                              </w:rPr>
                            </w:pPr>
                            <w:r w:rsidRPr="0069399F">
                              <w:rPr>
                                <w:b/>
                                <w:bCs/>
                              </w:rPr>
                              <w:t>Exhibit 99.1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A0A3B3" id="_x0000_t202" coordsize="21600,21600" o:spt="202" path="m,l,21600r21600,l21600,xe">
                <v:stroke joinstyle="miter"/>
                <v:path gradientshapeok="t" o:connecttype="rect"/>
              </v:shapetype>
              <v:shape id="Text Box 2" o:spid="_x0000_s1026" type="#_x0000_t202" style="position:absolute;left:0;text-align:left;margin-left:317.85pt;margin-top:-2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" stroked="f">
                <v:textbox style="mso-fit-shape-to-text:t">
                  <w:txbxContent>
                    <w:p w14:paraId="51D5A7FA" w14:textId="647E8439" w:rsidR="0069399F" w:rsidRPr="0069399F" w:rsidRDefault="0069399F" w:rsidP="0069399F">
                      <w:pPr>
                        <w:jc w:val="right"/>
                        <w:rPr>
                          <w:b/>
                          <w:bCs/>
                        </w:rPr>
                      </w:pPr>
                      <w:r w:rsidRPr="0069399F">
                        <w:rPr>
                          <w:b/>
                          <w:bCs/>
                        </w:rPr>
                        <w:t>Exhibit 99.1</w:t>
                      </w:r>
                    </w:p>
                  </w:txbxContent>
                </v:textbox>
              </v:shape>
            </w:pict>
          </mc:Fallback>
        </mc:AlternateContent>
      </w:r>
    </w:p>
    <w:p w14:paraId="7D6F1E07" w14:textId="3D196F36" w:rsidR="0069399F" w:rsidRPr="00B542AB" w:rsidRDefault="0069399F" w:rsidP="0069399F">
      <w:pPr>
        <w:jc w:val="center"/>
        <w:rPr>
          <w:b/>
          <w:bCs/>
          <w:color w:val="000000" w:themeColor="text1"/>
          <w:sz w:val="32"/>
          <w:szCs w:val="32"/>
        </w:rPr>
      </w:pPr>
      <w:r w:rsidRPr="00B542AB">
        <w:rPr>
          <w:b/>
          <w:bCs/>
          <w:color w:val="000000" w:themeColor="text1"/>
          <w:sz w:val="32"/>
          <w:szCs w:val="32"/>
        </w:rPr>
        <w:t xml:space="preserve">GeoVax </w:t>
      </w:r>
      <w:r>
        <w:rPr>
          <w:b/>
          <w:bCs/>
          <w:color w:val="000000" w:themeColor="text1"/>
          <w:sz w:val="32"/>
          <w:szCs w:val="32"/>
        </w:rPr>
        <w:t>Receives</w:t>
      </w:r>
      <w:r w:rsidRPr="00B542AB">
        <w:rPr>
          <w:b/>
          <w:bCs/>
          <w:color w:val="000000" w:themeColor="text1"/>
          <w:sz w:val="32"/>
          <w:szCs w:val="32"/>
        </w:rPr>
        <w:t xml:space="preserve"> BARDA </w:t>
      </w:r>
      <w:r>
        <w:rPr>
          <w:b/>
          <w:bCs/>
          <w:color w:val="000000" w:themeColor="text1"/>
          <w:sz w:val="32"/>
          <w:szCs w:val="32"/>
        </w:rPr>
        <w:t>Project NextGen Award</w:t>
      </w:r>
      <w:r w:rsidRPr="00B542AB">
        <w:rPr>
          <w:b/>
          <w:bCs/>
          <w:color w:val="000000" w:themeColor="text1"/>
          <w:sz w:val="32"/>
          <w:szCs w:val="32"/>
        </w:rPr>
        <w:t xml:space="preserve"> to</w:t>
      </w:r>
      <w:r>
        <w:rPr>
          <w:b/>
          <w:bCs/>
          <w:color w:val="000000" w:themeColor="text1"/>
          <w:sz w:val="32"/>
          <w:szCs w:val="32"/>
        </w:rPr>
        <w:t xml:space="preserve"> </w:t>
      </w:r>
      <w:r w:rsidRPr="00B542AB">
        <w:rPr>
          <w:b/>
          <w:bCs/>
          <w:color w:val="000000" w:themeColor="text1"/>
          <w:sz w:val="32"/>
          <w:szCs w:val="32"/>
        </w:rPr>
        <w:t>Conduct</w:t>
      </w:r>
      <w:r>
        <w:rPr>
          <w:b/>
          <w:bCs/>
          <w:color w:val="000000" w:themeColor="text1"/>
          <w:sz w:val="32"/>
          <w:szCs w:val="32"/>
        </w:rPr>
        <w:t xml:space="preserve"> </w:t>
      </w:r>
      <w:r w:rsidRPr="00B542AB">
        <w:rPr>
          <w:b/>
          <w:bCs/>
          <w:color w:val="000000" w:themeColor="text1"/>
          <w:sz w:val="32"/>
          <w:szCs w:val="32"/>
        </w:rPr>
        <w:t xml:space="preserve">Phase 2b </w:t>
      </w:r>
      <w:r>
        <w:rPr>
          <w:b/>
          <w:bCs/>
          <w:color w:val="000000" w:themeColor="text1"/>
          <w:sz w:val="32"/>
          <w:szCs w:val="32"/>
        </w:rPr>
        <w:t xml:space="preserve">Clinical </w:t>
      </w:r>
      <w:r w:rsidRPr="00B542AB">
        <w:rPr>
          <w:b/>
          <w:bCs/>
          <w:color w:val="000000" w:themeColor="text1"/>
          <w:sz w:val="32"/>
          <w:szCs w:val="32"/>
        </w:rPr>
        <w:t>Study Evaluating</w:t>
      </w:r>
      <w:r>
        <w:rPr>
          <w:b/>
          <w:bCs/>
          <w:color w:val="000000" w:themeColor="text1"/>
          <w:sz w:val="32"/>
          <w:szCs w:val="32"/>
        </w:rPr>
        <w:t xml:space="preserve"> the Company’s </w:t>
      </w:r>
      <w:r w:rsidRPr="00B542AB">
        <w:rPr>
          <w:b/>
          <w:bCs/>
          <w:color w:val="000000" w:themeColor="text1"/>
          <w:sz w:val="32"/>
          <w:szCs w:val="32"/>
        </w:rPr>
        <w:t xml:space="preserve">Next-Generation </w:t>
      </w:r>
      <w:r>
        <w:rPr>
          <w:b/>
          <w:bCs/>
          <w:color w:val="000000" w:themeColor="text1"/>
          <w:sz w:val="32"/>
          <w:szCs w:val="32"/>
        </w:rPr>
        <w:t xml:space="preserve">COVID-19 </w:t>
      </w:r>
      <w:r w:rsidRPr="00B542AB">
        <w:rPr>
          <w:b/>
          <w:bCs/>
          <w:color w:val="000000" w:themeColor="text1"/>
          <w:sz w:val="32"/>
          <w:szCs w:val="32"/>
        </w:rPr>
        <w:t>Vaccine Candidate</w:t>
      </w:r>
      <w:r>
        <w:rPr>
          <w:b/>
          <w:bCs/>
          <w:color w:val="000000" w:themeColor="text1"/>
          <w:sz w:val="32"/>
          <w:szCs w:val="32"/>
        </w:rPr>
        <w:t>, GEO-CM04S1</w:t>
      </w:r>
    </w:p>
    <w:p w14:paraId="2ADFF8F7" w14:textId="77777777" w:rsidR="0069399F" w:rsidRDefault="0069399F" w:rsidP="0069399F">
      <w:pPr>
        <w:rPr>
          <w:bCs/>
          <w:color w:val="000000" w:themeColor="text1"/>
        </w:rPr>
      </w:pPr>
    </w:p>
    <w:p w14:paraId="6D5EF079" w14:textId="6705E22F" w:rsidR="0069399F" w:rsidRDefault="0069399F" w:rsidP="0069399F">
      <w:pPr>
        <w:jc w:val="center"/>
        <w:rPr>
          <w:i/>
          <w:iCs/>
          <w:color w:val="000000" w:themeColor="text1"/>
        </w:rPr>
      </w:pPr>
      <w:r w:rsidRPr="282EF473">
        <w:rPr>
          <w:i/>
          <w:iCs/>
          <w:color w:val="000000" w:themeColor="text1"/>
        </w:rPr>
        <w:t xml:space="preserve">10,000-participant randomized Phase 2b study will evaluate and compare GeoVax’s multi-antigen, vaccine candidate (GEO-CM04S1) to an approved vaccine against </w:t>
      </w:r>
      <w:r>
        <w:rPr>
          <w:i/>
          <w:iCs/>
          <w:color w:val="000000" w:themeColor="text1"/>
        </w:rPr>
        <w:t>COVID</w:t>
      </w:r>
      <w:r w:rsidRPr="282EF473">
        <w:rPr>
          <w:i/>
          <w:iCs/>
          <w:color w:val="000000" w:themeColor="text1"/>
        </w:rPr>
        <w:t>-19 under BARDA’s Clinical Studies Network</w:t>
      </w:r>
    </w:p>
    <w:p w14:paraId="6E3C3C81" w14:textId="77777777" w:rsidR="0069399F" w:rsidRPr="00B542AB" w:rsidRDefault="0069399F" w:rsidP="0069399F">
      <w:pPr>
        <w:jc w:val="center"/>
        <w:rPr>
          <w:bCs/>
          <w:i/>
          <w:iCs/>
          <w:color w:val="000000" w:themeColor="text1"/>
        </w:rPr>
      </w:pPr>
    </w:p>
    <w:p w14:paraId="17EA0618" w14:textId="77777777" w:rsidR="0069399F" w:rsidRPr="00B542AB" w:rsidRDefault="0069399F" w:rsidP="0069399F">
      <w:pPr>
        <w:jc w:val="center"/>
        <w:rPr>
          <w:i/>
          <w:iCs/>
          <w:color w:val="000000" w:themeColor="text1"/>
        </w:rPr>
      </w:pPr>
      <w:r w:rsidRPr="56504BD2">
        <w:rPr>
          <w:i/>
          <w:iCs/>
          <w:color w:val="000000" w:themeColor="text1"/>
        </w:rPr>
        <w:t>Project NextGen is a $5 billion initiative by the U.S. Department of Health and Human Services to develop innovative vaccines and therapeutics providing broader and more durable protection against current and future COVID-19 viral strains</w:t>
      </w:r>
    </w:p>
    <w:p w14:paraId="07F8897C" w14:textId="386A20BD" w:rsidR="0069399F" w:rsidRPr="00F00B51" w:rsidRDefault="0069399F" w:rsidP="0069399F">
      <w:pPr>
        <w:jc w:val="both"/>
        <w:rPr>
          <w:bCs/>
          <w:color w:val="000000" w:themeColor="text1"/>
          <w:sz w:val="22"/>
          <w:szCs w:val="22"/>
        </w:rPr>
      </w:pPr>
    </w:p>
    <w:p w14:paraId="64BF0774" w14:textId="77777777" w:rsidR="0069399F" w:rsidRDefault="0069399F" w:rsidP="0069399F">
      <w:pPr>
        <w:widowControl w:val="0"/>
        <w:jc w:val="both"/>
        <w:rPr>
          <w:sz w:val="22"/>
          <w:szCs w:val="22"/>
        </w:rPr>
      </w:pPr>
      <w:r w:rsidRPr="282EF473">
        <w:rPr>
          <w:b/>
          <w:bCs/>
          <w:sz w:val="22"/>
          <w:szCs w:val="22"/>
        </w:rPr>
        <w:t xml:space="preserve">Atlanta, GA, </w:t>
      </w:r>
      <w:r>
        <w:rPr>
          <w:b/>
          <w:bCs/>
          <w:sz w:val="22"/>
          <w:szCs w:val="22"/>
        </w:rPr>
        <w:t>June</w:t>
      </w:r>
      <w:r w:rsidRPr="282EF473">
        <w:rPr>
          <w:b/>
          <w:bCs/>
          <w:sz w:val="22"/>
          <w:szCs w:val="22"/>
        </w:rPr>
        <w:t xml:space="preserve"> </w:t>
      </w:r>
      <w:r>
        <w:rPr>
          <w:b/>
          <w:bCs/>
          <w:sz w:val="22"/>
          <w:szCs w:val="22"/>
        </w:rPr>
        <w:t>18</w:t>
      </w:r>
      <w:r w:rsidRPr="282EF473">
        <w:rPr>
          <w:b/>
          <w:bCs/>
          <w:sz w:val="22"/>
          <w:szCs w:val="22"/>
        </w:rPr>
        <w:t>, 2024</w:t>
      </w:r>
      <w:r w:rsidRPr="282EF473">
        <w:rPr>
          <w:sz w:val="22"/>
          <w:szCs w:val="22"/>
        </w:rPr>
        <w:t xml:space="preserve"> – GeoVax Labs, Inc. (Nasdaq: GOVX), a biotechnology company developing immunotherapies and vaccines against cancers and infectious diseases, today announced that it received an award through the Rapid Response Partnership Vehicle (RRPV) to advance development of GEO-CM04S1, GeoVax’s dual-antigen next-generation COVID-19 vaccine, in a Phase 2b clinical trial.  The RRPV is a Consortium funded by the Biomedical Advanced Research and Development Authority (BARDA), part of the Administration for Strategic Preparedness and Response (ASPR) in the U.S. Department of Health and Human Services (HHS).</w:t>
      </w:r>
    </w:p>
    <w:p w14:paraId="0F8DC9D5" w14:textId="77777777" w:rsidR="0069399F" w:rsidRDefault="0069399F" w:rsidP="0069399F">
      <w:pPr>
        <w:widowControl w:val="0"/>
        <w:jc w:val="both"/>
        <w:rPr>
          <w:sz w:val="22"/>
          <w:szCs w:val="22"/>
        </w:rPr>
      </w:pPr>
    </w:p>
    <w:p w14:paraId="4D8497F1" w14:textId="3453A7E1" w:rsidR="0069399F" w:rsidRDefault="0069399F" w:rsidP="0069399F">
      <w:pPr>
        <w:jc w:val="both"/>
        <w:rPr>
          <w:sz w:val="22"/>
          <w:szCs w:val="22"/>
        </w:rPr>
      </w:pPr>
      <w:r w:rsidRPr="282EF473">
        <w:rPr>
          <w:sz w:val="22"/>
          <w:szCs w:val="22"/>
        </w:rPr>
        <w:t xml:space="preserve">Under the agreement, GeoVax will sponsor a 10,000-participant, randomized, Phase 2b double-blinded study to compare the efficacy, safety, and immunogenicity of GEO-CM04S1 with a U.S. Food and Drug Administration (FDA)-approved mRNA </w:t>
      </w:r>
      <w:r>
        <w:rPr>
          <w:sz w:val="22"/>
          <w:szCs w:val="22"/>
        </w:rPr>
        <w:t>COVID</w:t>
      </w:r>
      <w:r w:rsidRPr="282EF473">
        <w:rPr>
          <w:sz w:val="22"/>
          <w:szCs w:val="22"/>
        </w:rPr>
        <w:t>-19 vaccine. Preparations for the study are underway, and execution of the study will be fully funded by BARDA under its Clinical Studies Network.</w:t>
      </w:r>
    </w:p>
    <w:p w14:paraId="72C5CECA" w14:textId="77777777" w:rsidR="0069399F" w:rsidRDefault="0069399F" w:rsidP="0069399F">
      <w:pPr>
        <w:jc w:val="both"/>
        <w:rPr>
          <w:sz w:val="22"/>
          <w:szCs w:val="22"/>
        </w:rPr>
      </w:pPr>
    </w:p>
    <w:p w14:paraId="299B1E36" w14:textId="685166B1" w:rsidR="0069399F" w:rsidRDefault="0069399F" w:rsidP="0069399F">
      <w:pPr>
        <w:widowControl w:val="0"/>
        <w:jc w:val="both"/>
        <w:rPr>
          <w:sz w:val="22"/>
          <w:szCs w:val="22"/>
        </w:rPr>
      </w:pPr>
      <w:r>
        <w:rPr>
          <w:sz w:val="22"/>
          <w:szCs w:val="22"/>
        </w:rPr>
        <w:t xml:space="preserve">The direct award to GeoVax of approximately $24.3 million, which may increase to as much as $45 million, will fund the manufacturing of clinical materials and support for the Phase 2b clinical trial, including regulatory activities. </w:t>
      </w:r>
      <w:r w:rsidRPr="00464ED3">
        <w:rPr>
          <w:sz w:val="22"/>
          <w:szCs w:val="22"/>
        </w:rPr>
        <w:t>BARDA has made separate awards through its Clinical Studies Network to support execution of the study. That funding will represent approximately $</w:t>
      </w:r>
      <w:r>
        <w:rPr>
          <w:sz w:val="22"/>
          <w:szCs w:val="22"/>
        </w:rPr>
        <w:t>343</w:t>
      </w:r>
      <w:r w:rsidRPr="00464ED3">
        <w:rPr>
          <w:sz w:val="22"/>
          <w:szCs w:val="22"/>
        </w:rPr>
        <w:t>M from the Project NextGen program for a CRO to execute the clinical trial using GeoVax’s vaccine</w:t>
      </w:r>
      <w:r>
        <w:rPr>
          <w:sz w:val="22"/>
          <w:szCs w:val="22"/>
        </w:rPr>
        <w:t>.</w:t>
      </w:r>
    </w:p>
    <w:p w14:paraId="3EE2B6CA" w14:textId="77777777" w:rsidR="0069399F" w:rsidRPr="00B542AB" w:rsidRDefault="0069399F" w:rsidP="0069399F">
      <w:pPr>
        <w:jc w:val="both"/>
        <w:rPr>
          <w:sz w:val="22"/>
          <w:szCs w:val="22"/>
        </w:rPr>
      </w:pPr>
    </w:p>
    <w:p w14:paraId="1A8B2D90" w14:textId="03231490" w:rsidR="0069399F" w:rsidRDefault="0069399F" w:rsidP="0069399F">
      <w:pPr>
        <w:jc w:val="both"/>
        <w:rPr>
          <w:sz w:val="22"/>
          <w:szCs w:val="22"/>
        </w:rPr>
      </w:pPr>
      <w:r w:rsidRPr="7AC531A7">
        <w:rPr>
          <w:sz w:val="22"/>
          <w:szCs w:val="22"/>
        </w:rPr>
        <w:t>“We are honored and proud to receive this award from BARDA to advance our next-generation vaccine against COVID-19. This contract not only provides the vital resources for advancing the development of GEO-CM04S1, but it also advances our MVA platform in infectious diseases,” said David Dodd, Chairman &amp; CEO of GeoVax.</w:t>
      </w:r>
    </w:p>
    <w:p w14:paraId="685FC068" w14:textId="1FEC303D" w:rsidR="0069399F" w:rsidRDefault="0069399F" w:rsidP="0069399F">
      <w:pPr>
        <w:jc w:val="both"/>
        <w:rPr>
          <w:sz w:val="22"/>
          <w:szCs w:val="22"/>
        </w:rPr>
      </w:pPr>
    </w:p>
    <w:p w14:paraId="3C65407B" w14:textId="0F0D59D6" w:rsidR="0069399F" w:rsidRDefault="0069399F" w:rsidP="0069399F">
      <w:pPr>
        <w:jc w:val="both"/>
        <w:rPr>
          <w:sz w:val="22"/>
          <w:szCs w:val="22"/>
        </w:rPr>
      </w:pPr>
      <w:r w:rsidRPr="7AC531A7">
        <w:rPr>
          <w:sz w:val="22"/>
          <w:szCs w:val="22"/>
        </w:rPr>
        <w:t xml:space="preserve">Mr. Dodd continued, “First-generation COVID-19 vaccines were beneficial during the peak of the pandemic but are limited in breadth and durability of clinical protection, requiring frequent updates. Now that COVID-19 is in an endemic stage, many people continue to have their everyday lives impacted in meaningful ways. Furthermore, there are an estimated 23 million adults in the U.S. with immunocompromised conditions </w:t>
      </w:r>
      <w:r>
        <w:rPr>
          <w:sz w:val="22"/>
          <w:szCs w:val="22"/>
        </w:rPr>
        <w:t>who</w:t>
      </w:r>
      <w:r w:rsidRPr="7AC531A7">
        <w:rPr>
          <w:sz w:val="22"/>
          <w:szCs w:val="22"/>
        </w:rPr>
        <w:t xml:space="preserve"> are less likely to have an adequate response to current vaccines and are more likely to potentially experience severe COVID-19 symptoms, hospitalization and the risk of death, even after vaccination. GEO-CM04S1 was designed to address these limitations by inducing durable neutralizing antibody and T-cell-based immunity against current and future SARS-CoV-2 variants. Our vaccine has continued to demonstrate induction of potent immune responses with potential to drive broad and durable clinical protection, and we eagerly anticipate commencing the Phase 2b study to further demonstrate the value and advantages of our technology.”</w:t>
      </w:r>
    </w:p>
    <w:p w14:paraId="13677B57" w14:textId="70AF48CC" w:rsidR="0069399F" w:rsidRDefault="0069399F" w:rsidP="0069399F">
      <w:pPr>
        <w:jc w:val="both"/>
        <w:rPr>
          <w:sz w:val="22"/>
          <w:szCs w:val="22"/>
        </w:rPr>
      </w:pPr>
    </w:p>
    <w:p w14:paraId="03F3651E" w14:textId="5972ACB8" w:rsidR="0069399F" w:rsidRDefault="0069399F" w:rsidP="0069399F">
      <w:pPr>
        <w:widowControl w:val="0"/>
        <w:autoSpaceDE w:val="0"/>
        <w:autoSpaceDN w:val="0"/>
        <w:adjustRightInd w:val="0"/>
        <w:jc w:val="both"/>
        <w:rPr>
          <w:sz w:val="22"/>
          <w:szCs w:val="22"/>
        </w:rPr>
      </w:pPr>
      <w:r w:rsidRPr="282EF473">
        <w:rPr>
          <w:sz w:val="22"/>
          <w:szCs w:val="22"/>
        </w:rPr>
        <w:t xml:space="preserve">Funding for this award </w:t>
      </w:r>
      <w:r>
        <w:rPr>
          <w:sz w:val="22"/>
          <w:szCs w:val="22"/>
        </w:rPr>
        <w:t>is provided</w:t>
      </w:r>
      <w:r w:rsidRPr="282EF473">
        <w:rPr>
          <w:sz w:val="22"/>
          <w:szCs w:val="22"/>
        </w:rPr>
        <w:t xml:space="preserve"> under </w:t>
      </w:r>
      <w:hyperlink r:id="rId9" w:history="1">
        <w:r w:rsidRPr="00CB5AC5">
          <w:rPr>
            <w:rStyle w:val="Hyperlink"/>
            <w:sz w:val="22"/>
            <w:szCs w:val="22"/>
          </w:rPr>
          <w:t>Project NextGen</w:t>
        </w:r>
      </w:hyperlink>
      <w:r w:rsidRPr="282EF473">
        <w:rPr>
          <w:sz w:val="22"/>
          <w:szCs w:val="22"/>
        </w:rPr>
        <w:t xml:space="preserve">, a $5 billion initiative by HHS to advance a pipeline of new, innovative vaccines and therapeutics providing broader and more durable protection for COVID-19 than the first generation COVID vaccines and medicines. BARDA is supporting the development of new vaccines and therapeutics to better address the waning immunity and resistance to current and future SARS-CoV2 viral strains. GeoVax’s vaccine candidate provides many of the features identified by BARDA including broader protection among </w:t>
      </w:r>
      <w:r w:rsidRPr="282EF473">
        <w:rPr>
          <w:sz w:val="22"/>
          <w:szCs w:val="22"/>
        </w:rPr>
        <w:lastRenderedPageBreak/>
        <w:t xml:space="preserve">variants of concern (VOC) and a longer duration of protection. </w:t>
      </w:r>
    </w:p>
    <w:p w14:paraId="2B7ADF54" w14:textId="77777777" w:rsidR="0069399F" w:rsidRPr="00B542AB" w:rsidRDefault="0069399F" w:rsidP="0069399F">
      <w:pPr>
        <w:jc w:val="both"/>
        <w:rPr>
          <w:sz w:val="22"/>
          <w:szCs w:val="22"/>
        </w:rPr>
      </w:pPr>
    </w:p>
    <w:p w14:paraId="23D67288" w14:textId="77777777" w:rsidR="0069399F" w:rsidRPr="00B542AB" w:rsidRDefault="0069399F" w:rsidP="0069399F">
      <w:pPr>
        <w:jc w:val="both"/>
        <w:rPr>
          <w:sz w:val="22"/>
          <w:szCs w:val="22"/>
        </w:rPr>
      </w:pPr>
      <w:r w:rsidRPr="282EF473">
        <w:rPr>
          <w:sz w:val="22"/>
          <w:szCs w:val="22"/>
        </w:rPr>
        <w:t>This project is being funded with federal funds from the Department of Health and Human Services; Administration for Strategic Preparedness and Response (ASPR); Biomedical Advanced Research and Development Authority (BARDA), under Other Transaction (OT) number: 75A50123D00005.</w:t>
      </w:r>
    </w:p>
    <w:p w14:paraId="74F49D26" w14:textId="77777777" w:rsidR="0069399F" w:rsidRDefault="0069399F" w:rsidP="0069399F">
      <w:pPr>
        <w:jc w:val="both"/>
        <w:rPr>
          <w:sz w:val="22"/>
          <w:szCs w:val="22"/>
        </w:rPr>
      </w:pPr>
    </w:p>
    <w:p w14:paraId="673DC186" w14:textId="77777777" w:rsidR="0069399F" w:rsidRPr="00FA5736" w:rsidRDefault="0069399F" w:rsidP="0069399F">
      <w:pPr>
        <w:jc w:val="both"/>
        <w:rPr>
          <w:b/>
          <w:bCs/>
          <w:sz w:val="22"/>
          <w:szCs w:val="22"/>
        </w:rPr>
      </w:pPr>
      <w:r w:rsidRPr="00FA5736">
        <w:rPr>
          <w:sz w:val="22"/>
          <w:szCs w:val="22"/>
        </w:rPr>
        <w:t>A</w:t>
      </w:r>
      <w:r w:rsidRPr="00FA5736">
        <w:rPr>
          <w:b/>
          <w:bCs/>
          <w:sz w:val="22"/>
          <w:szCs w:val="22"/>
        </w:rPr>
        <w:t>bout GEO-CM04S1</w:t>
      </w:r>
    </w:p>
    <w:p w14:paraId="4736224C" w14:textId="77777777" w:rsidR="0069399F" w:rsidRPr="00FA5736" w:rsidRDefault="0069399F" w:rsidP="0069399F">
      <w:pPr>
        <w:jc w:val="both"/>
        <w:rPr>
          <w:sz w:val="22"/>
          <w:szCs w:val="22"/>
        </w:rPr>
      </w:pPr>
    </w:p>
    <w:p w14:paraId="02CE97AD" w14:textId="7DA782CD" w:rsidR="0069399F" w:rsidRPr="00FA5736" w:rsidRDefault="0069399F" w:rsidP="0069399F">
      <w:pPr>
        <w:jc w:val="both"/>
        <w:rPr>
          <w:sz w:val="22"/>
          <w:szCs w:val="22"/>
        </w:rPr>
      </w:pPr>
      <w:r w:rsidRPr="7AC531A7">
        <w:rPr>
          <w:sz w:val="22"/>
          <w:szCs w:val="22"/>
        </w:rPr>
        <w:t xml:space="preserve">GEO-CM04S1 is based on GeoVax’s MVA viral vector platform, which supports the presentation of multiple vaccine antigens to the immune system in a single dose. GEO-CM04S1 encodes for both the spike (S) and nucleocapsid (N) antigens of SARS-CoV-2 and is specifically designed to induce both antibody and T-cell responses to those parts of the virus less likely to mutate over time. The more broadly functional engagement of the immune system is designed to protect against severe disease caused by continually emerging variants of COVID-19. Vaccines of this format should not require frequent and repeated modification or updating. </w:t>
      </w:r>
    </w:p>
    <w:p w14:paraId="4A9D8810" w14:textId="01035F6D" w:rsidR="0069399F" w:rsidRPr="00FA5736" w:rsidRDefault="0069399F" w:rsidP="0069399F">
      <w:pPr>
        <w:jc w:val="both"/>
        <w:rPr>
          <w:bCs/>
          <w:sz w:val="22"/>
          <w:szCs w:val="22"/>
        </w:rPr>
      </w:pPr>
    </w:p>
    <w:p w14:paraId="18799AD8" w14:textId="33ABD62F" w:rsidR="0069399F" w:rsidRPr="00FA5736" w:rsidRDefault="0069399F" w:rsidP="0069399F">
      <w:pPr>
        <w:jc w:val="both"/>
        <w:rPr>
          <w:bCs/>
          <w:sz w:val="22"/>
          <w:szCs w:val="22"/>
        </w:rPr>
      </w:pPr>
      <w:r w:rsidRPr="00FA5736">
        <w:rPr>
          <w:bCs/>
          <w:sz w:val="22"/>
          <w:szCs w:val="22"/>
        </w:rPr>
        <w:t xml:space="preserve">GEO-CM04S1 is </w:t>
      </w:r>
      <w:r>
        <w:rPr>
          <w:bCs/>
          <w:sz w:val="22"/>
          <w:szCs w:val="22"/>
        </w:rPr>
        <w:t xml:space="preserve">currently </w:t>
      </w:r>
      <w:r w:rsidRPr="00FA5736">
        <w:rPr>
          <w:bCs/>
          <w:sz w:val="22"/>
          <w:szCs w:val="22"/>
        </w:rPr>
        <w:t xml:space="preserve">being evaluated in </w:t>
      </w:r>
      <w:r>
        <w:rPr>
          <w:bCs/>
          <w:sz w:val="22"/>
          <w:szCs w:val="22"/>
        </w:rPr>
        <w:t>three</w:t>
      </w:r>
      <w:r w:rsidRPr="00FA5736">
        <w:rPr>
          <w:bCs/>
          <w:sz w:val="22"/>
          <w:szCs w:val="22"/>
        </w:rPr>
        <w:t xml:space="preserve"> </w:t>
      </w:r>
      <w:r>
        <w:rPr>
          <w:bCs/>
          <w:sz w:val="22"/>
          <w:szCs w:val="22"/>
        </w:rPr>
        <w:t>ongoing</w:t>
      </w:r>
      <w:r w:rsidRPr="00FA5736">
        <w:rPr>
          <w:bCs/>
          <w:sz w:val="22"/>
          <w:szCs w:val="22"/>
        </w:rPr>
        <w:t xml:space="preserve"> Phase 2 clinical trials:</w:t>
      </w:r>
    </w:p>
    <w:p w14:paraId="0C361076" w14:textId="27ED43AA" w:rsidR="0069399F" w:rsidRPr="00FA5736" w:rsidRDefault="0069399F" w:rsidP="0069399F">
      <w:pPr>
        <w:numPr>
          <w:ilvl w:val="0"/>
          <w:numId w:val="3"/>
        </w:numPr>
        <w:ind w:left="360"/>
        <w:jc w:val="both"/>
        <w:rPr>
          <w:sz w:val="22"/>
          <w:szCs w:val="22"/>
        </w:rPr>
      </w:pPr>
      <w:r w:rsidRPr="7AC531A7">
        <w:rPr>
          <w:sz w:val="22"/>
          <w:szCs w:val="22"/>
        </w:rPr>
        <w:t xml:space="preserve">As a primary vaccine in immunocompromised patients (with hematologic cancers receiving cell transplants or CAR-T therapy). ClinicalTrials.gov Identifier: </w:t>
      </w:r>
      <w:hyperlink r:id="rId10">
        <w:r w:rsidRPr="7AC531A7">
          <w:rPr>
            <w:rStyle w:val="Hyperlink"/>
            <w:sz w:val="22"/>
            <w:szCs w:val="22"/>
          </w:rPr>
          <w:t>NCT04977024</w:t>
        </w:r>
      </w:hyperlink>
      <w:r w:rsidRPr="7AC531A7">
        <w:rPr>
          <w:sz w:val="22"/>
          <w:szCs w:val="22"/>
        </w:rPr>
        <w:t>. A recent presentation of unpublished data from the open-label portion of the trial indicates that GEO-CM04S1 is highly immunogenic in these patients, inducing both antibody responses, including neutralizing antibodies, and T-cell responses.</w:t>
      </w:r>
    </w:p>
    <w:p w14:paraId="112236FE" w14:textId="4A889885" w:rsidR="0069399F" w:rsidRDefault="0069399F" w:rsidP="0069399F">
      <w:pPr>
        <w:numPr>
          <w:ilvl w:val="0"/>
          <w:numId w:val="3"/>
        </w:numPr>
        <w:ind w:left="360"/>
        <w:jc w:val="both"/>
        <w:rPr>
          <w:bCs/>
          <w:sz w:val="22"/>
          <w:szCs w:val="22"/>
        </w:rPr>
      </w:pPr>
      <w:r w:rsidRPr="00FA5736">
        <w:rPr>
          <w:bCs/>
          <w:sz w:val="22"/>
          <w:szCs w:val="22"/>
        </w:rPr>
        <w:t>As a booster vaccine in immunocompromised patients with chronic lymphocytic leukemia (CLL), a recognized high-risk group for whom current mRNA vaccines and monoclonal antibody (</w:t>
      </w:r>
      <w:proofErr w:type="spellStart"/>
      <w:r w:rsidRPr="00FA5736">
        <w:rPr>
          <w:bCs/>
          <w:sz w:val="22"/>
          <w:szCs w:val="22"/>
        </w:rPr>
        <w:t>MAb</w:t>
      </w:r>
      <w:proofErr w:type="spellEnd"/>
      <w:r w:rsidRPr="00FA5736">
        <w:rPr>
          <w:bCs/>
          <w:sz w:val="22"/>
          <w:szCs w:val="22"/>
        </w:rPr>
        <w:t xml:space="preserve">) therapies appear inadequate relative to providing protective immunity. ClinicalTrials.gov Identifier: </w:t>
      </w:r>
      <w:hyperlink r:id="rId11" w:history="1">
        <w:r w:rsidRPr="00FA5736">
          <w:rPr>
            <w:rStyle w:val="Hyperlink"/>
            <w:bCs/>
            <w:sz w:val="22"/>
            <w:szCs w:val="22"/>
          </w:rPr>
          <w:t>NCT05672355</w:t>
        </w:r>
      </w:hyperlink>
      <w:r w:rsidRPr="00FA5736">
        <w:rPr>
          <w:bCs/>
          <w:sz w:val="22"/>
          <w:szCs w:val="22"/>
        </w:rPr>
        <w:t>.</w:t>
      </w:r>
    </w:p>
    <w:p w14:paraId="68A4639F" w14:textId="77777777" w:rsidR="0069399F" w:rsidRPr="00FA5736" w:rsidRDefault="0069399F" w:rsidP="0069399F">
      <w:pPr>
        <w:numPr>
          <w:ilvl w:val="0"/>
          <w:numId w:val="3"/>
        </w:numPr>
        <w:ind w:left="360"/>
        <w:jc w:val="both"/>
        <w:rPr>
          <w:sz w:val="22"/>
          <w:szCs w:val="22"/>
        </w:rPr>
      </w:pPr>
      <w:r w:rsidRPr="00FA5736">
        <w:rPr>
          <w:sz w:val="22"/>
          <w:szCs w:val="22"/>
        </w:rPr>
        <w:t xml:space="preserve">As a booster vaccine for healthy </w:t>
      </w:r>
      <w:r>
        <w:rPr>
          <w:sz w:val="22"/>
          <w:szCs w:val="22"/>
        </w:rPr>
        <w:t>adults</w:t>
      </w:r>
      <w:r w:rsidRPr="00FA5736">
        <w:rPr>
          <w:sz w:val="22"/>
          <w:szCs w:val="22"/>
        </w:rPr>
        <w:t xml:space="preserve"> who have previously received the Pfizer or Moderna mRNA vaccine. </w:t>
      </w:r>
      <w:r w:rsidRPr="00FA5736">
        <w:rPr>
          <w:bCs/>
          <w:sz w:val="22"/>
          <w:szCs w:val="22"/>
        </w:rPr>
        <w:t xml:space="preserve">ClinicalTrials.gov Identifier: </w:t>
      </w:r>
      <w:hyperlink r:id="rId12" w:history="1">
        <w:r w:rsidRPr="00FA5736">
          <w:rPr>
            <w:rStyle w:val="Hyperlink"/>
            <w:bCs/>
            <w:sz w:val="22"/>
            <w:szCs w:val="22"/>
          </w:rPr>
          <w:t>NCT04639466</w:t>
        </w:r>
      </w:hyperlink>
      <w:r w:rsidRPr="00FA5736">
        <w:rPr>
          <w:sz w:val="22"/>
          <w:szCs w:val="22"/>
        </w:rPr>
        <w:t>.</w:t>
      </w:r>
    </w:p>
    <w:p w14:paraId="058EB131" w14:textId="77777777" w:rsidR="0069399F" w:rsidRPr="005352B9" w:rsidRDefault="0069399F" w:rsidP="0069399F">
      <w:pPr>
        <w:rPr>
          <w:sz w:val="22"/>
          <w:szCs w:val="22"/>
        </w:rPr>
      </w:pPr>
    </w:p>
    <w:p w14:paraId="4E3063E4" w14:textId="77777777" w:rsidR="0069399F" w:rsidRPr="007912D9" w:rsidRDefault="0069399F" w:rsidP="0069399F">
      <w:pPr>
        <w:widowControl w:val="0"/>
        <w:autoSpaceDE w:val="0"/>
        <w:autoSpaceDN w:val="0"/>
        <w:adjustRightInd w:val="0"/>
        <w:jc w:val="both"/>
        <w:outlineLvl w:val="0"/>
        <w:rPr>
          <w:rFonts w:eastAsia="SimSun"/>
          <w:color w:val="000000"/>
          <w:sz w:val="22"/>
          <w:szCs w:val="22"/>
        </w:rPr>
      </w:pPr>
      <w:bookmarkStart w:id="0" w:name="_Hlk135652404"/>
      <w:r w:rsidRPr="007912D9">
        <w:rPr>
          <w:rFonts w:eastAsia="SimSun"/>
          <w:b/>
          <w:bCs/>
          <w:color w:val="000000"/>
          <w:sz w:val="22"/>
          <w:szCs w:val="22"/>
        </w:rPr>
        <w:t>About GeoVax</w:t>
      </w:r>
    </w:p>
    <w:bookmarkEnd w:id="0"/>
    <w:p w14:paraId="3174F96C" w14:textId="77777777" w:rsidR="0069399F" w:rsidRPr="007912D9" w:rsidRDefault="0069399F" w:rsidP="0069399F">
      <w:pPr>
        <w:widowControl w:val="0"/>
        <w:autoSpaceDE w:val="0"/>
        <w:autoSpaceDN w:val="0"/>
        <w:adjustRightInd w:val="0"/>
        <w:jc w:val="both"/>
        <w:outlineLvl w:val="0"/>
        <w:rPr>
          <w:rFonts w:eastAsia="SimSun"/>
          <w:color w:val="000000"/>
          <w:sz w:val="22"/>
          <w:szCs w:val="22"/>
        </w:rPr>
      </w:pPr>
    </w:p>
    <w:p w14:paraId="6F9164AC" w14:textId="77777777" w:rsidR="0069399F" w:rsidRPr="007912D9" w:rsidRDefault="0069399F" w:rsidP="0069399F">
      <w:pPr>
        <w:widowControl w:val="0"/>
        <w:autoSpaceDE w:val="0"/>
        <w:autoSpaceDN w:val="0"/>
        <w:adjustRightInd w:val="0"/>
        <w:jc w:val="both"/>
        <w:outlineLvl w:val="0"/>
        <w:rPr>
          <w:rFonts w:eastAsia="SimSun"/>
          <w:color w:val="000000"/>
          <w:sz w:val="22"/>
          <w:szCs w:val="22"/>
        </w:rPr>
      </w:pPr>
      <w:r w:rsidRPr="007912D9">
        <w:rPr>
          <w:rFonts w:eastAsia="SimSun"/>
          <w:color w:val="000000"/>
          <w:sz w:val="22"/>
          <w:szCs w:val="22"/>
        </w:rPr>
        <w:t>GeoVax Labs, Inc. is a clinical-stage biotechnology company developing novel therapies and vaccines for solid tumor cancers and many of the world’s most threatening infectious diseases. The company’s lead program in oncology is a novel oncolytic solid tumor gene-directed therapy, Gedeptin</w:t>
      </w:r>
      <w:r w:rsidRPr="007912D9">
        <w:rPr>
          <w:rFonts w:eastAsia="SimSun"/>
          <w:color w:val="000000"/>
          <w:sz w:val="22"/>
          <w:szCs w:val="22"/>
          <w:vertAlign w:val="superscript"/>
        </w:rPr>
        <w:t>®</w:t>
      </w:r>
      <w:r w:rsidRPr="007912D9">
        <w:rPr>
          <w:rFonts w:eastAsia="SimSun"/>
          <w:color w:val="000000"/>
          <w:sz w:val="22"/>
          <w:szCs w:val="22"/>
        </w:rPr>
        <w:t xml:space="preserve">, </w:t>
      </w:r>
      <w:r>
        <w:rPr>
          <w:rFonts w:eastAsia="SimSun"/>
          <w:color w:val="000000"/>
          <w:sz w:val="22"/>
          <w:szCs w:val="22"/>
        </w:rPr>
        <w:t>which recently completed enrollment in a</w:t>
      </w:r>
      <w:r w:rsidRPr="007912D9">
        <w:rPr>
          <w:rFonts w:eastAsia="SimSun"/>
          <w:color w:val="000000"/>
          <w:sz w:val="22"/>
          <w:szCs w:val="22"/>
        </w:rPr>
        <w:t xml:space="preserve"> multicenter Phase 1/2 clinical trial for advanced head and neck cancers. GeoVax’s lead infectious disease candidate is GEO-CM04S1, a next-generation </w:t>
      </w:r>
      <w:r>
        <w:rPr>
          <w:rFonts w:eastAsia="SimSun"/>
          <w:color w:val="000000"/>
          <w:sz w:val="22"/>
          <w:szCs w:val="22"/>
        </w:rPr>
        <w:t>COVID</w:t>
      </w:r>
      <w:r w:rsidRPr="007912D9">
        <w:rPr>
          <w:rFonts w:eastAsia="SimSun"/>
          <w:color w:val="000000"/>
          <w:sz w:val="22"/>
          <w:szCs w:val="22"/>
        </w:rPr>
        <w:t xml:space="preserve">-19 vaccine targeting high-risk immunocompromised patient populations. Currently in three Phase 2 clinical trials, GEO-CM04S1 is being evaluated as a primary vaccine for immunocompromised patients such as those suffering from hematologic cancers and other patient populations for whom the current authorized </w:t>
      </w:r>
      <w:r>
        <w:rPr>
          <w:rFonts w:eastAsia="SimSun"/>
          <w:color w:val="000000"/>
          <w:sz w:val="22"/>
          <w:szCs w:val="22"/>
        </w:rPr>
        <w:t>COVID</w:t>
      </w:r>
      <w:r w:rsidRPr="007912D9">
        <w:rPr>
          <w:rFonts w:eastAsia="SimSun"/>
          <w:color w:val="000000"/>
          <w:sz w:val="22"/>
          <w:szCs w:val="22"/>
        </w:rPr>
        <w:t xml:space="preserve">-19 vaccines are insufficient, and as a booster vaccine in patients with chronic lymphocytic leukemia (CLL). In addition, GEO-CM04S1 is in a Phase 2 clinical trial evaluating the vaccine as a more robust, durable </w:t>
      </w:r>
      <w:r>
        <w:rPr>
          <w:rFonts w:eastAsia="SimSun"/>
          <w:color w:val="000000"/>
          <w:sz w:val="22"/>
          <w:szCs w:val="22"/>
        </w:rPr>
        <w:t>COVID</w:t>
      </w:r>
      <w:r w:rsidRPr="007912D9">
        <w:rPr>
          <w:rFonts w:eastAsia="SimSun"/>
          <w:color w:val="000000"/>
          <w:sz w:val="22"/>
          <w:szCs w:val="22"/>
        </w:rPr>
        <w:t>-19 booster among healthy patients who previously received the mRNA vaccines. GeoVax has a leadership team who have driven significant value creation across multiple life science companies over the past several decades. For more information, visit our website: www.geovax.com.</w:t>
      </w:r>
    </w:p>
    <w:p w14:paraId="37CFFC6B" w14:textId="77777777" w:rsidR="0069399F" w:rsidRPr="00F00B51" w:rsidRDefault="0069399F" w:rsidP="0069399F">
      <w:pPr>
        <w:rPr>
          <w:rFonts w:eastAsia="SimSun"/>
          <w:bCs/>
          <w:sz w:val="22"/>
          <w:szCs w:val="22"/>
        </w:rPr>
      </w:pPr>
    </w:p>
    <w:p w14:paraId="411357EF" w14:textId="77777777" w:rsidR="0069399F" w:rsidRPr="00F00B51" w:rsidRDefault="0069399F" w:rsidP="0069399F">
      <w:pPr>
        <w:jc w:val="both"/>
        <w:rPr>
          <w:rFonts w:eastAsia="SimSun"/>
          <w:i/>
          <w:iCs/>
          <w:sz w:val="20"/>
        </w:rPr>
      </w:pPr>
      <w:r w:rsidRPr="00F00B51">
        <w:rPr>
          <w:rFonts w:eastAsia="SimSun"/>
          <w:i/>
          <w:iCs/>
          <w:sz w:val="20"/>
        </w:rPr>
        <w:t>Forward-Looking Statements</w:t>
      </w:r>
    </w:p>
    <w:p w14:paraId="1E21351B" w14:textId="77777777" w:rsidR="0069399F" w:rsidRPr="00F00B51" w:rsidRDefault="0069399F" w:rsidP="0069399F">
      <w:pPr>
        <w:shd w:val="clear" w:color="auto" w:fill="FFFFFF"/>
        <w:jc w:val="both"/>
        <w:rPr>
          <w:rFonts w:eastAsia="SimSun"/>
          <w:i/>
          <w:iCs/>
          <w:sz w:val="20"/>
        </w:rPr>
      </w:pPr>
    </w:p>
    <w:p w14:paraId="7AFF1902" w14:textId="533CAFB3" w:rsidR="0069399F" w:rsidRPr="00F00B51" w:rsidRDefault="0069399F" w:rsidP="0069399F">
      <w:pPr>
        <w:shd w:val="clear" w:color="auto" w:fill="FFFFFF"/>
        <w:jc w:val="both"/>
        <w:rPr>
          <w:rFonts w:eastAsia="SimSun"/>
          <w:i/>
          <w:iCs/>
          <w:sz w:val="20"/>
        </w:rPr>
      </w:pPr>
      <w:r w:rsidRPr="00F00B51">
        <w:rPr>
          <w:rFonts w:eastAsia="SimSun"/>
          <w:i/>
          <w:iCs/>
          <w:sz w:val="20"/>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licensed and marketed, GeoVax raises required capital to complete development, there is development of </w:t>
      </w:r>
      <w:r w:rsidRPr="00F00B51">
        <w:rPr>
          <w:rFonts w:eastAsia="SimSun"/>
          <w:i/>
          <w:iCs/>
          <w:sz w:val="20"/>
        </w:rPr>
        <w:lastRenderedPageBreak/>
        <w:t xml:space="preserve">competitive products that may be more effective or easier to use than GeoVax’s products, GeoVax will be able to enter into favorable manufacturing and distribution agreements, and other factors, over which GeoVax has no control. </w:t>
      </w:r>
    </w:p>
    <w:p w14:paraId="276F5784" w14:textId="77777777" w:rsidR="0069399F" w:rsidRPr="00F00B51" w:rsidRDefault="0069399F" w:rsidP="0069399F">
      <w:pPr>
        <w:shd w:val="clear" w:color="auto" w:fill="FFFFFF"/>
        <w:jc w:val="both"/>
        <w:rPr>
          <w:rFonts w:eastAsia="SimSun"/>
          <w:i/>
          <w:iCs/>
          <w:sz w:val="20"/>
        </w:rPr>
      </w:pPr>
    </w:p>
    <w:p w14:paraId="757D2B1B" w14:textId="6CBB930F" w:rsidR="0069399F" w:rsidRPr="003E5F64" w:rsidRDefault="0069399F" w:rsidP="0069399F">
      <w:pPr>
        <w:shd w:val="clear" w:color="auto" w:fill="FFFFFF"/>
        <w:jc w:val="both"/>
        <w:rPr>
          <w:rFonts w:eastAsia="SimSun"/>
          <w:i/>
          <w:iCs/>
          <w:sz w:val="20"/>
        </w:rPr>
      </w:pPr>
      <w:r w:rsidRPr="00F00B51">
        <w:rPr>
          <w:rFonts w:eastAsia="SimSun"/>
          <w:i/>
          <w:iCs/>
          <w:sz w:val="20"/>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F00B51">
        <w:rPr>
          <w:rFonts w:eastAsia="SimSun"/>
          <w:i/>
          <w:iCs/>
          <w:sz w:val="20"/>
        </w:rPr>
        <w:t>as a result of</w:t>
      </w:r>
      <w:proofErr w:type="gramEnd"/>
      <w:r w:rsidRPr="00F00B51">
        <w:rPr>
          <w:rFonts w:eastAsia="SimSun"/>
          <w:i/>
          <w:iCs/>
          <w:sz w:val="20"/>
        </w:rPr>
        <w:t xml:space="preserve"> new information, future developments or otherwise, except as may be required by law. </w:t>
      </w:r>
    </w:p>
    <w:p w14:paraId="5DEBA7F0" w14:textId="77777777" w:rsidR="0069399F" w:rsidRDefault="0069399F" w:rsidP="0069399F">
      <w:pPr>
        <w:jc w:val="both"/>
        <w:rPr>
          <w:bCs/>
          <w:sz w:val="22"/>
          <w:szCs w:val="22"/>
        </w:rPr>
      </w:pPr>
    </w:p>
    <w:p w14:paraId="34968937" w14:textId="1030E2ED" w:rsidR="0069399F" w:rsidRPr="00141F05" w:rsidRDefault="0069399F" w:rsidP="0069399F">
      <w:pPr>
        <w:jc w:val="both"/>
        <w:rPr>
          <w:bCs/>
          <w:sz w:val="22"/>
          <w:szCs w:val="22"/>
        </w:rPr>
      </w:pPr>
    </w:p>
    <w:p w14:paraId="0E1AD375" w14:textId="6ACFB501" w:rsidR="0069399F" w:rsidRPr="00141F05" w:rsidRDefault="0069399F" w:rsidP="0069399F">
      <w:pPr>
        <w:tabs>
          <w:tab w:val="left" w:pos="2880"/>
          <w:tab w:val="left" w:pos="6480"/>
        </w:tabs>
        <w:jc w:val="both"/>
        <w:rPr>
          <w:b/>
          <w:sz w:val="22"/>
          <w:szCs w:val="22"/>
        </w:rPr>
      </w:pPr>
      <w:r w:rsidRPr="00141F05">
        <w:rPr>
          <w:b/>
          <w:sz w:val="22"/>
          <w:szCs w:val="22"/>
        </w:rPr>
        <w:t>Company Contact:</w:t>
      </w:r>
      <w:r w:rsidRPr="00141F05">
        <w:rPr>
          <w:b/>
          <w:sz w:val="22"/>
          <w:szCs w:val="22"/>
        </w:rPr>
        <w:tab/>
        <w:t>Investor Relations Contact:</w:t>
      </w:r>
      <w:r w:rsidRPr="00141F05">
        <w:rPr>
          <w:b/>
          <w:sz w:val="22"/>
          <w:szCs w:val="22"/>
        </w:rPr>
        <w:tab/>
        <w:t>Media Contact:</w:t>
      </w:r>
    </w:p>
    <w:p w14:paraId="362EE621" w14:textId="77777777" w:rsidR="0069399F" w:rsidRPr="004D08CB" w:rsidRDefault="0069399F" w:rsidP="0069399F">
      <w:pPr>
        <w:tabs>
          <w:tab w:val="left" w:pos="2880"/>
          <w:tab w:val="left" w:pos="6480"/>
        </w:tabs>
        <w:jc w:val="both"/>
      </w:pPr>
      <w:hyperlink r:id="rId13" w:history="1">
        <w:r w:rsidRPr="00141F05">
          <w:rPr>
            <w:rStyle w:val="Hyperlink"/>
            <w:bCs/>
            <w:sz w:val="22"/>
            <w:szCs w:val="22"/>
          </w:rPr>
          <w:t>info@geovax.com</w:t>
        </w:r>
      </w:hyperlink>
      <w:r w:rsidRPr="00141F05">
        <w:rPr>
          <w:bCs/>
          <w:sz w:val="22"/>
          <w:szCs w:val="22"/>
        </w:rPr>
        <w:tab/>
      </w:r>
      <w:hyperlink r:id="rId14" w:history="1">
        <w:r w:rsidRPr="00BF0A89">
          <w:rPr>
            <w:rStyle w:val="Hyperlink"/>
          </w:rPr>
          <w:t>austin.murtagh@precisionaq.com</w:t>
        </w:r>
      </w:hyperlink>
      <w:r>
        <w:tab/>
      </w:r>
      <w:hyperlink r:id="rId15" w:history="1">
        <w:r w:rsidRPr="00293AE0">
          <w:rPr>
            <w:rStyle w:val="Hyperlink"/>
            <w:bCs/>
            <w:sz w:val="22"/>
            <w:szCs w:val="22"/>
          </w:rPr>
          <w:t>sr@roberts-communications.com</w:t>
        </w:r>
      </w:hyperlink>
    </w:p>
    <w:p w14:paraId="403F436D" w14:textId="77777777" w:rsidR="0069399F" w:rsidRPr="00141F05" w:rsidRDefault="0069399F" w:rsidP="0069399F">
      <w:pPr>
        <w:tabs>
          <w:tab w:val="left" w:pos="2880"/>
          <w:tab w:val="left" w:pos="6480"/>
        </w:tabs>
        <w:jc w:val="both"/>
        <w:rPr>
          <w:bCs/>
          <w:sz w:val="22"/>
          <w:szCs w:val="22"/>
        </w:rPr>
      </w:pPr>
      <w:r w:rsidRPr="00141F05">
        <w:rPr>
          <w:bCs/>
          <w:sz w:val="22"/>
          <w:szCs w:val="22"/>
        </w:rPr>
        <w:t>678-384-7220</w:t>
      </w:r>
      <w:r w:rsidRPr="00141F05">
        <w:rPr>
          <w:bCs/>
          <w:sz w:val="22"/>
          <w:szCs w:val="22"/>
        </w:rPr>
        <w:tab/>
      </w:r>
      <w:r>
        <w:rPr>
          <w:bCs/>
          <w:sz w:val="22"/>
          <w:szCs w:val="22"/>
        </w:rPr>
        <w:t>212-698-8696</w:t>
      </w:r>
      <w:r w:rsidRPr="00141F05">
        <w:rPr>
          <w:bCs/>
          <w:sz w:val="22"/>
          <w:szCs w:val="22"/>
        </w:rPr>
        <w:tab/>
        <w:t>202-779-0929</w:t>
      </w:r>
    </w:p>
    <w:p w14:paraId="560A725B" w14:textId="77777777" w:rsidR="0069399F" w:rsidRPr="00141F05" w:rsidRDefault="0069399F" w:rsidP="0069399F">
      <w:pPr>
        <w:widowControl w:val="0"/>
        <w:shd w:val="clear" w:color="auto" w:fill="FFFFFF"/>
        <w:autoSpaceDE w:val="0"/>
        <w:autoSpaceDN w:val="0"/>
        <w:adjustRightInd w:val="0"/>
        <w:spacing w:after="120"/>
        <w:jc w:val="both"/>
        <w:rPr>
          <w:color w:val="000000" w:themeColor="text1"/>
          <w:sz w:val="22"/>
          <w:szCs w:val="22"/>
        </w:rPr>
      </w:pPr>
    </w:p>
    <w:p w14:paraId="69D1EB04" w14:textId="4CA86432" w:rsidR="0069399F" w:rsidRPr="00141F05" w:rsidRDefault="0069399F" w:rsidP="0069399F">
      <w:pPr>
        <w:tabs>
          <w:tab w:val="left" w:pos="5040"/>
        </w:tabs>
        <w:rPr>
          <w:sz w:val="22"/>
          <w:szCs w:val="22"/>
        </w:rPr>
      </w:pPr>
    </w:p>
    <w:p w14:paraId="3531F01D" w14:textId="2EC76D17" w:rsidR="0069399F" w:rsidRPr="003E5F64" w:rsidRDefault="0069399F" w:rsidP="0069399F">
      <w:pPr>
        <w:tabs>
          <w:tab w:val="left" w:pos="2880"/>
          <w:tab w:val="left" w:pos="6480"/>
        </w:tabs>
        <w:jc w:val="both"/>
        <w:rPr>
          <w:bCs/>
          <w:sz w:val="22"/>
          <w:szCs w:val="22"/>
        </w:rPr>
      </w:pPr>
    </w:p>
    <w:p w14:paraId="2B519A86" w14:textId="083BE1F3" w:rsidR="004B3179" w:rsidRPr="008D7E3A" w:rsidRDefault="004B3179" w:rsidP="008D7E3A"/>
    <w:sectPr w:rsidR="004B3179" w:rsidRPr="008D7E3A" w:rsidSect="0069399F">
      <w:footerReference w:type="default" r:id="rId16"/>
      <w:headerReference w:type="first" r:id="rId17"/>
      <w:pgSz w:w="12240" w:h="15840" w:code="1"/>
      <w:pgMar w:top="720" w:right="1008"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7398F" w14:textId="77777777" w:rsidR="00D573BA" w:rsidRDefault="00D573BA" w:rsidP="004422FB">
      <w:r>
        <w:separator/>
      </w:r>
    </w:p>
  </w:endnote>
  <w:endnote w:type="continuationSeparator" w:id="0">
    <w:p w14:paraId="2EFDF810" w14:textId="77777777" w:rsidR="00D573BA" w:rsidRDefault="00D573BA"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6572" w14:textId="77777777" w:rsidR="0069399F" w:rsidRDefault="0069399F" w:rsidP="00965DF2">
    <w:pPr>
      <w:pStyle w:val="Footer"/>
      <w:jc w:val="center"/>
      <w:rPr>
        <w:b/>
      </w:rPr>
    </w:pPr>
    <w:r>
      <w:rPr>
        <w:b/>
      </w:rPr>
      <w:t>###</w:t>
    </w:r>
  </w:p>
  <w:p w14:paraId="30A1A93F" w14:textId="77777777" w:rsidR="0069399F" w:rsidRDefault="0069399F" w:rsidP="00016F5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15EFD" w14:textId="77777777" w:rsidR="00D573BA" w:rsidRDefault="00D573BA" w:rsidP="004422FB">
      <w:r>
        <w:separator/>
      </w:r>
    </w:p>
  </w:footnote>
  <w:footnote w:type="continuationSeparator" w:id="0">
    <w:p w14:paraId="4E5F918F" w14:textId="77777777" w:rsidR="00D573BA" w:rsidRDefault="00D573BA"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BFFC9" w14:textId="77777777" w:rsidR="0069399F" w:rsidRDefault="0069399F">
    <w:pPr>
      <w:pStyle w:val="Header"/>
    </w:pPr>
    <w:r w:rsidRPr="005777BA">
      <w:rPr>
        <w:b/>
        <w:noProof/>
      </w:rPr>
      <w:drawing>
        <wp:inline distT="0" distB="0" distL="0" distR="0" wp14:anchorId="37C73F0B" wp14:editId="71CA69F3">
          <wp:extent cx="1892878" cy="501875"/>
          <wp:effectExtent l="19050" t="0" r="0" b="0"/>
          <wp:docPr id="1"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DB76FF"/>
    <w:multiLevelType w:val="hybridMultilevel"/>
    <w:tmpl w:val="CD6E7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7875">
    <w:abstractNumId w:val="1"/>
  </w:num>
  <w:num w:numId="2" w16cid:durableId="1845196331">
    <w:abstractNumId w:val="2"/>
  </w:num>
  <w:num w:numId="3" w16cid:durableId="197848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2582A"/>
    <w:rsid w:val="000520F7"/>
    <w:rsid w:val="000871C8"/>
    <w:rsid w:val="00087359"/>
    <w:rsid w:val="00096511"/>
    <w:rsid w:val="000A0411"/>
    <w:rsid w:val="000D09FD"/>
    <w:rsid w:val="000E6508"/>
    <w:rsid w:val="00134BBC"/>
    <w:rsid w:val="00144D4F"/>
    <w:rsid w:val="00153CF3"/>
    <w:rsid w:val="00172B54"/>
    <w:rsid w:val="00186A50"/>
    <w:rsid w:val="001A687F"/>
    <w:rsid w:val="001D3520"/>
    <w:rsid w:val="002049D0"/>
    <w:rsid w:val="00220F69"/>
    <w:rsid w:val="00241DEF"/>
    <w:rsid w:val="00246139"/>
    <w:rsid w:val="00277674"/>
    <w:rsid w:val="00285865"/>
    <w:rsid w:val="00296B2F"/>
    <w:rsid w:val="00296BF7"/>
    <w:rsid w:val="002E7A44"/>
    <w:rsid w:val="002F020C"/>
    <w:rsid w:val="002F47BC"/>
    <w:rsid w:val="00304DE8"/>
    <w:rsid w:val="00316FE1"/>
    <w:rsid w:val="0033114F"/>
    <w:rsid w:val="0036369E"/>
    <w:rsid w:val="003643C1"/>
    <w:rsid w:val="00376DEC"/>
    <w:rsid w:val="00387407"/>
    <w:rsid w:val="003B3474"/>
    <w:rsid w:val="003B670F"/>
    <w:rsid w:val="003F3DEB"/>
    <w:rsid w:val="00401F33"/>
    <w:rsid w:val="00404B0F"/>
    <w:rsid w:val="00414E31"/>
    <w:rsid w:val="004268BD"/>
    <w:rsid w:val="004422FB"/>
    <w:rsid w:val="004433D8"/>
    <w:rsid w:val="00443A0F"/>
    <w:rsid w:val="004562CE"/>
    <w:rsid w:val="004641B9"/>
    <w:rsid w:val="00494777"/>
    <w:rsid w:val="004B3179"/>
    <w:rsid w:val="004C2859"/>
    <w:rsid w:val="004D4E0A"/>
    <w:rsid w:val="004F383B"/>
    <w:rsid w:val="00551D4D"/>
    <w:rsid w:val="00552D47"/>
    <w:rsid w:val="00583D37"/>
    <w:rsid w:val="00596CDF"/>
    <w:rsid w:val="005A1F60"/>
    <w:rsid w:val="005C720E"/>
    <w:rsid w:val="006131D7"/>
    <w:rsid w:val="00652DCC"/>
    <w:rsid w:val="00677F25"/>
    <w:rsid w:val="00691E45"/>
    <w:rsid w:val="0069399F"/>
    <w:rsid w:val="006959EC"/>
    <w:rsid w:val="006A28E6"/>
    <w:rsid w:val="006A30B4"/>
    <w:rsid w:val="006B4011"/>
    <w:rsid w:val="006C4831"/>
    <w:rsid w:val="006E7AA3"/>
    <w:rsid w:val="007150B5"/>
    <w:rsid w:val="00716A75"/>
    <w:rsid w:val="00734084"/>
    <w:rsid w:val="00766EB9"/>
    <w:rsid w:val="0077253D"/>
    <w:rsid w:val="007B1C14"/>
    <w:rsid w:val="007B5113"/>
    <w:rsid w:val="007C095B"/>
    <w:rsid w:val="007D7D8A"/>
    <w:rsid w:val="007E3D57"/>
    <w:rsid w:val="00833F99"/>
    <w:rsid w:val="00846F5B"/>
    <w:rsid w:val="00862E4C"/>
    <w:rsid w:val="00890CB9"/>
    <w:rsid w:val="0089446A"/>
    <w:rsid w:val="008A3A73"/>
    <w:rsid w:val="008A45B8"/>
    <w:rsid w:val="008A5F28"/>
    <w:rsid w:val="008B7616"/>
    <w:rsid w:val="008D7E3A"/>
    <w:rsid w:val="008E4E77"/>
    <w:rsid w:val="00903941"/>
    <w:rsid w:val="00922B4A"/>
    <w:rsid w:val="00922FCF"/>
    <w:rsid w:val="0095070C"/>
    <w:rsid w:val="0098124B"/>
    <w:rsid w:val="00995863"/>
    <w:rsid w:val="009B15B2"/>
    <w:rsid w:val="009B2328"/>
    <w:rsid w:val="009F100B"/>
    <w:rsid w:val="009F16FD"/>
    <w:rsid w:val="009F32C7"/>
    <w:rsid w:val="009F7B30"/>
    <w:rsid w:val="00A213F5"/>
    <w:rsid w:val="00A30573"/>
    <w:rsid w:val="00A7343F"/>
    <w:rsid w:val="00A7489D"/>
    <w:rsid w:val="00A7711D"/>
    <w:rsid w:val="00AA2DDC"/>
    <w:rsid w:val="00AA3D35"/>
    <w:rsid w:val="00B02C57"/>
    <w:rsid w:val="00B2632B"/>
    <w:rsid w:val="00B44E7B"/>
    <w:rsid w:val="00B4616E"/>
    <w:rsid w:val="00B4673C"/>
    <w:rsid w:val="00B51502"/>
    <w:rsid w:val="00B61191"/>
    <w:rsid w:val="00B66B45"/>
    <w:rsid w:val="00BA3AF4"/>
    <w:rsid w:val="00BB7014"/>
    <w:rsid w:val="00BC0F2B"/>
    <w:rsid w:val="00BC6263"/>
    <w:rsid w:val="00BC6551"/>
    <w:rsid w:val="00BF415F"/>
    <w:rsid w:val="00C36B57"/>
    <w:rsid w:val="00C528BC"/>
    <w:rsid w:val="00C53991"/>
    <w:rsid w:val="00C77462"/>
    <w:rsid w:val="00C815CE"/>
    <w:rsid w:val="00C936D4"/>
    <w:rsid w:val="00CB1EAA"/>
    <w:rsid w:val="00CB3D5C"/>
    <w:rsid w:val="00CC52F4"/>
    <w:rsid w:val="00CD55C2"/>
    <w:rsid w:val="00CE3919"/>
    <w:rsid w:val="00CE3B4D"/>
    <w:rsid w:val="00D03053"/>
    <w:rsid w:val="00D128D7"/>
    <w:rsid w:val="00D17971"/>
    <w:rsid w:val="00D46FAD"/>
    <w:rsid w:val="00D573BA"/>
    <w:rsid w:val="00D60567"/>
    <w:rsid w:val="00D74319"/>
    <w:rsid w:val="00D95C48"/>
    <w:rsid w:val="00DE728B"/>
    <w:rsid w:val="00E115D3"/>
    <w:rsid w:val="00E633E7"/>
    <w:rsid w:val="00EB5CF9"/>
    <w:rsid w:val="00EC3F8A"/>
    <w:rsid w:val="00F073F4"/>
    <w:rsid w:val="00F100FC"/>
    <w:rsid w:val="00F13A9C"/>
    <w:rsid w:val="00F228DB"/>
    <w:rsid w:val="00F27385"/>
    <w:rsid w:val="00F404C4"/>
    <w:rsid w:val="00F470EC"/>
    <w:rsid w:val="00F53643"/>
    <w:rsid w:val="00F65C64"/>
    <w:rsid w:val="00F737D0"/>
    <w:rsid w:val="00F958BB"/>
    <w:rsid w:val="00FD1599"/>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22FB"/>
    <w:pPr>
      <w:tabs>
        <w:tab w:val="center" w:pos="4680"/>
        <w:tab w:val="right" w:pos="9360"/>
      </w:tabs>
    </w:pPr>
  </w:style>
  <w:style w:type="character" w:customStyle="1" w:styleId="HeaderChar">
    <w:name w:val="Header Char"/>
    <w:basedOn w:val="DefaultParagraphFont"/>
    <w:link w:val="Header"/>
    <w:rsid w:val="004422FB"/>
    <w:rPr>
      <w:sz w:val="24"/>
      <w:szCs w:val="24"/>
    </w:rPr>
  </w:style>
  <w:style w:type="paragraph" w:styleId="Footer">
    <w:name w:val="footer"/>
    <w:basedOn w:val="Normal"/>
    <w:link w:val="FooterChar"/>
    <w:unhideWhenUsed/>
    <w:rsid w:val="004422FB"/>
    <w:pPr>
      <w:tabs>
        <w:tab w:val="center" w:pos="4680"/>
        <w:tab w:val="right" w:pos="9360"/>
      </w:tabs>
    </w:pPr>
  </w:style>
  <w:style w:type="character" w:customStyle="1" w:styleId="FooterChar">
    <w:name w:val="Footer Char"/>
    <w:basedOn w:val="DefaultParagraphFont"/>
    <w:link w:val="Footer"/>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99678">
      <w:bodyDiv w:val="1"/>
      <w:marLeft w:val="0"/>
      <w:marRight w:val="0"/>
      <w:marTop w:val="0"/>
      <w:marBottom w:val="0"/>
      <w:divBdr>
        <w:top w:val="none" w:sz="0" w:space="0" w:color="auto"/>
        <w:left w:val="none" w:sz="0" w:space="0" w:color="auto"/>
        <w:bottom w:val="none" w:sz="0" w:space="0" w:color="auto"/>
        <w:right w:val="none" w:sz="0" w:space="0" w:color="auto"/>
      </w:divBdr>
    </w:div>
    <w:div w:id="864247956">
      <w:bodyDiv w:val="1"/>
      <w:marLeft w:val="0"/>
      <w:marRight w:val="0"/>
      <w:marTop w:val="0"/>
      <w:marBottom w:val="0"/>
      <w:divBdr>
        <w:top w:val="none" w:sz="0" w:space="0" w:color="auto"/>
        <w:left w:val="none" w:sz="0" w:space="0" w:color="auto"/>
        <w:bottom w:val="none" w:sz="0" w:space="0" w:color="auto"/>
        <w:right w:val="none" w:sz="0" w:space="0" w:color="auto"/>
      </w:divBdr>
    </w:div>
    <w:div w:id="873468250">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 w:id="208556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geova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inicaltrials.gov/ct2/show/NCT04639466?term=COH04S1&amp;draw=2&amp;rank=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c.clinicaltrials.gov/ct2/show/NCT05672355" TargetMode="External"/><Relationship Id="rId5" Type="http://schemas.openxmlformats.org/officeDocument/2006/relationships/webSettings" Target="webSettings.xml"/><Relationship Id="rId15" Type="http://schemas.openxmlformats.org/officeDocument/2006/relationships/hyperlink" Target="mailto:sr@roberts-communications.com" TargetMode="External"/><Relationship Id="rId10" Type="http://schemas.openxmlformats.org/officeDocument/2006/relationships/hyperlink" Target="https://www.clinicaltrials.gov/ct2/show/NCT04977024?term=COH04S1&amp;draw=2&amp;ra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dicalcountermeasures.gov/nextgen" TargetMode="External"/><Relationship Id="rId14" Type="http://schemas.openxmlformats.org/officeDocument/2006/relationships/hyperlink" Target="mailto:austin.murtagh@precisiona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cp:lastPrinted>2022-05-03T12:55:00Z</cp:lastPrinted>
  <dcterms:created xsi:type="dcterms:W3CDTF">2024-06-18T17:11:00Z</dcterms:created>
  <dcterms:modified xsi:type="dcterms:W3CDTF">2024-06-18T17:11:00Z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