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2AFC20" w14:textId="77777777" w:rsidR="008D7E3A" w:rsidRDefault="008D7E3A" w:rsidP="008D7E3A">
      <w:pPr>
        <w:ind w:left="144" w:right="144"/>
        <w:rPr>
          <w:sz w:val="20"/>
          <w:szCs w:val="20"/>
        </w:rPr>
      </w:pPr>
      <w:r>
        <w:rPr>
          <w:sz w:val="20"/>
          <w:szCs w:val="20"/>
        </w:rPr>
        <w:t> </w:t>
      </w:r>
    </w:p>
    <w:p w14:paraId="11173570" w14:textId="77777777" w:rsidR="008D7E3A" w:rsidRDefault="008D7E3A" w:rsidP="008D7E3A">
      <w:pPr>
        <w:ind w:left="144" w:right="144"/>
        <w:rPr>
          <w:sz w:val="20"/>
          <w:szCs w:val="20"/>
        </w:rPr>
      </w:pPr>
      <w:r>
        <w:rPr>
          <w:sz w:val="20"/>
          <w:szCs w:val="20"/>
        </w:rPr>
        <w:t> </w:t>
      </w:r>
    </w:p>
    <w:p w14:paraId="4269CD0C" w14:textId="77777777" w:rsidR="008D7E3A" w:rsidRDefault="008D7E3A" w:rsidP="008D7E3A">
      <w:pPr>
        <w:ind w:left="144" w:right="144"/>
        <w:jc w:val="center"/>
        <w:rPr>
          <w:sz w:val="36"/>
          <w:szCs w:val="36"/>
        </w:rPr>
      </w:pPr>
      <w:r>
        <w:rPr>
          <w:b/>
          <w:bCs/>
          <w:sz w:val="36"/>
          <w:szCs w:val="36"/>
        </w:rPr>
        <w:t>SECURITIES AND EXCHANGE COMMISSION</w:t>
      </w:r>
    </w:p>
    <w:p w14:paraId="6FEC2A83" w14:textId="77777777" w:rsidR="008D7E3A" w:rsidRDefault="008D7E3A" w:rsidP="008D7E3A">
      <w:pPr>
        <w:ind w:left="144" w:right="144"/>
        <w:jc w:val="center"/>
        <w:rPr>
          <w:sz w:val="20"/>
          <w:szCs w:val="20"/>
        </w:rPr>
      </w:pPr>
      <w:r>
        <w:rPr>
          <w:b/>
          <w:bCs/>
          <w:sz w:val="20"/>
          <w:szCs w:val="20"/>
        </w:rPr>
        <w:t>WASHINGTON, D.C. 20549</w:t>
      </w:r>
      <w:r>
        <w:rPr>
          <w:sz w:val="20"/>
          <w:szCs w:val="20"/>
        </w:rPr>
        <w:t> </w:t>
      </w:r>
    </w:p>
    <w:p w14:paraId="5227C5AC" w14:textId="77777777" w:rsidR="008D7E3A" w:rsidRDefault="008D7E3A" w:rsidP="008D7E3A">
      <w:pPr>
        <w:ind w:left="144" w:right="144"/>
        <w:jc w:val="center"/>
        <w:rPr>
          <w:sz w:val="20"/>
          <w:szCs w:val="20"/>
        </w:rPr>
      </w:pPr>
      <w:r>
        <w:rPr>
          <w:sz w:val="20"/>
          <w:szCs w:val="20"/>
        </w:rPr>
        <w:t> </w:t>
      </w:r>
    </w:p>
    <w:p w14:paraId="5AD7287B" w14:textId="77777777" w:rsidR="008D7E3A" w:rsidRDefault="00854D59" w:rsidP="008D7E3A">
      <w:pPr>
        <w:jc w:val="center"/>
      </w:pPr>
      <w:r>
        <w:pict w14:anchorId="6CA29461">
          <v:rect id="_x0000_i1025" style="width:135pt;height:.75pt" o:hrpct="250" o:hralign="center" o:hrstd="t" o:hrnoshade="t" o:hr="t" fillcolor="gray" stroked="f"/>
        </w:pict>
      </w:r>
    </w:p>
    <w:p w14:paraId="0B38DE17" w14:textId="77777777" w:rsidR="008D7E3A" w:rsidRDefault="008D7E3A" w:rsidP="008D7E3A">
      <w:pPr>
        <w:ind w:left="144" w:right="144"/>
        <w:jc w:val="center"/>
        <w:rPr>
          <w:sz w:val="20"/>
          <w:szCs w:val="20"/>
        </w:rPr>
      </w:pPr>
      <w:r>
        <w:rPr>
          <w:sz w:val="20"/>
          <w:szCs w:val="20"/>
        </w:rPr>
        <w:t> </w:t>
      </w:r>
    </w:p>
    <w:p w14:paraId="1FACBEF2" w14:textId="77777777" w:rsidR="008D7E3A" w:rsidRDefault="008D7E3A" w:rsidP="008D7E3A">
      <w:pPr>
        <w:ind w:left="144" w:right="144"/>
        <w:jc w:val="center"/>
        <w:rPr>
          <w:sz w:val="36"/>
          <w:szCs w:val="36"/>
        </w:rPr>
      </w:pPr>
      <w:r>
        <w:rPr>
          <w:b/>
          <w:bCs/>
          <w:sz w:val="36"/>
          <w:szCs w:val="36"/>
        </w:rPr>
        <w:t>FORM 8-K</w:t>
      </w:r>
    </w:p>
    <w:p w14:paraId="4126124C" w14:textId="77777777" w:rsidR="008D7E3A" w:rsidRDefault="008D7E3A" w:rsidP="008D7E3A">
      <w:pPr>
        <w:ind w:left="144" w:right="144"/>
        <w:rPr>
          <w:sz w:val="20"/>
          <w:szCs w:val="20"/>
        </w:rPr>
      </w:pPr>
      <w:r>
        <w:rPr>
          <w:sz w:val="20"/>
          <w:szCs w:val="20"/>
        </w:rPr>
        <w:t> </w:t>
      </w:r>
    </w:p>
    <w:p w14:paraId="6C98B2EA" w14:textId="77777777" w:rsidR="008D7E3A" w:rsidRDefault="008D7E3A" w:rsidP="008D7E3A">
      <w:pPr>
        <w:ind w:left="144" w:right="144"/>
        <w:jc w:val="center"/>
        <w:rPr>
          <w:sz w:val="20"/>
          <w:szCs w:val="20"/>
        </w:rPr>
      </w:pPr>
      <w:r>
        <w:rPr>
          <w:b/>
          <w:bCs/>
          <w:sz w:val="20"/>
          <w:szCs w:val="20"/>
        </w:rPr>
        <w:t>CURRENT REPORT</w:t>
      </w:r>
    </w:p>
    <w:p w14:paraId="3914BBE3" w14:textId="77777777" w:rsidR="008D7E3A" w:rsidRDefault="008D7E3A" w:rsidP="008D7E3A">
      <w:pPr>
        <w:ind w:left="144" w:right="144"/>
        <w:jc w:val="center"/>
        <w:rPr>
          <w:sz w:val="20"/>
          <w:szCs w:val="20"/>
        </w:rPr>
      </w:pPr>
      <w:r>
        <w:rPr>
          <w:b/>
          <w:bCs/>
          <w:sz w:val="20"/>
          <w:szCs w:val="20"/>
        </w:rPr>
        <w:t>Pursuant to Section 13 or 15(d) of the</w:t>
      </w:r>
    </w:p>
    <w:p w14:paraId="6B78B71F" w14:textId="77777777" w:rsidR="008D7E3A" w:rsidRDefault="008D7E3A" w:rsidP="008D7E3A">
      <w:pPr>
        <w:ind w:left="144" w:right="144"/>
        <w:jc w:val="center"/>
        <w:rPr>
          <w:sz w:val="20"/>
          <w:szCs w:val="20"/>
        </w:rPr>
      </w:pPr>
      <w:r>
        <w:rPr>
          <w:b/>
          <w:bCs/>
          <w:sz w:val="20"/>
          <w:szCs w:val="20"/>
        </w:rPr>
        <w:t>Securities Exchange Act of 1934</w:t>
      </w:r>
    </w:p>
    <w:p w14:paraId="1116214B" w14:textId="77777777" w:rsidR="008D7E3A" w:rsidRDefault="008D7E3A" w:rsidP="008D7E3A">
      <w:pPr>
        <w:ind w:left="144" w:right="144"/>
        <w:rPr>
          <w:sz w:val="20"/>
          <w:szCs w:val="20"/>
        </w:rPr>
      </w:pPr>
      <w:r>
        <w:rPr>
          <w:sz w:val="20"/>
          <w:szCs w:val="20"/>
        </w:rPr>
        <w:t> </w:t>
      </w:r>
    </w:p>
    <w:p w14:paraId="1907E5A2" w14:textId="2D1B5CB0" w:rsidR="008D7E3A" w:rsidRDefault="008D7E3A" w:rsidP="008D7E3A">
      <w:pPr>
        <w:ind w:left="144" w:right="144"/>
        <w:jc w:val="center"/>
        <w:rPr>
          <w:sz w:val="20"/>
          <w:szCs w:val="20"/>
        </w:rPr>
      </w:pPr>
      <w:r>
        <w:rPr>
          <w:b/>
          <w:bCs/>
          <w:sz w:val="20"/>
          <w:szCs w:val="20"/>
        </w:rPr>
        <w:t>Date of report (Date of earliest event reported):  </w:t>
      </w:r>
      <w:r w:rsidR="00F470EC">
        <w:rPr>
          <w:b/>
          <w:bCs/>
          <w:sz w:val="20"/>
          <w:szCs w:val="20"/>
        </w:rPr>
        <w:t>March</w:t>
      </w:r>
      <w:r w:rsidR="004D4E0A">
        <w:rPr>
          <w:b/>
          <w:bCs/>
          <w:sz w:val="20"/>
          <w:szCs w:val="20"/>
        </w:rPr>
        <w:t xml:space="preserve"> </w:t>
      </w:r>
      <w:r w:rsidR="00F470EC">
        <w:rPr>
          <w:b/>
          <w:bCs/>
          <w:sz w:val="20"/>
          <w:szCs w:val="20"/>
        </w:rPr>
        <w:t>23</w:t>
      </w:r>
      <w:r>
        <w:rPr>
          <w:b/>
          <w:bCs/>
          <w:sz w:val="20"/>
          <w:szCs w:val="20"/>
        </w:rPr>
        <w:t>, 202</w:t>
      </w:r>
      <w:r w:rsidR="00F470EC">
        <w:rPr>
          <w:b/>
          <w:bCs/>
          <w:sz w:val="20"/>
          <w:szCs w:val="20"/>
        </w:rPr>
        <w:t>3</w:t>
      </w:r>
    </w:p>
    <w:p w14:paraId="5F0131D8" w14:textId="77777777" w:rsidR="008D7E3A" w:rsidRDefault="008D7E3A" w:rsidP="008D7E3A">
      <w:pPr>
        <w:ind w:left="144" w:right="144"/>
        <w:jc w:val="center"/>
        <w:rPr>
          <w:sz w:val="20"/>
          <w:szCs w:val="20"/>
        </w:rPr>
      </w:pPr>
      <w:r>
        <w:rPr>
          <w:sz w:val="20"/>
          <w:szCs w:val="20"/>
        </w:rPr>
        <w:t> </w:t>
      </w:r>
    </w:p>
    <w:p w14:paraId="4BE21BF0" w14:textId="77777777" w:rsidR="008D7E3A" w:rsidRDefault="00854D59" w:rsidP="008D7E3A">
      <w:pPr>
        <w:jc w:val="center"/>
      </w:pPr>
      <w:r>
        <w:pict w14:anchorId="34234C18">
          <v:rect id="_x0000_i1026" style="width:135pt;height:.75pt" o:hrpct="250" o:hralign="center" o:hrstd="t" o:hrnoshade="t" o:hr="t" fillcolor="gray" stroked="f"/>
        </w:pict>
      </w:r>
    </w:p>
    <w:p w14:paraId="3C569251" w14:textId="77777777" w:rsidR="008D7E3A" w:rsidRDefault="008D7E3A" w:rsidP="008D7E3A">
      <w:pPr>
        <w:ind w:left="144" w:right="144"/>
        <w:jc w:val="center"/>
        <w:rPr>
          <w:sz w:val="20"/>
          <w:szCs w:val="20"/>
        </w:rPr>
      </w:pPr>
      <w:r>
        <w:rPr>
          <w:sz w:val="20"/>
          <w:szCs w:val="20"/>
        </w:rPr>
        <w:t> </w:t>
      </w:r>
    </w:p>
    <w:p w14:paraId="6037F5E1" w14:textId="77777777" w:rsidR="008D7E3A" w:rsidRDefault="008D7E3A" w:rsidP="008D7E3A">
      <w:pPr>
        <w:ind w:left="144" w:right="144"/>
        <w:jc w:val="center"/>
        <w:rPr>
          <w:sz w:val="36"/>
          <w:szCs w:val="36"/>
        </w:rPr>
      </w:pPr>
      <w:r>
        <w:rPr>
          <w:b/>
          <w:bCs/>
          <w:sz w:val="36"/>
          <w:szCs w:val="36"/>
        </w:rPr>
        <w:t>GEOVAX LABS, INC.</w:t>
      </w:r>
    </w:p>
    <w:p w14:paraId="5DE0AB61" w14:textId="77777777" w:rsidR="008D7E3A" w:rsidRDefault="008D7E3A" w:rsidP="008D7E3A">
      <w:pPr>
        <w:ind w:left="144" w:right="144"/>
        <w:jc w:val="center"/>
        <w:rPr>
          <w:sz w:val="20"/>
          <w:szCs w:val="20"/>
        </w:rPr>
      </w:pPr>
      <w:r>
        <w:rPr>
          <w:b/>
          <w:bCs/>
          <w:sz w:val="20"/>
          <w:szCs w:val="20"/>
        </w:rPr>
        <w:t>(Exact name of registrant as specified in its charter)</w:t>
      </w:r>
    </w:p>
    <w:p w14:paraId="0F1B7EA2" w14:textId="77777777" w:rsidR="008D7E3A" w:rsidRDefault="008D7E3A" w:rsidP="008D7E3A">
      <w:pPr>
        <w:ind w:left="144" w:right="144"/>
        <w:rPr>
          <w:sz w:val="20"/>
          <w:szCs w:val="20"/>
        </w:rPr>
      </w:pPr>
      <w:r>
        <w:rPr>
          <w:sz w:val="20"/>
          <w:szCs w:val="20"/>
        </w:rPr>
        <w:t>  </w:t>
      </w:r>
    </w:p>
    <w:tbl>
      <w:tblPr>
        <w:tblW w:w="5000" w:type="pct"/>
        <w:tblInd w:w="149" w:type="dxa"/>
        <w:tblCellMar>
          <w:left w:w="0" w:type="dxa"/>
          <w:right w:w="0" w:type="dxa"/>
        </w:tblCellMar>
        <w:tblLook w:val="04A0" w:firstRow="1" w:lastRow="0" w:firstColumn="1" w:lastColumn="0" w:noHBand="0" w:noVBand="1"/>
      </w:tblPr>
      <w:tblGrid>
        <w:gridCol w:w="3456"/>
        <w:gridCol w:w="216"/>
        <w:gridCol w:w="3456"/>
        <w:gridCol w:w="216"/>
        <w:gridCol w:w="3456"/>
      </w:tblGrid>
      <w:tr w:rsidR="008D7E3A" w14:paraId="65DC7518" w14:textId="77777777" w:rsidTr="008D7E3A">
        <w:tc>
          <w:tcPr>
            <w:tcW w:w="1600" w:type="pct"/>
            <w:tcMar>
              <w:top w:w="5" w:type="dxa"/>
              <w:left w:w="5" w:type="dxa"/>
              <w:bottom w:w="5" w:type="dxa"/>
              <w:right w:w="5" w:type="dxa"/>
            </w:tcMar>
            <w:hideMark/>
          </w:tcPr>
          <w:p w14:paraId="2CD5D0E3" w14:textId="77777777" w:rsidR="008D7E3A" w:rsidRDefault="008D7E3A">
            <w:pPr>
              <w:jc w:val="center"/>
              <w:rPr>
                <w:color w:val="000000"/>
                <w:sz w:val="20"/>
                <w:szCs w:val="20"/>
              </w:rPr>
            </w:pPr>
            <w:r>
              <w:rPr>
                <w:b/>
                <w:bCs/>
                <w:color w:val="000000"/>
                <w:sz w:val="20"/>
                <w:szCs w:val="20"/>
              </w:rPr>
              <w:t>Delaware</w:t>
            </w:r>
          </w:p>
        </w:tc>
        <w:tc>
          <w:tcPr>
            <w:tcW w:w="100" w:type="pct"/>
            <w:tcMar>
              <w:top w:w="5" w:type="dxa"/>
              <w:left w:w="5" w:type="dxa"/>
              <w:bottom w:w="5" w:type="dxa"/>
              <w:right w:w="5" w:type="dxa"/>
            </w:tcMar>
            <w:vAlign w:val="bottom"/>
            <w:hideMark/>
          </w:tcPr>
          <w:p w14:paraId="21BB6B9C" w14:textId="77777777" w:rsidR="008D7E3A" w:rsidRDefault="008D7E3A">
            <w:pPr>
              <w:rPr>
                <w:color w:val="000000"/>
                <w:sz w:val="20"/>
                <w:szCs w:val="20"/>
              </w:rPr>
            </w:pPr>
            <w:r>
              <w:rPr>
                <w:color w:val="000000"/>
                <w:sz w:val="20"/>
                <w:szCs w:val="20"/>
              </w:rPr>
              <w:t>  </w:t>
            </w:r>
          </w:p>
        </w:tc>
        <w:tc>
          <w:tcPr>
            <w:tcW w:w="1600" w:type="pct"/>
            <w:tcMar>
              <w:top w:w="5" w:type="dxa"/>
              <w:left w:w="5" w:type="dxa"/>
              <w:bottom w:w="5" w:type="dxa"/>
              <w:right w:w="5" w:type="dxa"/>
            </w:tcMar>
            <w:hideMark/>
          </w:tcPr>
          <w:p w14:paraId="2E1BFCAA" w14:textId="77777777" w:rsidR="008D7E3A" w:rsidRDefault="008D7E3A">
            <w:pPr>
              <w:jc w:val="center"/>
              <w:rPr>
                <w:color w:val="000000"/>
                <w:sz w:val="20"/>
                <w:szCs w:val="20"/>
              </w:rPr>
            </w:pPr>
            <w:r>
              <w:rPr>
                <w:b/>
                <w:bCs/>
                <w:color w:val="000000"/>
                <w:sz w:val="20"/>
                <w:szCs w:val="20"/>
              </w:rPr>
              <w:t>001-39563</w:t>
            </w:r>
          </w:p>
        </w:tc>
        <w:tc>
          <w:tcPr>
            <w:tcW w:w="100" w:type="pct"/>
            <w:tcMar>
              <w:top w:w="5" w:type="dxa"/>
              <w:left w:w="5" w:type="dxa"/>
              <w:bottom w:w="5" w:type="dxa"/>
              <w:right w:w="5" w:type="dxa"/>
            </w:tcMar>
            <w:vAlign w:val="bottom"/>
            <w:hideMark/>
          </w:tcPr>
          <w:p w14:paraId="02B8DA0E" w14:textId="77777777" w:rsidR="008D7E3A" w:rsidRDefault="008D7E3A">
            <w:pPr>
              <w:rPr>
                <w:color w:val="000000"/>
                <w:sz w:val="20"/>
                <w:szCs w:val="20"/>
              </w:rPr>
            </w:pPr>
            <w:r>
              <w:rPr>
                <w:color w:val="000000"/>
                <w:sz w:val="20"/>
                <w:szCs w:val="20"/>
              </w:rPr>
              <w:t>  </w:t>
            </w:r>
          </w:p>
        </w:tc>
        <w:tc>
          <w:tcPr>
            <w:tcW w:w="1600" w:type="pct"/>
            <w:tcMar>
              <w:top w:w="5" w:type="dxa"/>
              <w:left w:w="5" w:type="dxa"/>
              <w:bottom w:w="5" w:type="dxa"/>
              <w:right w:w="5" w:type="dxa"/>
            </w:tcMar>
            <w:hideMark/>
          </w:tcPr>
          <w:p w14:paraId="08920BD4" w14:textId="77777777" w:rsidR="008D7E3A" w:rsidRDefault="008D7E3A">
            <w:pPr>
              <w:jc w:val="center"/>
              <w:rPr>
                <w:color w:val="000000"/>
                <w:sz w:val="20"/>
                <w:szCs w:val="20"/>
              </w:rPr>
            </w:pPr>
            <w:r>
              <w:rPr>
                <w:b/>
                <w:bCs/>
                <w:color w:val="000000"/>
                <w:sz w:val="20"/>
                <w:szCs w:val="20"/>
              </w:rPr>
              <w:t>87-0455038</w:t>
            </w:r>
          </w:p>
        </w:tc>
      </w:tr>
      <w:tr w:rsidR="008D7E3A" w14:paraId="1B960DB8" w14:textId="77777777" w:rsidTr="008D7E3A">
        <w:tc>
          <w:tcPr>
            <w:tcW w:w="1600" w:type="pct"/>
            <w:tcMar>
              <w:top w:w="5" w:type="dxa"/>
              <w:left w:w="5" w:type="dxa"/>
              <w:bottom w:w="5" w:type="dxa"/>
              <w:right w:w="5" w:type="dxa"/>
            </w:tcMar>
            <w:hideMark/>
          </w:tcPr>
          <w:p w14:paraId="55850994" w14:textId="77777777" w:rsidR="008D7E3A" w:rsidRDefault="008D7E3A">
            <w:pPr>
              <w:jc w:val="center"/>
              <w:rPr>
                <w:color w:val="000000"/>
                <w:sz w:val="20"/>
                <w:szCs w:val="20"/>
              </w:rPr>
            </w:pPr>
            <w:r>
              <w:rPr>
                <w:b/>
                <w:bCs/>
                <w:color w:val="000000"/>
                <w:sz w:val="20"/>
                <w:szCs w:val="20"/>
              </w:rPr>
              <w:t xml:space="preserve">(State or </w:t>
            </w:r>
            <w:proofErr w:type="gramStart"/>
            <w:r>
              <w:rPr>
                <w:b/>
                <w:bCs/>
                <w:color w:val="000000"/>
                <w:sz w:val="20"/>
                <w:szCs w:val="20"/>
              </w:rPr>
              <w:t>other</w:t>
            </w:r>
            <w:proofErr w:type="gramEnd"/>
            <w:r>
              <w:rPr>
                <w:b/>
                <w:bCs/>
                <w:color w:val="000000"/>
                <w:sz w:val="20"/>
                <w:szCs w:val="20"/>
              </w:rPr>
              <w:t xml:space="preserve"> jurisdiction of</w:t>
            </w:r>
          </w:p>
          <w:p w14:paraId="6BCD4496" w14:textId="77777777" w:rsidR="008D7E3A" w:rsidRDefault="008D7E3A">
            <w:pPr>
              <w:jc w:val="center"/>
              <w:rPr>
                <w:color w:val="000000"/>
                <w:sz w:val="20"/>
                <w:szCs w:val="20"/>
              </w:rPr>
            </w:pPr>
            <w:r>
              <w:rPr>
                <w:b/>
                <w:bCs/>
                <w:color w:val="000000"/>
                <w:sz w:val="20"/>
                <w:szCs w:val="20"/>
              </w:rPr>
              <w:t>incorporation or organization)</w:t>
            </w:r>
          </w:p>
        </w:tc>
        <w:tc>
          <w:tcPr>
            <w:tcW w:w="100" w:type="pct"/>
            <w:tcMar>
              <w:top w:w="5" w:type="dxa"/>
              <w:left w:w="5" w:type="dxa"/>
              <w:bottom w:w="5" w:type="dxa"/>
              <w:right w:w="5" w:type="dxa"/>
            </w:tcMar>
            <w:vAlign w:val="bottom"/>
            <w:hideMark/>
          </w:tcPr>
          <w:p w14:paraId="3CCD15D2" w14:textId="77777777" w:rsidR="008D7E3A" w:rsidRDefault="008D7E3A">
            <w:pPr>
              <w:rPr>
                <w:color w:val="000000"/>
                <w:sz w:val="20"/>
                <w:szCs w:val="20"/>
              </w:rPr>
            </w:pPr>
            <w:r>
              <w:rPr>
                <w:color w:val="000000"/>
                <w:sz w:val="20"/>
                <w:szCs w:val="20"/>
              </w:rPr>
              <w:t>  </w:t>
            </w:r>
          </w:p>
        </w:tc>
        <w:tc>
          <w:tcPr>
            <w:tcW w:w="1600" w:type="pct"/>
            <w:tcMar>
              <w:top w:w="5" w:type="dxa"/>
              <w:left w:w="5" w:type="dxa"/>
              <w:bottom w:w="5" w:type="dxa"/>
              <w:right w:w="5" w:type="dxa"/>
            </w:tcMar>
            <w:hideMark/>
          </w:tcPr>
          <w:p w14:paraId="22CADF59" w14:textId="77777777" w:rsidR="008D7E3A" w:rsidRDefault="008D7E3A">
            <w:pPr>
              <w:jc w:val="center"/>
              <w:rPr>
                <w:color w:val="000000"/>
                <w:sz w:val="20"/>
                <w:szCs w:val="20"/>
              </w:rPr>
            </w:pPr>
            <w:r>
              <w:rPr>
                <w:b/>
                <w:bCs/>
                <w:color w:val="000000"/>
                <w:sz w:val="20"/>
                <w:szCs w:val="20"/>
              </w:rPr>
              <w:t>(Commission File No.)</w:t>
            </w:r>
          </w:p>
        </w:tc>
        <w:tc>
          <w:tcPr>
            <w:tcW w:w="100" w:type="pct"/>
            <w:tcMar>
              <w:top w:w="5" w:type="dxa"/>
              <w:left w:w="5" w:type="dxa"/>
              <w:bottom w:w="5" w:type="dxa"/>
              <w:right w:w="5" w:type="dxa"/>
            </w:tcMar>
            <w:vAlign w:val="bottom"/>
            <w:hideMark/>
          </w:tcPr>
          <w:p w14:paraId="5BE72CCD" w14:textId="77777777" w:rsidR="008D7E3A" w:rsidRDefault="008D7E3A">
            <w:pPr>
              <w:rPr>
                <w:color w:val="000000"/>
                <w:sz w:val="20"/>
                <w:szCs w:val="20"/>
              </w:rPr>
            </w:pPr>
            <w:r>
              <w:rPr>
                <w:color w:val="000000"/>
                <w:sz w:val="20"/>
                <w:szCs w:val="20"/>
              </w:rPr>
              <w:t>  </w:t>
            </w:r>
          </w:p>
        </w:tc>
        <w:tc>
          <w:tcPr>
            <w:tcW w:w="1600" w:type="pct"/>
            <w:tcMar>
              <w:top w:w="5" w:type="dxa"/>
              <w:left w:w="5" w:type="dxa"/>
              <w:bottom w:w="5" w:type="dxa"/>
              <w:right w:w="5" w:type="dxa"/>
            </w:tcMar>
            <w:hideMark/>
          </w:tcPr>
          <w:p w14:paraId="4EAE9BA6" w14:textId="77777777" w:rsidR="008D7E3A" w:rsidRDefault="008D7E3A">
            <w:pPr>
              <w:jc w:val="center"/>
              <w:rPr>
                <w:color w:val="000000"/>
                <w:sz w:val="20"/>
                <w:szCs w:val="20"/>
              </w:rPr>
            </w:pPr>
            <w:r>
              <w:rPr>
                <w:b/>
                <w:bCs/>
                <w:color w:val="000000"/>
                <w:sz w:val="20"/>
                <w:szCs w:val="20"/>
              </w:rPr>
              <w:t>(IRS Employee Identification No.)</w:t>
            </w:r>
          </w:p>
        </w:tc>
      </w:tr>
    </w:tbl>
    <w:p w14:paraId="6698FA39" w14:textId="77777777" w:rsidR="008D7E3A" w:rsidRDefault="008D7E3A" w:rsidP="008D7E3A">
      <w:pPr>
        <w:ind w:left="144" w:right="144"/>
        <w:rPr>
          <w:sz w:val="20"/>
          <w:szCs w:val="20"/>
        </w:rPr>
      </w:pPr>
      <w:r>
        <w:rPr>
          <w:sz w:val="20"/>
          <w:szCs w:val="20"/>
        </w:rPr>
        <w:t> </w:t>
      </w:r>
    </w:p>
    <w:p w14:paraId="15C44742" w14:textId="77777777" w:rsidR="008D7E3A" w:rsidRDefault="008D7E3A" w:rsidP="008D7E3A">
      <w:pPr>
        <w:ind w:left="144" w:right="144"/>
        <w:jc w:val="center"/>
        <w:rPr>
          <w:sz w:val="20"/>
          <w:szCs w:val="20"/>
        </w:rPr>
      </w:pPr>
      <w:r>
        <w:rPr>
          <w:b/>
          <w:bCs/>
          <w:sz w:val="20"/>
          <w:szCs w:val="20"/>
        </w:rPr>
        <w:t>1900 Lake Park Drive, Suite 380</w:t>
      </w:r>
    </w:p>
    <w:p w14:paraId="25EE6DB2" w14:textId="77777777" w:rsidR="008D7E3A" w:rsidRDefault="008D7E3A" w:rsidP="008D7E3A">
      <w:pPr>
        <w:ind w:left="144" w:right="144"/>
        <w:jc w:val="center"/>
        <w:rPr>
          <w:sz w:val="20"/>
          <w:szCs w:val="20"/>
        </w:rPr>
      </w:pPr>
      <w:r>
        <w:rPr>
          <w:b/>
          <w:bCs/>
          <w:sz w:val="20"/>
          <w:szCs w:val="20"/>
        </w:rPr>
        <w:t>Smyrna, Georgia 30080</w:t>
      </w:r>
    </w:p>
    <w:p w14:paraId="46F2FA6A" w14:textId="77777777" w:rsidR="008D7E3A" w:rsidRDefault="008D7E3A" w:rsidP="008D7E3A">
      <w:pPr>
        <w:ind w:left="144" w:right="144"/>
        <w:jc w:val="center"/>
        <w:rPr>
          <w:sz w:val="20"/>
          <w:szCs w:val="20"/>
        </w:rPr>
      </w:pPr>
      <w:r>
        <w:rPr>
          <w:b/>
          <w:bCs/>
          <w:sz w:val="20"/>
          <w:szCs w:val="20"/>
        </w:rPr>
        <w:t>(Address of principal executive offices) (Zip code)</w:t>
      </w:r>
    </w:p>
    <w:p w14:paraId="727D898C" w14:textId="77777777" w:rsidR="008D7E3A" w:rsidRDefault="008D7E3A" w:rsidP="008D7E3A">
      <w:pPr>
        <w:ind w:left="144" w:right="144"/>
        <w:rPr>
          <w:sz w:val="20"/>
          <w:szCs w:val="20"/>
        </w:rPr>
      </w:pPr>
      <w:r>
        <w:rPr>
          <w:sz w:val="20"/>
          <w:szCs w:val="20"/>
        </w:rPr>
        <w:t> </w:t>
      </w:r>
    </w:p>
    <w:p w14:paraId="5512C648" w14:textId="77777777" w:rsidR="008D7E3A" w:rsidRDefault="008D7E3A" w:rsidP="008D7E3A">
      <w:pPr>
        <w:ind w:left="144" w:right="144"/>
        <w:jc w:val="center"/>
        <w:rPr>
          <w:sz w:val="20"/>
          <w:szCs w:val="20"/>
        </w:rPr>
      </w:pPr>
      <w:r>
        <w:rPr>
          <w:b/>
          <w:bCs/>
          <w:sz w:val="20"/>
          <w:szCs w:val="20"/>
        </w:rPr>
        <w:t>(678) 384-7220</w:t>
      </w:r>
    </w:p>
    <w:p w14:paraId="4C4D8CE6" w14:textId="77777777" w:rsidR="008D7E3A" w:rsidRDefault="008D7E3A" w:rsidP="008D7E3A">
      <w:pPr>
        <w:ind w:left="144" w:right="144"/>
        <w:jc w:val="center"/>
        <w:rPr>
          <w:sz w:val="20"/>
          <w:szCs w:val="20"/>
        </w:rPr>
      </w:pPr>
      <w:r>
        <w:rPr>
          <w:b/>
          <w:bCs/>
          <w:sz w:val="20"/>
          <w:szCs w:val="20"/>
        </w:rPr>
        <w:t>(Registrant’s telephone number, including area code)</w:t>
      </w:r>
    </w:p>
    <w:p w14:paraId="56233E1A" w14:textId="77777777" w:rsidR="008D7E3A" w:rsidRDefault="008D7E3A" w:rsidP="008D7E3A">
      <w:pPr>
        <w:ind w:left="144" w:right="144"/>
        <w:rPr>
          <w:sz w:val="20"/>
          <w:szCs w:val="20"/>
        </w:rPr>
      </w:pPr>
      <w:r>
        <w:rPr>
          <w:sz w:val="20"/>
          <w:szCs w:val="20"/>
        </w:rPr>
        <w:t>  </w:t>
      </w:r>
    </w:p>
    <w:p w14:paraId="21125087" w14:textId="77777777" w:rsidR="008D7E3A" w:rsidRDefault="008D7E3A" w:rsidP="008D7E3A">
      <w:pPr>
        <w:ind w:left="144" w:right="144"/>
        <w:rPr>
          <w:sz w:val="20"/>
          <w:szCs w:val="20"/>
        </w:rPr>
      </w:pPr>
      <w:r>
        <w:rPr>
          <w:sz w:val="20"/>
          <w:szCs w:val="20"/>
        </w:rPr>
        <w:t>Check the appropriate box below if the Form 8-K filing is intended to simultaneously satisfy the filing obligation of the Registrant under any of the following provisions.</w:t>
      </w:r>
    </w:p>
    <w:p w14:paraId="56A7FFCB" w14:textId="77777777" w:rsidR="008D7E3A" w:rsidRDefault="008D7E3A" w:rsidP="008D7E3A">
      <w:pPr>
        <w:ind w:left="144" w:right="144"/>
        <w:rPr>
          <w:sz w:val="20"/>
          <w:szCs w:val="20"/>
        </w:rPr>
      </w:pPr>
      <w:r>
        <w:rPr>
          <w:sz w:val="20"/>
          <w:szCs w:val="20"/>
        </w:rPr>
        <w:t> </w:t>
      </w:r>
    </w:p>
    <w:p w14:paraId="060CE3CB" w14:textId="77777777" w:rsidR="008D7E3A" w:rsidRDefault="008D7E3A" w:rsidP="008D7E3A">
      <w:pPr>
        <w:ind w:left="144" w:right="144"/>
        <w:rPr>
          <w:sz w:val="20"/>
          <w:szCs w:val="20"/>
        </w:rPr>
      </w:pPr>
      <w:r>
        <w:rPr>
          <w:rFonts w:ascii="Segoe UI Symbol" w:eastAsia="Segoe UI Symbol" w:hAnsi="Segoe UI Symbol" w:cs="Segoe UI Symbol"/>
          <w:sz w:val="20"/>
          <w:szCs w:val="20"/>
        </w:rPr>
        <w:t>☐</w:t>
      </w:r>
      <w:r>
        <w:rPr>
          <w:sz w:val="20"/>
          <w:szCs w:val="20"/>
        </w:rPr>
        <w:t> Written communications pursuant to Rule 425 under the Securities Act (17 CFR 230.425)</w:t>
      </w:r>
    </w:p>
    <w:p w14:paraId="378B9C71" w14:textId="77777777" w:rsidR="008D7E3A" w:rsidRDefault="008D7E3A" w:rsidP="008D7E3A">
      <w:pPr>
        <w:ind w:left="144" w:right="144"/>
        <w:rPr>
          <w:sz w:val="20"/>
          <w:szCs w:val="20"/>
        </w:rPr>
      </w:pPr>
      <w:r>
        <w:rPr>
          <w:sz w:val="20"/>
          <w:szCs w:val="20"/>
        </w:rPr>
        <w:t> </w:t>
      </w:r>
    </w:p>
    <w:p w14:paraId="01FD6FA6" w14:textId="77777777" w:rsidR="008D7E3A" w:rsidRDefault="008D7E3A" w:rsidP="008D7E3A">
      <w:pPr>
        <w:ind w:left="144" w:right="144"/>
        <w:rPr>
          <w:sz w:val="20"/>
          <w:szCs w:val="20"/>
        </w:rPr>
      </w:pPr>
      <w:r>
        <w:rPr>
          <w:rFonts w:ascii="Segoe UI Symbol" w:eastAsia="Segoe UI Symbol" w:hAnsi="Segoe UI Symbol" w:cs="Segoe UI Symbol"/>
          <w:sz w:val="20"/>
          <w:szCs w:val="20"/>
        </w:rPr>
        <w:t>☐</w:t>
      </w:r>
      <w:r>
        <w:rPr>
          <w:sz w:val="20"/>
          <w:szCs w:val="20"/>
        </w:rPr>
        <w:t xml:space="preserve"> Soliciting material pursuant to Rule 14a-12 under the Exchange Act (17 CFR240.14a-12)</w:t>
      </w:r>
    </w:p>
    <w:p w14:paraId="72B0E98D" w14:textId="77777777" w:rsidR="008D7E3A" w:rsidRDefault="008D7E3A" w:rsidP="008D7E3A">
      <w:pPr>
        <w:ind w:left="144" w:right="144"/>
        <w:rPr>
          <w:sz w:val="20"/>
          <w:szCs w:val="20"/>
        </w:rPr>
      </w:pPr>
      <w:r>
        <w:rPr>
          <w:sz w:val="20"/>
          <w:szCs w:val="20"/>
        </w:rPr>
        <w:t> </w:t>
      </w:r>
    </w:p>
    <w:p w14:paraId="07FCB38D" w14:textId="77777777" w:rsidR="008D7E3A" w:rsidRDefault="008D7E3A" w:rsidP="008D7E3A">
      <w:pPr>
        <w:ind w:left="144" w:right="144"/>
        <w:rPr>
          <w:sz w:val="20"/>
          <w:szCs w:val="20"/>
        </w:rPr>
      </w:pPr>
      <w:r>
        <w:rPr>
          <w:rFonts w:ascii="Segoe UI Symbol" w:eastAsia="Segoe UI Symbol" w:hAnsi="Segoe UI Symbol" w:cs="Segoe UI Symbol"/>
          <w:sz w:val="20"/>
          <w:szCs w:val="20"/>
        </w:rPr>
        <w:t>☐</w:t>
      </w:r>
      <w:r>
        <w:rPr>
          <w:sz w:val="20"/>
          <w:szCs w:val="20"/>
        </w:rPr>
        <w:t xml:space="preserve"> Pre-commencement communications pursuant to Rule 14d-2(b) under the Exchange Act (17 CFR 240.14d-2(b)).</w:t>
      </w:r>
    </w:p>
    <w:p w14:paraId="0480CCDE" w14:textId="77777777" w:rsidR="008D7E3A" w:rsidRDefault="008D7E3A" w:rsidP="008D7E3A">
      <w:pPr>
        <w:ind w:left="144" w:right="144"/>
        <w:rPr>
          <w:sz w:val="20"/>
          <w:szCs w:val="20"/>
        </w:rPr>
      </w:pPr>
      <w:r>
        <w:rPr>
          <w:sz w:val="20"/>
          <w:szCs w:val="20"/>
        </w:rPr>
        <w:t> </w:t>
      </w:r>
    </w:p>
    <w:p w14:paraId="5C400D4E" w14:textId="77777777" w:rsidR="008D7E3A" w:rsidRDefault="008D7E3A" w:rsidP="008D7E3A">
      <w:pPr>
        <w:ind w:left="144" w:right="144"/>
        <w:rPr>
          <w:sz w:val="20"/>
          <w:szCs w:val="20"/>
        </w:rPr>
      </w:pPr>
      <w:r>
        <w:rPr>
          <w:rFonts w:ascii="Segoe UI Symbol" w:eastAsia="Segoe UI Symbol" w:hAnsi="Segoe UI Symbol" w:cs="Segoe UI Symbol"/>
          <w:sz w:val="20"/>
          <w:szCs w:val="20"/>
        </w:rPr>
        <w:t>☐</w:t>
      </w:r>
      <w:r>
        <w:rPr>
          <w:sz w:val="20"/>
          <w:szCs w:val="20"/>
        </w:rPr>
        <w:t xml:space="preserve"> Pre-commencement communications pursuant to Rule 13e-4(c) under the Exchange Act (17 CFR 240.13(e)-4(c))</w:t>
      </w:r>
    </w:p>
    <w:p w14:paraId="204B4D11" w14:textId="77777777" w:rsidR="008D7E3A" w:rsidRDefault="008D7E3A" w:rsidP="008D7E3A">
      <w:pPr>
        <w:ind w:left="144" w:right="144"/>
        <w:rPr>
          <w:sz w:val="20"/>
          <w:szCs w:val="20"/>
        </w:rPr>
      </w:pPr>
      <w:r>
        <w:rPr>
          <w:sz w:val="20"/>
          <w:szCs w:val="20"/>
        </w:rPr>
        <w:t> </w:t>
      </w:r>
    </w:p>
    <w:p w14:paraId="03D855F4" w14:textId="77777777" w:rsidR="008D7E3A" w:rsidRDefault="008D7E3A" w:rsidP="008D7E3A">
      <w:pPr>
        <w:ind w:left="144" w:right="144"/>
        <w:rPr>
          <w:sz w:val="20"/>
          <w:szCs w:val="20"/>
        </w:rPr>
      </w:pPr>
      <w:r>
        <w:rPr>
          <w:sz w:val="20"/>
          <w:szCs w:val="20"/>
        </w:rPr>
        <w:t>Securities registered pursuant to Section 12(b) of the Act:</w:t>
      </w:r>
    </w:p>
    <w:p w14:paraId="1D661DC7" w14:textId="77777777" w:rsidR="008D7E3A" w:rsidRDefault="008D7E3A" w:rsidP="008D7E3A">
      <w:pPr>
        <w:ind w:left="144" w:right="144"/>
        <w:rPr>
          <w:sz w:val="20"/>
          <w:szCs w:val="20"/>
        </w:rPr>
      </w:pPr>
      <w:r>
        <w:rPr>
          <w:sz w:val="20"/>
          <w:szCs w:val="20"/>
        </w:rPr>
        <w:t> </w:t>
      </w:r>
    </w:p>
    <w:tbl>
      <w:tblPr>
        <w:tblW w:w="4995" w:type="pct"/>
        <w:tblInd w:w="149" w:type="dxa"/>
        <w:tblCellMar>
          <w:left w:w="0" w:type="dxa"/>
          <w:right w:w="0" w:type="dxa"/>
        </w:tblCellMar>
        <w:tblLook w:val="04A0" w:firstRow="1" w:lastRow="0" w:firstColumn="1" w:lastColumn="0" w:noHBand="0" w:noVBand="1"/>
      </w:tblPr>
      <w:tblGrid>
        <w:gridCol w:w="4424"/>
        <w:gridCol w:w="1942"/>
        <w:gridCol w:w="4423"/>
      </w:tblGrid>
      <w:tr w:rsidR="008D7E3A" w14:paraId="27B326FD" w14:textId="77777777" w:rsidTr="008D7E3A">
        <w:tc>
          <w:tcPr>
            <w:tcW w:w="2050" w:type="pct"/>
            <w:tcBorders>
              <w:top w:val="nil"/>
              <w:left w:val="nil"/>
              <w:bottom w:val="single" w:sz="6" w:space="0" w:color="000000"/>
              <w:right w:val="nil"/>
            </w:tcBorders>
            <w:tcMar>
              <w:top w:w="5" w:type="dxa"/>
              <w:left w:w="5" w:type="dxa"/>
              <w:bottom w:w="8" w:type="dxa"/>
              <w:right w:w="5" w:type="dxa"/>
            </w:tcMar>
            <w:vAlign w:val="bottom"/>
            <w:hideMark/>
          </w:tcPr>
          <w:p w14:paraId="71910E3E" w14:textId="77777777" w:rsidR="008D7E3A" w:rsidRDefault="008D7E3A">
            <w:pPr>
              <w:jc w:val="center"/>
              <w:rPr>
                <w:color w:val="000000"/>
                <w:sz w:val="20"/>
                <w:szCs w:val="20"/>
              </w:rPr>
            </w:pPr>
            <w:r>
              <w:rPr>
                <w:color w:val="000000"/>
                <w:sz w:val="20"/>
                <w:szCs w:val="20"/>
              </w:rPr>
              <w:t>Title of each class</w:t>
            </w:r>
          </w:p>
        </w:tc>
        <w:tc>
          <w:tcPr>
            <w:tcW w:w="900" w:type="pct"/>
            <w:tcBorders>
              <w:top w:val="nil"/>
              <w:left w:val="nil"/>
              <w:bottom w:val="single" w:sz="6" w:space="0" w:color="000000"/>
              <w:right w:val="nil"/>
            </w:tcBorders>
            <w:tcMar>
              <w:top w:w="5" w:type="dxa"/>
              <w:left w:w="5" w:type="dxa"/>
              <w:bottom w:w="8" w:type="dxa"/>
              <w:right w:w="5" w:type="dxa"/>
            </w:tcMar>
            <w:vAlign w:val="bottom"/>
            <w:hideMark/>
          </w:tcPr>
          <w:p w14:paraId="64DC4E24" w14:textId="77777777" w:rsidR="008D7E3A" w:rsidRDefault="008D7E3A">
            <w:pPr>
              <w:jc w:val="center"/>
              <w:rPr>
                <w:color w:val="000000"/>
                <w:sz w:val="20"/>
                <w:szCs w:val="20"/>
              </w:rPr>
            </w:pPr>
            <w:r>
              <w:rPr>
                <w:color w:val="000000"/>
                <w:sz w:val="20"/>
                <w:szCs w:val="20"/>
              </w:rPr>
              <w:t>Trading</w:t>
            </w:r>
          </w:p>
          <w:p w14:paraId="72AEB163" w14:textId="77777777" w:rsidR="008D7E3A" w:rsidRDefault="008D7E3A">
            <w:pPr>
              <w:jc w:val="center"/>
              <w:rPr>
                <w:color w:val="000000"/>
                <w:sz w:val="20"/>
                <w:szCs w:val="20"/>
              </w:rPr>
            </w:pPr>
            <w:r>
              <w:rPr>
                <w:color w:val="000000"/>
                <w:sz w:val="20"/>
                <w:szCs w:val="20"/>
              </w:rPr>
              <w:t>Symbol(s)</w:t>
            </w:r>
          </w:p>
        </w:tc>
        <w:tc>
          <w:tcPr>
            <w:tcW w:w="2050" w:type="pct"/>
            <w:tcBorders>
              <w:top w:val="nil"/>
              <w:left w:val="nil"/>
              <w:bottom w:val="single" w:sz="6" w:space="0" w:color="000000"/>
              <w:right w:val="nil"/>
            </w:tcBorders>
            <w:tcMar>
              <w:top w:w="5" w:type="dxa"/>
              <w:left w:w="5" w:type="dxa"/>
              <w:bottom w:w="8" w:type="dxa"/>
              <w:right w:w="5" w:type="dxa"/>
            </w:tcMar>
            <w:vAlign w:val="bottom"/>
            <w:hideMark/>
          </w:tcPr>
          <w:p w14:paraId="32D81BE6" w14:textId="77777777" w:rsidR="008D7E3A" w:rsidRDefault="008D7E3A">
            <w:pPr>
              <w:jc w:val="center"/>
              <w:rPr>
                <w:color w:val="000000"/>
                <w:sz w:val="20"/>
                <w:szCs w:val="20"/>
              </w:rPr>
            </w:pPr>
            <w:r>
              <w:rPr>
                <w:color w:val="000000"/>
                <w:sz w:val="20"/>
                <w:szCs w:val="20"/>
              </w:rPr>
              <w:t>Name of each exchange on which registered</w:t>
            </w:r>
          </w:p>
        </w:tc>
      </w:tr>
      <w:tr w:rsidR="008D7E3A" w14:paraId="1A046CA1" w14:textId="77777777" w:rsidTr="008D7E3A">
        <w:tc>
          <w:tcPr>
            <w:tcW w:w="2050" w:type="pct"/>
            <w:tcMar>
              <w:top w:w="5" w:type="dxa"/>
              <w:left w:w="5" w:type="dxa"/>
              <w:bottom w:w="5" w:type="dxa"/>
              <w:right w:w="5" w:type="dxa"/>
            </w:tcMar>
            <w:vAlign w:val="center"/>
            <w:hideMark/>
          </w:tcPr>
          <w:p w14:paraId="1EEB88FC" w14:textId="77777777" w:rsidR="008D7E3A" w:rsidRDefault="008D7E3A">
            <w:pPr>
              <w:jc w:val="center"/>
              <w:rPr>
                <w:color w:val="000000"/>
                <w:sz w:val="20"/>
                <w:szCs w:val="20"/>
              </w:rPr>
            </w:pPr>
            <w:r>
              <w:rPr>
                <w:color w:val="000000"/>
                <w:sz w:val="20"/>
                <w:szCs w:val="20"/>
              </w:rPr>
              <w:t>Common Stock, par value $0.001 per share</w:t>
            </w:r>
          </w:p>
        </w:tc>
        <w:tc>
          <w:tcPr>
            <w:tcW w:w="900" w:type="pct"/>
            <w:tcMar>
              <w:top w:w="5" w:type="dxa"/>
              <w:left w:w="5" w:type="dxa"/>
              <w:bottom w:w="5" w:type="dxa"/>
              <w:right w:w="5" w:type="dxa"/>
            </w:tcMar>
            <w:vAlign w:val="center"/>
            <w:hideMark/>
          </w:tcPr>
          <w:p w14:paraId="4CF2F38D" w14:textId="77777777" w:rsidR="008D7E3A" w:rsidRDefault="008D7E3A">
            <w:pPr>
              <w:jc w:val="center"/>
              <w:rPr>
                <w:color w:val="000000"/>
                <w:sz w:val="20"/>
                <w:szCs w:val="20"/>
              </w:rPr>
            </w:pPr>
            <w:r>
              <w:rPr>
                <w:color w:val="000000"/>
                <w:sz w:val="20"/>
                <w:szCs w:val="20"/>
              </w:rPr>
              <w:t>GOVX</w:t>
            </w:r>
          </w:p>
        </w:tc>
        <w:tc>
          <w:tcPr>
            <w:tcW w:w="2050" w:type="pct"/>
            <w:tcMar>
              <w:top w:w="5" w:type="dxa"/>
              <w:left w:w="5" w:type="dxa"/>
              <w:bottom w:w="5" w:type="dxa"/>
              <w:right w:w="5" w:type="dxa"/>
            </w:tcMar>
            <w:vAlign w:val="center"/>
            <w:hideMark/>
          </w:tcPr>
          <w:p w14:paraId="1F76576B" w14:textId="77777777" w:rsidR="008D7E3A" w:rsidRDefault="008D7E3A">
            <w:pPr>
              <w:jc w:val="center"/>
              <w:rPr>
                <w:color w:val="000000"/>
                <w:sz w:val="20"/>
                <w:szCs w:val="20"/>
              </w:rPr>
            </w:pPr>
            <w:r>
              <w:rPr>
                <w:color w:val="000000"/>
                <w:sz w:val="20"/>
                <w:szCs w:val="20"/>
              </w:rPr>
              <w:t>The Nasdaq Capital Market</w:t>
            </w:r>
          </w:p>
        </w:tc>
      </w:tr>
      <w:tr w:rsidR="008D7E3A" w14:paraId="67135A27" w14:textId="77777777" w:rsidTr="008D7E3A">
        <w:tc>
          <w:tcPr>
            <w:tcW w:w="2050" w:type="pct"/>
            <w:tcMar>
              <w:top w:w="5" w:type="dxa"/>
              <w:left w:w="5" w:type="dxa"/>
              <w:bottom w:w="5" w:type="dxa"/>
              <w:right w:w="5" w:type="dxa"/>
            </w:tcMar>
            <w:vAlign w:val="center"/>
            <w:hideMark/>
          </w:tcPr>
          <w:p w14:paraId="36C81E47" w14:textId="77777777" w:rsidR="008D7E3A" w:rsidRDefault="008D7E3A">
            <w:pPr>
              <w:jc w:val="center"/>
              <w:rPr>
                <w:color w:val="000000"/>
                <w:sz w:val="20"/>
                <w:szCs w:val="20"/>
              </w:rPr>
            </w:pPr>
            <w:r>
              <w:rPr>
                <w:color w:val="000000"/>
                <w:sz w:val="20"/>
                <w:szCs w:val="20"/>
              </w:rPr>
              <w:t>Warrants to Purchase Common Stock</w:t>
            </w:r>
          </w:p>
        </w:tc>
        <w:tc>
          <w:tcPr>
            <w:tcW w:w="900" w:type="pct"/>
            <w:tcMar>
              <w:top w:w="5" w:type="dxa"/>
              <w:left w:w="5" w:type="dxa"/>
              <w:bottom w:w="5" w:type="dxa"/>
              <w:right w:w="5" w:type="dxa"/>
            </w:tcMar>
            <w:vAlign w:val="center"/>
            <w:hideMark/>
          </w:tcPr>
          <w:p w14:paraId="363E4FB4" w14:textId="77777777" w:rsidR="008D7E3A" w:rsidRDefault="008D7E3A">
            <w:pPr>
              <w:jc w:val="center"/>
              <w:rPr>
                <w:color w:val="000000"/>
                <w:sz w:val="20"/>
                <w:szCs w:val="20"/>
              </w:rPr>
            </w:pPr>
            <w:r>
              <w:rPr>
                <w:color w:val="000000"/>
                <w:sz w:val="20"/>
                <w:szCs w:val="20"/>
              </w:rPr>
              <w:t>GOVXW</w:t>
            </w:r>
          </w:p>
        </w:tc>
        <w:tc>
          <w:tcPr>
            <w:tcW w:w="2050" w:type="pct"/>
            <w:tcMar>
              <w:top w:w="5" w:type="dxa"/>
              <w:left w:w="5" w:type="dxa"/>
              <w:bottom w:w="5" w:type="dxa"/>
              <w:right w:w="5" w:type="dxa"/>
            </w:tcMar>
            <w:vAlign w:val="center"/>
            <w:hideMark/>
          </w:tcPr>
          <w:p w14:paraId="0F8471ED" w14:textId="77777777" w:rsidR="008D7E3A" w:rsidRDefault="008D7E3A">
            <w:pPr>
              <w:jc w:val="center"/>
              <w:rPr>
                <w:color w:val="000000"/>
                <w:sz w:val="20"/>
                <w:szCs w:val="20"/>
              </w:rPr>
            </w:pPr>
            <w:r>
              <w:rPr>
                <w:color w:val="000000"/>
                <w:sz w:val="20"/>
                <w:szCs w:val="20"/>
              </w:rPr>
              <w:t>The Nasdaq Capital Market</w:t>
            </w:r>
          </w:p>
        </w:tc>
      </w:tr>
    </w:tbl>
    <w:p w14:paraId="6C7667D3" w14:textId="77777777" w:rsidR="008D7E3A" w:rsidRDefault="008D7E3A" w:rsidP="008D7E3A">
      <w:pPr>
        <w:ind w:left="144" w:right="144"/>
        <w:rPr>
          <w:sz w:val="20"/>
          <w:szCs w:val="20"/>
        </w:rPr>
      </w:pPr>
      <w:r>
        <w:rPr>
          <w:sz w:val="20"/>
          <w:szCs w:val="20"/>
        </w:rPr>
        <w:t> </w:t>
      </w:r>
    </w:p>
    <w:p w14:paraId="157A0BCE" w14:textId="77777777" w:rsidR="008D7E3A" w:rsidRDefault="008D7E3A" w:rsidP="008D7E3A">
      <w:pPr>
        <w:ind w:left="144" w:right="144"/>
        <w:rPr>
          <w:sz w:val="20"/>
          <w:szCs w:val="20"/>
        </w:rPr>
      </w:pPr>
      <w:r>
        <w:rPr>
          <w:sz w:val="20"/>
          <w:szCs w:val="20"/>
        </w:rPr>
        <w:t>Indicate by check mark whether the Registrant is an emerging growth company as defined in Rule 405 of the Securities Act of 1933 (Section 230.405 of this chapter) or Rule 12b-2 of the Securities Exchange Act of 1934 (Section 240.12b-2 of this chapter).</w:t>
      </w:r>
    </w:p>
    <w:p w14:paraId="0623A4F2" w14:textId="77777777" w:rsidR="008D7E3A" w:rsidRDefault="008D7E3A" w:rsidP="008D7E3A">
      <w:pPr>
        <w:ind w:left="144" w:right="144"/>
        <w:rPr>
          <w:sz w:val="20"/>
          <w:szCs w:val="20"/>
        </w:rPr>
      </w:pPr>
      <w:r>
        <w:rPr>
          <w:sz w:val="20"/>
          <w:szCs w:val="20"/>
        </w:rPr>
        <w:t xml:space="preserve">Emerging growth company </w:t>
      </w:r>
      <w:r>
        <w:rPr>
          <w:rFonts w:ascii="Segoe UI Symbol" w:eastAsia="Segoe UI Symbol" w:hAnsi="Segoe UI Symbol" w:cs="Segoe UI Symbol"/>
          <w:sz w:val="20"/>
          <w:szCs w:val="20"/>
        </w:rPr>
        <w:t>☐</w:t>
      </w:r>
    </w:p>
    <w:p w14:paraId="207B99DA" w14:textId="77777777" w:rsidR="008D7E3A" w:rsidRDefault="008D7E3A" w:rsidP="008D7E3A">
      <w:pPr>
        <w:ind w:left="144" w:right="144"/>
        <w:rPr>
          <w:sz w:val="20"/>
          <w:szCs w:val="20"/>
        </w:rPr>
      </w:pPr>
      <w:r>
        <w:rPr>
          <w:sz w:val="20"/>
          <w:szCs w:val="20"/>
        </w:rPr>
        <w:t> </w:t>
      </w:r>
    </w:p>
    <w:p w14:paraId="40CA140A" w14:textId="77777777" w:rsidR="008D7E3A" w:rsidRDefault="008D7E3A" w:rsidP="008D7E3A">
      <w:pPr>
        <w:ind w:left="144" w:right="144"/>
        <w:rPr>
          <w:sz w:val="20"/>
          <w:szCs w:val="20"/>
        </w:rPr>
      </w:pPr>
      <w:r>
        <w:rPr>
          <w:sz w:val="20"/>
          <w:szCs w:val="20"/>
        </w:rPr>
        <w:t xml:space="preserve">If an emerging growth company, indicate by check mark if the Registrant has elected not to use the extended transition period for complying with any new or revised financial reporting standards provided pursuant to Section 13(a) of the Exchange Act. </w:t>
      </w:r>
      <w:r>
        <w:rPr>
          <w:rFonts w:ascii="Segoe UI Symbol" w:eastAsia="Segoe UI Symbol" w:hAnsi="Segoe UI Symbol" w:cs="Segoe UI Symbol"/>
          <w:sz w:val="20"/>
          <w:szCs w:val="20"/>
        </w:rPr>
        <w:t>☐</w:t>
      </w:r>
    </w:p>
    <w:p w14:paraId="236FA74A" w14:textId="77777777" w:rsidR="008D7E3A" w:rsidRDefault="008D7E3A" w:rsidP="008D7E3A">
      <w:pPr>
        <w:ind w:left="144" w:right="144"/>
        <w:rPr>
          <w:sz w:val="20"/>
          <w:szCs w:val="20"/>
        </w:rPr>
      </w:pPr>
      <w:r>
        <w:rPr>
          <w:sz w:val="20"/>
          <w:szCs w:val="20"/>
        </w:rPr>
        <w:t> </w:t>
      </w:r>
    </w:p>
    <w:p w14:paraId="06EB8D1A" w14:textId="68ACC2AE" w:rsidR="003F3DEB" w:rsidRPr="003F3DEB" w:rsidRDefault="008D7E3A" w:rsidP="003F3DEB">
      <w:pPr>
        <w:ind w:left="144" w:right="144"/>
        <w:rPr>
          <w:sz w:val="20"/>
          <w:szCs w:val="20"/>
        </w:rPr>
      </w:pPr>
      <w:r>
        <w:rPr>
          <w:sz w:val="20"/>
          <w:szCs w:val="20"/>
        </w:rPr>
        <w:br w:type="page"/>
      </w:r>
      <w:r w:rsidR="003F3DEB" w:rsidRPr="00C36B57">
        <w:rPr>
          <w:b/>
          <w:sz w:val="20"/>
          <w:szCs w:val="20"/>
        </w:rPr>
        <w:lastRenderedPageBreak/>
        <w:t>Forward-Looking Statements</w:t>
      </w:r>
    </w:p>
    <w:p w14:paraId="1590C75C" w14:textId="77777777" w:rsidR="003F3DEB" w:rsidRDefault="003F3DEB" w:rsidP="003F3DEB">
      <w:pPr>
        <w:ind w:left="144" w:right="144"/>
        <w:jc w:val="both"/>
        <w:rPr>
          <w:sz w:val="20"/>
          <w:szCs w:val="20"/>
        </w:rPr>
      </w:pPr>
    </w:p>
    <w:p w14:paraId="6E3CCEA3" w14:textId="77777777" w:rsidR="003F3DEB" w:rsidRDefault="003F3DEB" w:rsidP="003F3DEB">
      <w:pPr>
        <w:ind w:left="144" w:right="144"/>
        <w:jc w:val="both"/>
        <w:rPr>
          <w:sz w:val="20"/>
          <w:szCs w:val="20"/>
        </w:rPr>
      </w:pPr>
      <w:r>
        <w:rPr>
          <w:sz w:val="20"/>
          <w:szCs w:val="20"/>
        </w:rPr>
        <w:t xml:space="preserve">This Current Report on Form 8-K and other reports filed by the Company from time to time with the Securities and Exchange Commission (collectively the “Filings”) contain forward-looking statements and information that are based upon beliefs of, and information currently available to, the Company’s management as well as estimates and assumptions made by the Company’s management. When used in the Filings the words “anticipate”, “believe”, “estimate”, “expect”, “future”, “intend”, “plan” or the negative of these terms and similar expressions as they relate to the Company or the Company’s management identify forward looking statements.  Such statements reflect the current view of the Company with respect to future events and are subject to risks, uncertainties, </w:t>
      </w:r>
      <w:proofErr w:type="gramStart"/>
      <w:r>
        <w:rPr>
          <w:sz w:val="20"/>
          <w:szCs w:val="20"/>
        </w:rPr>
        <w:t>assumptions</w:t>
      </w:r>
      <w:proofErr w:type="gramEnd"/>
      <w:r>
        <w:rPr>
          <w:sz w:val="20"/>
          <w:szCs w:val="20"/>
        </w:rPr>
        <w:t xml:space="preserve"> and other factors relating to the Company’s industry, operations and results of operations and any businesses that may be acquired by the Company. Should one or more of these risks or uncertainties materialize, or should the underlying assumptions prove incorrect, actual results may differ significantly from those anticipated, believed, estimated, expected, </w:t>
      </w:r>
      <w:proofErr w:type="gramStart"/>
      <w:r>
        <w:rPr>
          <w:sz w:val="20"/>
          <w:szCs w:val="20"/>
        </w:rPr>
        <w:t>intended</w:t>
      </w:r>
      <w:proofErr w:type="gramEnd"/>
      <w:r>
        <w:rPr>
          <w:sz w:val="20"/>
          <w:szCs w:val="20"/>
        </w:rPr>
        <w:t xml:space="preserve"> or planned. Except as required by law, the Company does not undertake to update its forward-looking statements.</w:t>
      </w:r>
    </w:p>
    <w:p w14:paraId="357A8194" w14:textId="062B9709" w:rsidR="003F3DEB" w:rsidRDefault="003F3DEB" w:rsidP="00241DEF">
      <w:pPr>
        <w:ind w:right="144"/>
        <w:rPr>
          <w:sz w:val="20"/>
          <w:szCs w:val="20"/>
        </w:rPr>
      </w:pPr>
    </w:p>
    <w:tbl>
      <w:tblPr>
        <w:tblW w:w="5000" w:type="pct"/>
        <w:tblInd w:w="149" w:type="dxa"/>
        <w:tblCellMar>
          <w:left w:w="0" w:type="dxa"/>
          <w:right w:w="0" w:type="dxa"/>
        </w:tblCellMar>
        <w:tblLook w:val="04A0" w:firstRow="1" w:lastRow="0" w:firstColumn="1" w:lastColumn="0" w:noHBand="0" w:noVBand="1"/>
      </w:tblPr>
      <w:tblGrid>
        <w:gridCol w:w="1260"/>
        <w:gridCol w:w="9540"/>
      </w:tblGrid>
      <w:tr w:rsidR="003F3DEB" w14:paraId="5220B9A4" w14:textId="77777777" w:rsidTr="00272EA7">
        <w:tc>
          <w:tcPr>
            <w:tcW w:w="1260" w:type="dxa"/>
            <w:tcMar>
              <w:top w:w="5" w:type="dxa"/>
              <w:left w:w="5" w:type="dxa"/>
              <w:bottom w:w="5" w:type="dxa"/>
              <w:right w:w="5" w:type="dxa"/>
            </w:tcMar>
            <w:hideMark/>
          </w:tcPr>
          <w:p w14:paraId="37C9D000" w14:textId="77777777" w:rsidR="003F3DEB" w:rsidRDefault="003F3DEB" w:rsidP="00272EA7">
            <w:pPr>
              <w:rPr>
                <w:color w:val="000000"/>
                <w:sz w:val="20"/>
                <w:szCs w:val="20"/>
              </w:rPr>
            </w:pPr>
            <w:r>
              <w:rPr>
                <w:b/>
                <w:bCs/>
                <w:color w:val="000000"/>
                <w:sz w:val="20"/>
                <w:szCs w:val="20"/>
              </w:rPr>
              <w:t xml:space="preserve">Item 2.02 </w:t>
            </w:r>
          </w:p>
        </w:tc>
        <w:tc>
          <w:tcPr>
            <w:tcW w:w="0" w:type="auto"/>
            <w:tcMar>
              <w:top w:w="5" w:type="dxa"/>
              <w:left w:w="5" w:type="dxa"/>
              <w:bottom w:w="5" w:type="dxa"/>
              <w:right w:w="5" w:type="dxa"/>
            </w:tcMar>
            <w:hideMark/>
          </w:tcPr>
          <w:p w14:paraId="543D638B" w14:textId="77777777" w:rsidR="003F3DEB" w:rsidRDefault="003F3DEB" w:rsidP="00272EA7">
            <w:pPr>
              <w:rPr>
                <w:color w:val="000000"/>
                <w:sz w:val="20"/>
                <w:szCs w:val="20"/>
              </w:rPr>
            </w:pPr>
            <w:r>
              <w:rPr>
                <w:b/>
                <w:bCs/>
                <w:color w:val="000000"/>
                <w:sz w:val="20"/>
                <w:szCs w:val="20"/>
              </w:rPr>
              <w:t>Results of Operations and Financial Condition.</w:t>
            </w:r>
          </w:p>
        </w:tc>
      </w:tr>
    </w:tbl>
    <w:p w14:paraId="4C7EA2DE" w14:textId="77777777" w:rsidR="003F3DEB" w:rsidRDefault="003F3DEB" w:rsidP="003F3DEB">
      <w:pPr>
        <w:ind w:left="144" w:right="144"/>
        <w:rPr>
          <w:sz w:val="20"/>
          <w:szCs w:val="20"/>
        </w:rPr>
      </w:pPr>
      <w:r>
        <w:rPr>
          <w:b/>
          <w:bCs/>
          <w:i/>
          <w:iCs/>
          <w:sz w:val="20"/>
          <w:szCs w:val="20"/>
        </w:rPr>
        <w:t> </w:t>
      </w:r>
      <w:r>
        <w:rPr>
          <w:sz w:val="20"/>
          <w:szCs w:val="20"/>
        </w:rPr>
        <w:t> </w:t>
      </w:r>
    </w:p>
    <w:p w14:paraId="313AF3C5" w14:textId="22453A3C" w:rsidR="003F3DEB" w:rsidRDefault="003F3DEB" w:rsidP="003F3DEB">
      <w:pPr>
        <w:ind w:left="144" w:right="144"/>
        <w:jc w:val="both"/>
        <w:rPr>
          <w:sz w:val="20"/>
          <w:szCs w:val="20"/>
        </w:rPr>
      </w:pPr>
      <w:r>
        <w:rPr>
          <w:bCs/>
          <w:sz w:val="20"/>
          <w:szCs w:val="20"/>
        </w:rPr>
        <w:t xml:space="preserve">On </w:t>
      </w:r>
      <w:r w:rsidR="00F470EC">
        <w:rPr>
          <w:bCs/>
          <w:sz w:val="20"/>
          <w:szCs w:val="20"/>
        </w:rPr>
        <w:t>March</w:t>
      </w:r>
      <w:r>
        <w:rPr>
          <w:bCs/>
          <w:sz w:val="20"/>
          <w:szCs w:val="20"/>
        </w:rPr>
        <w:t xml:space="preserve"> </w:t>
      </w:r>
      <w:r w:rsidR="00F470EC">
        <w:rPr>
          <w:bCs/>
          <w:sz w:val="20"/>
          <w:szCs w:val="20"/>
        </w:rPr>
        <w:t>23</w:t>
      </w:r>
      <w:r>
        <w:rPr>
          <w:bCs/>
          <w:sz w:val="20"/>
          <w:szCs w:val="20"/>
        </w:rPr>
        <w:t>, 202</w:t>
      </w:r>
      <w:r w:rsidR="00F470EC">
        <w:rPr>
          <w:bCs/>
          <w:sz w:val="20"/>
          <w:szCs w:val="20"/>
        </w:rPr>
        <w:t>3</w:t>
      </w:r>
      <w:r>
        <w:rPr>
          <w:bCs/>
          <w:sz w:val="20"/>
          <w:szCs w:val="20"/>
        </w:rPr>
        <w:t xml:space="preserve">, </w:t>
      </w:r>
      <w:r w:rsidR="00EC3F8A">
        <w:rPr>
          <w:bCs/>
          <w:sz w:val="20"/>
          <w:szCs w:val="20"/>
        </w:rPr>
        <w:t xml:space="preserve">GeoVax Labs, Inc. (the “Company”) </w:t>
      </w:r>
      <w:r>
        <w:rPr>
          <w:bCs/>
          <w:sz w:val="20"/>
          <w:szCs w:val="20"/>
        </w:rPr>
        <w:t xml:space="preserve">issued a press release reporting </w:t>
      </w:r>
      <w:r w:rsidR="00EC3F8A">
        <w:rPr>
          <w:bCs/>
          <w:sz w:val="20"/>
          <w:szCs w:val="20"/>
        </w:rPr>
        <w:t xml:space="preserve">its </w:t>
      </w:r>
      <w:r>
        <w:rPr>
          <w:bCs/>
          <w:sz w:val="20"/>
          <w:szCs w:val="20"/>
        </w:rPr>
        <w:t xml:space="preserve">results of operations for the </w:t>
      </w:r>
      <w:r w:rsidR="00F470EC">
        <w:rPr>
          <w:bCs/>
          <w:sz w:val="20"/>
          <w:szCs w:val="20"/>
        </w:rPr>
        <w:t>year</w:t>
      </w:r>
      <w:r>
        <w:rPr>
          <w:bCs/>
          <w:sz w:val="20"/>
          <w:szCs w:val="20"/>
        </w:rPr>
        <w:t xml:space="preserve"> ended </w:t>
      </w:r>
      <w:r w:rsidR="00F470EC">
        <w:rPr>
          <w:bCs/>
          <w:sz w:val="20"/>
          <w:szCs w:val="20"/>
        </w:rPr>
        <w:t>December 31</w:t>
      </w:r>
      <w:r>
        <w:rPr>
          <w:bCs/>
          <w:sz w:val="20"/>
          <w:szCs w:val="20"/>
        </w:rPr>
        <w:t>, 202</w:t>
      </w:r>
      <w:r w:rsidR="00AA2DDC">
        <w:rPr>
          <w:bCs/>
          <w:sz w:val="20"/>
          <w:szCs w:val="20"/>
        </w:rPr>
        <w:t>2</w:t>
      </w:r>
      <w:r>
        <w:rPr>
          <w:bCs/>
          <w:sz w:val="20"/>
          <w:szCs w:val="20"/>
        </w:rPr>
        <w:t>.</w:t>
      </w:r>
      <w:r>
        <w:rPr>
          <w:sz w:val="20"/>
          <w:szCs w:val="20"/>
        </w:rPr>
        <w:t xml:space="preserve"> A copy of the press release is attached as Exhibit 99.</w:t>
      </w:r>
      <w:r w:rsidR="00EC3F8A">
        <w:rPr>
          <w:sz w:val="20"/>
          <w:szCs w:val="20"/>
        </w:rPr>
        <w:t>1</w:t>
      </w:r>
      <w:r>
        <w:rPr>
          <w:sz w:val="20"/>
          <w:szCs w:val="20"/>
        </w:rPr>
        <w:t xml:space="preserve"> to this Current Report on Form 8-K</w:t>
      </w:r>
      <w:r>
        <w:rPr>
          <w:bCs/>
          <w:sz w:val="20"/>
          <w:szCs w:val="20"/>
        </w:rPr>
        <w:t>.</w:t>
      </w:r>
      <w:r>
        <w:rPr>
          <w:sz w:val="20"/>
          <w:szCs w:val="20"/>
        </w:rPr>
        <w:t xml:space="preserve"> </w:t>
      </w:r>
    </w:p>
    <w:p w14:paraId="1C41C417" w14:textId="77777777" w:rsidR="00F404C4" w:rsidRDefault="00F404C4" w:rsidP="00C36B57">
      <w:pPr>
        <w:ind w:right="144"/>
        <w:rPr>
          <w:sz w:val="20"/>
          <w:szCs w:val="20"/>
        </w:rPr>
      </w:pPr>
    </w:p>
    <w:p w14:paraId="413D330F" w14:textId="77777777" w:rsidR="00BB7014" w:rsidRDefault="00BB7014" w:rsidP="00F100FC">
      <w:pPr>
        <w:ind w:right="144"/>
        <w:jc w:val="both"/>
        <w:rPr>
          <w:sz w:val="20"/>
          <w:szCs w:val="20"/>
        </w:rPr>
      </w:pPr>
    </w:p>
    <w:tbl>
      <w:tblPr>
        <w:tblW w:w="5000" w:type="pct"/>
        <w:tblInd w:w="149" w:type="dxa"/>
        <w:tblCellMar>
          <w:left w:w="0" w:type="dxa"/>
          <w:right w:w="0" w:type="dxa"/>
        </w:tblCellMar>
        <w:tblLook w:val="04A0" w:firstRow="1" w:lastRow="0" w:firstColumn="1" w:lastColumn="0" w:noHBand="0" w:noVBand="1"/>
      </w:tblPr>
      <w:tblGrid>
        <w:gridCol w:w="1260"/>
        <w:gridCol w:w="9540"/>
      </w:tblGrid>
      <w:tr w:rsidR="008D7E3A" w14:paraId="188F57B2" w14:textId="77777777" w:rsidTr="008D7E3A">
        <w:tc>
          <w:tcPr>
            <w:tcW w:w="1260" w:type="dxa"/>
            <w:tcMar>
              <w:top w:w="5" w:type="dxa"/>
              <w:left w:w="5" w:type="dxa"/>
              <w:bottom w:w="5" w:type="dxa"/>
              <w:right w:w="5" w:type="dxa"/>
            </w:tcMar>
            <w:hideMark/>
          </w:tcPr>
          <w:p w14:paraId="3842769B" w14:textId="77777777" w:rsidR="008D7E3A" w:rsidRDefault="008D7E3A">
            <w:pPr>
              <w:rPr>
                <w:color w:val="000000"/>
                <w:sz w:val="20"/>
                <w:szCs w:val="20"/>
              </w:rPr>
            </w:pPr>
            <w:r>
              <w:rPr>
                <w:b/>
                <w:bCs/>
                <w:color w:val="000000"/>
                <w:sz w:val="20"/>
                <w:szCs w:val="20"/>
              </w:rPr>
              <w:t xml:space="preserve">Item 9.01 </w:t>
            </w:r>
          </w:p>
        </w:tc>
        <w:tc>
          <w:tcPr>
            <w:tcW w:w="0" w:type="auto"/>
            <w:tcMar>
              <w:top w:w="5" w:type="dxa"/>
              <w:left w:w="5" w:type="dxa"/>
              <w:bottom w:w="5" w:type="dxa"/>
              <w:right w:w="5" w:type="dxa"/>
            </w:tcMar>
            <w:hideMark/>
          </w:tcPr>
          <w:p w14:paraId="68CCEC3A" w14:textId="77777777" w:rsidR="008D7E3A" w:rsidRDefault="008D7E3A">
            <w:pPr>
              <w:rPr>
                <w:color w:val="000000"/>
                <w:sz w:val="20"/>
                <w:szCs w:val="20"/>
              </w:rPr>
            </w:pPr>
            <w:r>
              <w:rPr>
                <w:b/>
                <w:bCs/>
                <w:color w:val="000000"/>
                <w:sz w:val="20"/>
                <w:szCs w:val="20"/>
              </w:rPr>
              <w:t>Financial Statements and Exhibits.</w:t>
            </w:r>
          </w:p>
        </w:tc>
      </w:tr>
    </w:tbl>
    <w:p w14:paraId="4E240D59" w14:textId="77777777" w:rsidR="008D7E3A" w:rsidRDefault="008D7E3A" w:rsidP="008D7E3A">
      <w:pPr>
        <w:ind w:left="144" w:right="144"/>
        <w:rPr>
          <w:sz w:val="20"/>
          <w:szCs w:val="20"/>
        </w:rPr>
      </w:pPr>
      <w:r>
        <w:rPr>
          <w:b/>
          <w:bCs/>
          <w:sz w:val="20"/>
          <w:szCs w:val="20"/>
        </w:rPr>
        <w:t> </w:t>
      </w:r>
    </w:p>
    <w:p w14:paraId="5820E653" w14:textId="77777777" w:rsidR="008D7E3A" w:rsidRDefault="008D7E3A" w:rsidP="008D7E3A">
      <w:pPr>
        <w:ind w:left="144" w:right="144"/>
        <w:rPr>
          <w:sz w:val="20"/>
          <w:szCs w:val="20"/>
        </w:rPr>
      </w:pPr>
      <w:r>
        <w:rPr>
          <w:sz w:val="20"/>
          <w:szCs w:val="20"/>
        </w:rPr>
        <w:t>(d)     Exhibits</w:t>
      </w:r>
    </w:p>
    <w:tbl>
      <w:tblPr>
        <w:tblW w:w="5000" w:type="pct"/>
        <w:tblInd w:w="149" w:type="dxa"/>
        <w:tblCellMar>
          <w:left w:w="0" w:type="dxa"/>
          <w:right w:w="0" w:type="dxa"/>
        </w:tblCellMar>
        <w:tblLook w:val="04A0" w:firstRow="1" w:lastRow="0" w:firstColumn="1" w:lastColumn="0" w:noHBand="0" w:noVBand="1"/>
      </w:tblPr>
      <w:tblGrid>
        <w:gridCol w:w="1296"/>
        <w:gridCol w:w="9504"/>
      </w:tblGrid>
      <w:tr w:rsidR="008D7E3A" w14:paraId="30A37310" w14:textId="77777777" w:rsidTr="008D7E3A">
        <w:tc>
          <w:tcPr>
            <w:tcW w:w="600" w:type="pct"/>
            <w:tcMar>
              <w:top w:w="5" w:type="dxa"/>
              <w:left w:w="5" w:type="dxa"/>
              <w:bottom w:w="5" w:type="dxa"/>
              <w:right w:w="5" w:type="dxa"/>
            </w:tcMar>
            <w:hideMark/>
          </w:tcPr>
          <w:p w14:paraId="49316493" w14:textId="762331DA" w:rsidR="008D7E3A" w:rsidRDefault="008D7E3A">
            <w:pPr>
              <w:ind w:left="180"/>
              <w:rPr>
                <w:color w:val="000000"/>
                <w:sz w:val="20"/>
                <w:szCs w:val="20"/>
              </w:rPr>
            </w:pPr>
            <w:r>
              <w:rPr>
                <w:sz w:val="20"/>
                <w:szCs w:val="20"/>
              </w:rPr>
              <w:t> </w:t>
            </w:r>
            <w:r>
              <w:rPr>
                <w:color w:val="000000"/>
                <w:sz w:val="20"/>
                <w:szCs w:val="20"/>
                <w:u w:val="single" w:color="000000"/>
              </w:rPr>
              <w:t>Exhibit No.</w:t>
            </w:r>
          </w:p>
        </w:tc>
        <w:tc>
          <w:tcPr>
            <w:tcW w:w="4400" w:type="pct"/>
            <w:tcMar>
              <w:top w:w="5" w:type="dxa"/>
              <w:left w:w="5" w:type="dxa"/>
              <w:bottom w:w="5" w:type="dxa"/>
              <w:right w:w="5" w:type="dxa"/>
            </w:tcMar>
            <w:hideMark/>
          </w:tcPr>
          <w:p w14:paraId="06EC41C2" w14:textId="77777777" w:rsidR="008D7E3A" w:rsidRDefault="008D7E3A">
            <w:pPr>
              <w:rPr>
                <w:color w:val="000000"/>
                <w:sz w:val="20"/>
                <w:szCs w:val="20"/>
              </w:rPr>
            </w:pPr>
            <w:r>
              <w:rPr>
                <w:color w:val="000000"/>
                <w:sz w:val="20"/>
                <w:szCs w:val="20"/>
                <w:u w:val="single" w:color="000000"/>
              </w:rPr>
              <w:t>Description</w:t>
            </w:r>
          </w:p>
        </w:tc>
      </w:tr>
      <w:tr w:rsidR="008D7E3A" w14:paraId="32E025F6" w14:textId="77777777" w:rsidTr="008D7E3A">
        <w:tc>
          <w:tcPr>
            <w:tcW w:w="600" w:type="pct"/>
            <w:tcMar>
              <w:top w:w="5" w:type="dxa"/>
              <w:left w:w="5" w:type="dxa"/>
              <w:bottom w:w="5" w:type="dxa"/>
              <w:right w:w="5" w:type="dxa"/>
            </w:tcMar>
            <w:hideMark/>
          </w:tcPr>
          <w:p w14:paraId="09820083" w14:textId="77777777" w:rsidR="008D7E3A" w:rsidRDefault="008D7E3A">
            <w:pPr>
              <w:ind w:left="180"/>
              <w:rPr>
                <w:sz w:val="20"/>
                <w:szCs w:val="20"/>
              </w:rPr>
            </w:pPr>
            <w:r>
              <w:rPr>
                <w:sz w:val="20"/>
                <w:szCs w:val="20"/>
              </w:rPr>
              <w:t>99.1</w:t>
            </w:r>
          </w:p>
        </w:tc>
        <w:tc>
          <w:tcPr>
            <w:tcW w:w="4400" w:type="pct"/>
            <w:tcMar>
              <w:top w:w="5" w:type="dxa"/>
              <w:left w:w="5" w:type="dxa"/>
              <w:bottom w:w="5" w:type="dxa"/>
              <w:right w:w="5" w:type="dxa"/>
            </w:tcMar>
            <w:hideMark/>
          </w:tcPr>
          <w:p w14:paraId="5B5A50F1" w14:textId="0F2F4C22" w:rsidR="008D7E3A" w:rsidRDefault="00EC3F8A" w:rsidP="00EC3F8A">
            <w:pPr>
              <w:rPr>
                <w:sz w:val="20"/>
                <w:szCs w:val="20"/>
              </w:rPr>
            </w:pPr>
            <w:r w:rsidRPr="00B02C57">
              <w:rPr>
                <w:bCs/>
                <w:sz w:val="20"/>
                <w:szCs w:val="20"/>
              </w:rPr>
              <w:t xml:space="preserve">Press Release dated </w:t>
            </w:r>
            <w:r w:rsidR="00F470EC">
              <w:rPr>
                <w:bCs/>
                <w:sz w:val="20"/>
                <w:szCs w:val="20"/>
              </w:rPr>
              <w:t>March</w:t>
            </w:r>
            <w:r w:rsidR="00B02C57" w:rsidRPr="00B02C57">
              <w:rPr>
                <w:bCs/>
                <w:sz w:val="20"/>
                <w:szCs w:val="20"/>
              </w:rPr>
              <w:t xml:space="preserve"> </w:t>
            </w:r>
            <w:r w:rsidR="00F470EC">
              <w:rPr>
                <w:bCs/>
                <w:sz w:val="20"/>
                <w:szCs w:val="20"/>
              </w:rPr>
              <w:t>23</w:t>
            </w:r>
            <w:r w:rsidRPr="00B02C57">
              <w:rPr>
                <w:bCs/>
                <w:sz w:val="20"/>
                <w:szCs w:val="20"/>
              </w:rPr>
              <w:t>, 202</w:t>
            </w:r>
            <w:r w:rsidR="00F470EC">
              <w:rPr>
                <w:bCs/>
                <w:sz w:val="20"/>
                <w:szCs w:val="20"/>
              </w:rPr>
              <w:t>3</w:t>
            </w:r>
          </w:p>
        </w:tc>
      </w:tr>
      <w:tr w:rsidR="00BC6263" w14:paraId="2D4C5F1F" w14:textId="77777777" w:rsidTr="008D7E3A">
        <w:tc>
          <w:tcPr>
            <w:tcW w:w="600" w:type="pct"/>
            <w:tcMar>
              <w:top w:w="5" w:type="dxa"/>
              <w:left w:w="5" w:type="dxa"/>
              <w:bottom w:w="5" w:type="dxa"/>
              <w:right w:w="5" w:type="dxa"/>
            </w:tcMar>
          </w:tcPr>
          <w:p w14:paraId="21AF7946" w14:textId="40C001CF" w:rsidR="00BC6263" w:rsidRDefault="00BC6263" w:rsidP="00BC6263">
            <w:pPr>
              <w:ind w:left="180"/>
              <w:rPr>
                <w:sz w:val="20"/>
                <w:szCs w:val="20"/>
              </w:rPr>
            </w:pPr>
            <w:r>
              <w:rPr>
                <w:sz w:val="20"/>
                <w:szCs w:val="20"/>
              </w:rPr>
              <w:t>104</w:t>
            </w:r>
          </w:p>
        </w:tc>
        <w:tc>
          <w:tcPr>
            <w:tcW w:w="4400" w:type="pct"/>
            <w:tcMar>
              <w:top w:w="5" w:type="dxa"/>
              <w:left w:w="5" w:type="dxa"/>
              <w:bottom w:w="5" w:type="dxa"/>
              <w:right w:w="5" w:type="dxa"/>
            </w:tcMar>
          </w:tcPr>
          <w:p w14:paraId="63CC3CFB" w14:textId="584ABFD9" w:rsidR="00BC6263" w:rsidRDefault="00BC6263" w:rsidP="00BC6263">
            <w:pPr>
              <w:rPr>
                <w:sz w:val="20"/>
                <w:szCs w:val="20"/>
              </w:rPr>
            </w:pPr>
            <w:r w:rsidRPr="00A7711D">
              <w:rPr>
                <w:sz w:val="20"/>
                <w:szCs w:val="20"/>
              </w:rPr>
              <w:t>Cover Page Interactive Data File (embedded within the Inline XBRL document)</w:t>
            </w:r>
          </w:p>
        </w:tc>
      </w:tr>
    </w:tbl>
    <w:p w14:paraId="3B0F25FB" w14:textId="77777777" w:rsidR="00BB7014" w:rsidRDefault="00BB7014" w:rsidP="008D7E3A">
      <w:pPr>
        <w:ind w:left="144" w:right="144"/>
        <w:jc w:val="center"/>
        <w:rPr>
          <w:b/>
          <w:bCs/>
          <w:sz w:val="20"/>
          <w:szCs w:val="20"/>
        </w:rPr>
      </w:pPr>
    </w:p>
    <w:p w14:paraId="21C94549" w14:textId="77777777" w:rsidR="00BB7014" w:rsidRDefault="00BB7014" w:rsidP="008D7E3A">
      <w:pPr>
        <w:ind w:left="144" w:right="144"/>
        <w:jc w:val="center"/>
        <w:rPr>
          <w:b/>
          <w:bCs/>
          <w:sz w:val="20"/>
          <w:szCs w:val="20"/>
        </w:rPr>
      </w:pPr>
    </w:p>
    <w:p w14:paraId="11D34B34" w14:textId="77777777" w:rsidR="00BB7014" w:rsidRDefault="00BB7014" w:rsidP="008D7E3A">
      <w:pPr>
        <w:ind w:left="144" w:right="144"/>
        <w:jc w:val="center"/>
        <w:rPr>
          <w:b/>
          <w:bCs/>
          <w:sz w:val="20"/>
          <w:szCs w:val="20"/>
        </w:rPr>
      </w:pPr>
    </w:p>
    <w:p w14:paraId="7154307C" w14:textId="77777777" w:rsidR="00BB7014" w:rsidRDefault="00BB7014" w:rsidP="008D7E3A">
      <w:pPr>
        <w:ind w:left="144" w:right="144"/>
        <w:jc w:val="center"/>
        <w:rPr>
          <w:b/>
          <w:bCs/>
          <w:sz w:val="20"/>
          <w:szCs w:val="20"/>
        </w:rPr>
      </w:pPr>
    </w:p>
    <w:p w14:paraId="637EFEC5" w14:textId="77777777" w:rsidR="00C36B57" w:rsidRDefault="00C36B57">
      <w:pPr>
        <w:rPr>
          <w:b/>
          <w:bCs/>
          <w:sz w:val="20"/>
          <w:szCs w:val="20"/>
        </w:rPr>
      </w:pPr>
      <w:r>
        <w:rPr>
          <w:b/>
          <w:bCs/>
          <w:sz w:val="20"/>
          <w:szCs w:val="20"/>
        </w:rPr>
        <w:br w:type="page"/>
      </w:r>
    </w:p>
    <w:p w14:paraId="7F943D3B" w14:textId="4471F98A" w:rsidR="008D7E3A" w:rsidRDefault="008D7E3A" w:rsidP="008D7E3A">
      <w:pPr>
        <w:ind w:left="144" w:right="144"/>
        <w:jc w:val="center"/>
        <w:rPr>
          <w:sz w:val="20"/>
          <w:szCs w:val="20"/>
        </w:rPr>
      </w:pPr>
      <w:r>
        <w:rPr>
          <w:b/>
          <w:bCs/>
          <w:sz w:val="20"/>
          <w:szCs w:val="20"/>
        </w:rPr>
        <w:lastRenderedPageBreak/>
        <w:t>SIGNATURE</w:t>
      </w:r>
    </w:p>
    <w:p w14:paraId="74FE07D3" w14:textId="77777777" w:rsidR="008D7E3A" w:rsidRDefault="008D7E3A" w:rsidP="008D7E3A">
      <w:pPr>
        <w:ind w:left="144" w:right="144"/>
        <w:rPr>
          <w:sz w:val="20"/>
          <w:szCs w:val="20"/>
        </w:rPr>
      </w:pPr>
      <w:r>
        <w:rPr>
          <w:sz w:val="20"/>
          <w:szCs w:val="20"/>
        </w:rPr>
        <w:t> </w:t>
      </w:r>
    </w:p>
    <w:p w14:paraId="507F328C" w14:textId="77777777" w:rsidR="008D7E3A" w:rsidRDefault="008D7E3A" w:rsidP="008D7E3A">
      <w:pPr>
        <w:ind w:left="144" w:right="144"/>
        <w:rPr>
          <w:sz w:val="20"/>
          <w:szCs w:val="20"/>
        </w:rPr>
      </w:pPr>
      <w:r>
        <w:rPr>
          <w:sz w:val="20"/>
          <w:szCs w:val="20"/>
        </w:rPr>
        <w:t>Pursuant to the requirements of the Securities Exchange Act of 1934, the Registrant has duly caused this report to be signed on its behalf by the undersigned hereunto duly authorized.</w:t>
      </w:r>
    </w:p>
    <w:p w14:paraId="3AC2F94E" w14:textId="77777777" w:rsidR="008D7E3A" w:rsidRDefault="008D7E3A" w:rsidP="008D7E3A">
      <w:pPr>
        <w:ind w:left="144" w:right="144"/>
        <w:rPr>
          <w:sz w:val="20"/>
          <w:szCs w:val="20"/>
        </w:rPr>
      </w:pPr>
      <w:r>
        <w:rPr>
          <w:sz w:val="20"/>
          <w:szCs w:val="20"/>
        </w:rPr>
        <w:t> </w:t>
      </w:r>
    </w:p>
    <w:p w14:paraId="64E2F402" w14:textId="78FED49C" w:rsidR="008D7E3A" w:rsidRDefault="008D7E3A" w:rsidP="008D7E3A">
      <w:pPr>
        <w:ind w:left="144" w:right="144"/>
        <w:rPr>
          <w:sz w:val="20"/>
          <w:szCs w:val="20"/>
        </w:rPr>
      </w:pPr>
      <w:r>
        <w:rPr>
          <w:sz w:val="20"/>
          <w:szCs w:val="20"/>
        </w:rPr>
        <w:t xml:space="preserve">Date: </w:t>
      </w:r>
      <w:r w:rsidR="00F470EC">
        <w:rPr>
          <w:sz w:val="20"/>
          <w:szCs w:val="20"/>
        </w:rPr>
        <w:t>March</w:t>
      </w:r>
      <w:r w:rsidR="004D4E0A">
        <w:rPr>
          <w:sz w:val="20"/>
          <w:szCs w:val="20"/>
        </w:rPr>
        <w:t xml:space="preserve"> </w:t>
      </w:r>
      <w:r w:rsidR="00F470EC">
        <w:rPr>
          <w:sz w:val="20"/>
          <w:szCs w:val="20"/>
        </w:rPr>
        <w:t>24</w:t>
      </w:r>
      <w:r>
        <w:rPr>
          <w:sz w:val="20"/>
          <w:szCs w:val="20"/>
        </w:rPr>
        <w:t>, 202</w:t>
      </w:r>
      <w:r w:rsidR="00F470EC">
        <w:rPr>
          <w:sz w:val="20"/>
          <w:szCs w:val="20"/>
        </w:rPr>
        <w:t>3</w:t>
      </w:r>
    </w:p>
    <w:p w14:paraId="71B7E649" w14:textId="77777777" w:rsidR="008D7E3A" w:rsidRDefault="008D7E3A" w:rsidP="008D7E3A">
      <w:pPr>
        <w:ind w:left="144" w:right="144"/>
        <w:rPr>
          <w:sz w:val="20"/>
          <w:szCs w:val="20"/>
        </w:rPr>
      </w:pPr>
      <w:r>
        <w:rPr>
          <w:sz w:val="20"/>
          <w:szCs w:val="20"/>
        </w:rPr>
        <w:t> </w:t>
      </w:r>
    </w:p>
    <w:tbl>
      <w:tblPr>
        <w:tblW w:w="5000" w:type="pct"/>
        <w:tblInd w:w="149" w:type="dxa"/>
        <w:tblCellMar>
          <w:left w:w="0" w:type="dxa"/>
          <w:right w:w="0" w:type="dxa"/>
        </w:tblCellMar>
        <w:tblLook w:val="04A0" w:firstRow="1" w:lastRow="0" w:firstColumn="1" w:lastColumn="0" w:noHBand="0" w:noVBand="1"/>
      </w:tblPr>
      <w:tblGrid>
        <w:gridCol w:w="5400"/>
        <w:gridCol w:w="335"/>
        <w:gridCol w:w="3780"/>
        <w:gridCol w:w="1285"/>
      </w:tblGrid>
      <w:tr w:rsidR="008D7E3A" w14:paraId="30F84C9B" w14:textId="77777777" w:rsidTr="008D7E3A">
        <w:tc>
          <w:tcPr>
            <w:tcW w:w="2500" w:type="pct"/>
            <w:tcMar>
              <w:top w:w="5" w:type="dxa"/>
              <w:left w:w="5" w:type="dxa"/>
              <w:bottom w:w="5" w:type="dxa"/>
              <w:right w:w="5" w:type="dxa"/>
            </w:tcMar>
            <w:hideMark/>
          </w:tcPr>
          <w:p w14:paraId="370A7E7F" w14:textId="77777777" w:rsidR="008D7E3A" w:rsidRDefault="008D7E3A">
            <w:pPr>
              <w:rPr>
                <w:color w:val="000000"/>
                <w:sz w:val="20"/>
                <w:szCs w:val="20"/>
              </w:rPr>
            </w:pPr>
            <w:r>
              <w:rPr>
                <w:color w:val="000000"/>
                <w:sz w:val="20"/>
                <w:szCs w:val="20"/>
              </w:rPr>
              <w:t> </w:t>
            </w:r>
          </w:p>
        </w:tc>
        <w:tc>
          <w:tcPr>
            <w:tcW w:w="1905" w:type="pct"/>
            <w:gridSpan w:val="2"/>
            <w:tcMar>
              <w:top w:w="5" w:type="dxa"/>
              <w:left w:w="5" w:type="dxa"/>
              <w:bottom w:w="5" w:type="dxa"/>
              <w:right w:w="5" w:type="dxa"/>
            </w:tcMar>
            <w:hideMark/>
          </w:tcPr>
          <w:p w14:paraId="28A3B145" w14:textId="77777777" w:rsidR="008D7E3A" w:rsidRDefault="008D7E3A">
            <w:pPr>
              <w:rPr>
                <w:color w:val="000000"/>
                <w:sz w:val="20"/>
                <w:szCs w:val="20"/>
              </w:rPr>
            </w:pPr>
            <w:r>
              <w:rPr>
                <w:color w:val="000000"/>
                <w:sz w:val="20"/>
                <w:szCs w:val="20"/>
              </w:rPr>
              <w:t>GEOVAX LABS, INC.</w:t>
            </w:r>
          </w:p>
        </w:tc>
        <w:tc>
          <w:tcPr>
            <w:tcW w:w="595" w:type="pct"/>
            <w:tcMar>
              <w:top w:w="5" w:type="dxa"/>
              <w:left w:w="5" w:type="dxa"/>
              <w:bottom w:w="5" w:type="dxa"/>
              <w:right w:w="5" w:type="dxa"/>
            </w:tcMar>
            <w:hideMark/>
          </w:tcPr>
          <w:p w14:paraId="2AD46375" w14:textId="77777777" w:rsidR="008D7E3A" w:rsidRDefault="008D7E3A">
            <w:pPr>
              <w:rPr>
                <w:color w:val="000000"/>
                <w:sz w:val="20"/>
                <w:szCs w:val="20"/>
              </w:rPr>
            </w:pPr>
            <w:r>
              <w:rPr>
                <w:color w:val="000000"/>
                <w:sz w:val="20"/>
                <w:szCs w:val="20"/>
              </w:rPr>
              <w:t> </w:t>
            </w:r>
          </w:p>
        </w:tc>
      </w:tr>
      <w:tr w:rsidR="008D7E3A" w14:paraId="3738A2D0" w14:textId="77777777" w:rsidTr="008D7E3A">
        <w:tc>
          <w:tcPr>
            <w:tcW w:w="2500" w:type="pct"/>
            <w:tcMar>
              <w:top w:w="5" w:type="dxa"/>
              <w:left w:w="5" w:type="dxa"/>
              <w:bottom w:w="5" w:type="dxa"/>
              <w:right w:w="5" w:type="dxa"/>
            </w:tcMar>
            <w:hideMark/>
          </w:tcPr>
          <w:p w14:paraId="409FACA0" w14:textId="77777777" w:rsidR="008D7E3A" w:rsidRDefault="008D7E3A">
            <w:pPr>
              <w:rPr>
                <w:color w:val="000000"/>
                <w:sz w:val="20"/>
                <w:szCs w:val="20"/>
              </w:rPr>
            </w:pPr>
            <w:r>
              <w:rPr>
                <w:color w:val="000000"/>
                <w:sz w:val="20"/>
                <w:szCs w:val="20"/>
              </w:rPr>
              <w:t> </w:t>
            </w:r>
          </w:p>
        </w:tc>
        <w:tc>
          <w:tcPr>
            <w:tcW w:w="1905" w:type="pct"/>
            <w:gridSpan w:val="2"/>
            <w:tcMar>
              <w:top w:w="5" w:type="dxa"/>
              <w:left w:w="5" w:type="dxa"/>
              <w:bottom w:w="5" w:type="dxa"/>
              <w:right w:w="5" w:type="dxa"/>
            </w:tcMar>
            <w:hideMark/>
          </w:tcPr>
          <w:p w14:paraId="48AE598E" w14:textId="77777777" w:rsidR="008D7E3A" w:rsidRDefault="008D7E3A">
            <w:pPr>
              <w:rPr>
                <w:color w:val="000000"/>
                <w:sz w:val="20"/>
                <w:szCs w:val="20"/>
              </w:rPr>
            </w:pPr>
            <w:r>
              <w:rPr>
                <w:color w:val="000000"/>
                <w:sz w:val="20"/>
                <w:szCs w:val="20"/>
              </w:rPr>
              <w:t> </w:t>
            </w:r>
          </w:p>
        </w:tc>
        <w:tc>
          <w:tcPr>
            <w:tcW w:w="595" w:type="pct"/>
            <w:tcMar>
              <w:top w:w="5" w:type="dxa"/>
              <w:left w:w="5" w:type="dxa"/>
              <w:bottom w:w="5" w:type="dxa"/>
              <w:right w:w="5" w:type="dxa"/>
            </w:tcMar>
            <w:hideMark/>
          </w:tcPr>
          <w:p w14:paraId="63AE77D9" w14:textId="77777777" w:rsidR="008D7E3A" w:rsidRDefault="008D7E3A">
            <w:pPr>
              <w:rPr>
                <w:color w:val="000000"/>
                <w:sz w:val="20"/>
                <w:szCs w:val="20"/>
              </w:rPr>
            </w:pPr>
            <w:r>
              <w:rPr>
                <w:color w:val="000000"/>
                <w:sz w:val="20"/>
                <w:szCs w:val="20"/>
              </w:rPr>
              <w:t> </w:t>
            </w:r>
          </w:p>
        </w:tc>
      </w:tr>
      <w:tr w:rsidR="008D7E3A" w14:paraId="4F849B23" w14:textId="77777777" w:rsidTr="008D7E3A">
        <w:tc>
          <w:tcPr>
            <w:tcW w:w="2500" w:type="pct"/>
            <w:tcMar>
              <w:top w:w="5" w:type="dxa"/>
              <w:left w:w="5" w:type="dxa"/>
              <w:bottom w:w="5" w:type="dxa"/>
              <w:right w:w="5" w:type="dxa"/>
            </w:tcMar>
            <w:hideMark/>
          </w:tcPr>
          <w:p w14:paraId="12CADD62" w14:textId="77777777" w:rsidR="008D7E3A" w:rsidRDefault="008D7E3A">
            <w:pPr>
              <w:rPr>
                <w:color w:val="000000"/>
                <w:sz w:val="20"/>
                <w:szCs w:val="20"/>
              </w:rPr>
            </w:pPr>
            <w:r>
              <w:rPr>
                <w:color w:val="000000"/>
                <w:sz w:val="20"/>
                <w:szCs w:val="20"/>
              </w:rPr>
              <w:t> </w:t>
            </w:r>
          </w:p>
        </w:tc>
        <w:tc>
          <w:tcPr>
            <w:tcW w:w="1905" w:type="pct"/>
            <w:gridSpan w:val="2"/>
            <w:tcMar>
              <w:top w:w="5" w:type="dxa"/>
              <w:left w:w="5" w:type="dxa"/>
              <w:bottom w:w="5" w:type="dxa"/>
              <w:right w:w="5" w:type="dxa"/>
            </w:tcMar>
            <w:hideMark/>
          </w:tcPr>
          <w:p w14:paraId="0B9BA796" w14:textId="77777777" w:rsidR="008D7E3A" w:rsidRDefault="008D7E3A">
            <w:pPr>
              <w:rPr>
                <w:color w:val="000000"/>
                <w:sz w:val="20"/>
                <w:szCs w:val="20"/>
              </w:rPr>
            </w:pPr>
            <w:r>
              <w:rPr>
                <w:color w:val="000000"/>
                <w:sz w:val="20"/>
                <w:szCs w:val="20"/>
              </w:rPr>
              <w:t> </w:t>
            </w:r>
          </w:p>
        </w:tc>
        <w:tc>
          <w:tcPr>
            <w:tcW w:w="595" w:type="pct"/>
            <w:tcMar>
              <w:top w:w="5" w:type="dxa"/>
              <w:left w:w="5" w:type="dxa"/>
              <w:bottom w:w="5" w:type="dxa"/>
              <w:right w:w="5" w:type="dxa"/>
            </w:tcMar>
            <w:hideMark/>
          </w:tcPr>
          <w:p w14:paraId="6D78D4B2" w14:textId="77777777" w:rsidR="008D7E3A" w:rsidRDefault="008D7E3A">
            <w:pPr>
              <w:rPr>
                <w:color w:val="000000"/>
                <w:sz w:val="20"/>
                <w:szCs w:val="20"/>
              </w:rPr>
            </w:pPr>
            <w:r>
              <w:rPr>
                <w:color w:val="000000"/>
                <w:sz w:val="20"/>
                <w:szCs w:val="20"/>
              </w:rPr>
              <w:t> </w:t>
            </w:r>
          </w:p>
        </w:tc>
      </w:tr>
      <w:tr w:rsidR="008D7E3A" w14:paraId="04C3C72F" w14:textId="77777777" w:rsidTr="008D7E3A">
        <w:tc>
          <w:tcPr>
            <w:tcW w:w="2500" w:type="pct"/>
            <w:tcMar>
              <w:top w:w="5" w:type="dxa"/>
              <w:left w:w="5" w:type="dxa"/>
              <w:bottom w:w="5" w:type="dxa"/>
              <w:right w:w="5" w:type="dxa"/>
            </w:tcMar>
            <w:hideMark/>
          </w:tcPr>
          <w:p w14:paraId="2D406BE7" w14:textId="77777777" w:rsidR="008D7E3A" w:rsidRDefault="008D7E3A">
            <w:pPr>
              <w:rPr>
                <w:color w:val="000000"/>
                <w:sz w:val="20"/>
                <w:szCs w:val="20"/>
              </w:rPr>
            </w:pPr>
            <w:r>
              <w:rPr>
                <w:color w:val="000000"/>
                <w:sz w:val="20"/>
                <w:szCs w:val="20"/>
              </w:rPr>
              <w:t> </w:t>
            </w:r>
          </w:p>
        </w:tc>
        <w:tc>
          <w:tcPr>
            <w:tcW w:w="155" w:type="pct"/>
            <w:tcMar>
              <w:top w:w="5" w:type="dxa"/>
              <w:left w:w="5" w:type="dxa"/>
              <w:bottom w:w="5" w:type="dxa"/>
              <w:right w:w="5" w:type="dxa"/>
            </w:tcMar>
            <w:hideMark/>
          </w:tcPr>
          <w:p w14:paraId="1B783CC2" w14:textId="77777777" w:rsidR="008D7E3A" w:rsidRDefault="008D7E3A">
            <w:pPr>
              <w:rPr>
                <w:color w:val="000000"/>
                <w:sz w:val="20"/>
                <w:szCs w:val="20"/>
              </w:rPr>
            </w:pPr>
            <w:r>
              <w:rPr>
                <w:color w:val="000000"/>
                <w:sz w:val="20"/>
                <w:szCs w:val="20"/>
              </w:rPr>
              <w:t>By:</w:t>
            </w:r>
          </w:p>
        </w:tc>
        <w:tc>
          <w:tcPr>
            <w:tcW w:w="1750" w:type="pct"/>
            <w:tcBorders>
              <w:top w:val="nil"/>
              <w:left w:val="nil"/>
              <w:bottom w:val="single" w:sz="6" w:space="0" w:color="000000"/>
              <w:right w:val="nil"/>
            </w:tcBorders>
            <w:tcMar>
              <w:top w:w="5" w:type="dxa"/>
              <w:left w:w="5" w:type="dxa"/>
              <w:bottom w:w="8" w:type="dxa"/>
              <w:right w:w="5" w:type="dxa"/>
            </w:tcMar>
            <w:hideMark/>
          </w:tcPr>
          <w:p w14:paraId="6EBFAF06" w14:textId="77777777" w:rsidR="008D7E3A" w:rsidRDefault="008D7E3A">
            <w:pPr>
              <w:rPr>
                <w:color w:val="000000"/>
                <w:sz w:val="20"/>
                <w:szCs w:val="20"/>
              </w:rPr>
            </w:pPr>
            <w:r>
              <w:rPr>
                <w:color w:val="000000"/>
                <w:sz w:val="20"/>
                <w:szCs w:val="20"/>
              </w:rPr>
              <w:t>/s/ Mark W. Reynolds</w:t>
            </w:r>
          </w:p>
        </w:tc>
        <w:tc>
          <w:tcPr>
            <w:tcW w:w="595" w:type="pct"/>
            <w:tcMar>
              <w:top w:w="5" w:type="dxa"/>
              <w:left w:w="5" w:type="dxa"/>
              <w:bottom w:w="5" w:type="dxa"/>
              <w:right w:w="5" w:type="dxa"/>
            </w:tcMar>
            <w:hideMark/>
          </w:tcPr>
          <w:p w14:paraId="4AAA5D22" w14:textId="77777777" w:rsidR="008D7E3A" w:rsidRDefault="008D7E3A">
            <w:pPr>
              <w:rPr>
                <w:color w:val="000000"/>
                <w:sz w:val="20"/>
                <w:szCs w:val="20"/>
              </w:rPr>
            </w:pPr>
            <w:r>
              <w:rPr>
                <w:color w:val="000000"/>
                <w:sz w:val="20"/>
                <w:szCs w:val="20"/>
              </w:rPr>
              <w:t> </w:t>
            </w:r>
          </w:p>
        </w:tc>
      </w:tr>
      <w:tr w:rsidR="008D7E3A" w14:paraId="70400E79" w14:textId="77777777" w:rsidTr="008D7E3A">
        <w:tc>
          <w:tcPr>
            <w:tcW w:w="2500" w:type="pct"/>
            <w:tcMar>
              <w:top w:w="5" w:type="dxa"/>
              <w:left w:w="5" w:type="dxa"/>
              <w:bottom w:w="5" w:type="dxa"/>
              <w:right w:w="5" w:type="dxa"/>
            </w:tcMar>
            <w:hideMark/>
          </w:tcPr>
          <w:p w14:paraId="65BD03C7" w14:textId="77777777" w:rsidR="008D7E3A" w:rsidRDefault="008D7E3A">
            <w:pPr>
              <w:rPr>
                <w:color w:val="000000"/>
                <w:sz w:val="20"/>
                <w:szCs w:val="20"/>
              </w:rPr>
            </w:pPr>
            <w:r>
              <w:rPr>
                <w:color w:val="000000"/>
                <w:sz w:val="20"/>
                <w:szCs w:val="20"/>
              </w:rPr>
              <w:t> </w:t>
            </w:r>
          </w:p>
        </w:tc>
        <w:tc>
          <w:tcPr>
            <w:tcW w:w="155" w:type="pct"/>
            <w:tcMar>
              <w:top w:w="5" w:type="dxa"/>
              <w:left w:w="5" w:type="dxa"/>
              <w:bottom w:w="5" w:type="dxa"/>
              <w:right w:w="5" w:type="dxa"/>
            </w:tcMar>
            <w:hideMark/>
          </w:tcPr>
          <w:p w14:paraId="1F46E1DB" w14:textId="77777777" w:rsidR="008D7E3A" w:rsidRDefault="008D7E3A">
            <w:pPr>
              <w:rPr>
                <w:color w:val="000000"/>
                <w:sz w:val="20"/>
                <w:szCs w:val="20"/>
              </w:rPr>
            </w:pPr>
            <w:r>
              <w:rPr>
                <w:color w:val="000000"/>
                <w:sz w:val="20"/>
                <w:szCs w:val="20"/>
              </w:rPr>
              <w:t> </w:t>
            </w:r>
          </w:p>
        </w:tc>
        <w:tc>
          <w:tcPr>
            <w:tcW w:w="1750" w:type="pct"/>
            <w:tcMar>
              <w:top w:w="5" w:type="dxa"/>
              <w:left w:w="5" w:type="dxa"/>
              <w:bottom w:w="5" w:type="dxa"/>
              <w:right w:w="5" w:type="dxa"/>
            </w:tcMar>
            <w:vAlign w:val="bottom"/>
            <w:hideMark/>
          </w:tcPr>
          <w:p w14:paraId="7D534BFF" w14:textId="77777777" w:rsidR="008D7E3A" w:rsidRDefault="008D7E3A">
            <w:pPr>
              <w:rPr>
                <w:color w:val="000000"/>
                <w:sz w:val="20"/>
                <w:szCs w:val="20"/>
              </w:rPr>
            </w:pPr>
            <w:r>
              <w:rPr>
                <w:color w:val="000000"/>
                <w:sz w:val="20"/>
                <w:szCs w:val="20"/>
              </w:rPr>
              <w:t>Mark W. Reynolds</w:t>
            </w:r>
          </w:p>
        </w:tc>
        <w:tc>
          <w:tcPr>
            <w:tcW w:w="595" w:type="pct"/>
            <w:tcMar>
              <w:top w:w="5" w:type="dxa"/>
              <w:left w:w="5" w:type="dxa"/>
              <w:bottom w:w="5" w:type="dxa"/>
              <w:right w:w="5" w:type="dxa"/>
            </w:tcMar>
            <w:hideMark/>
          </w:tcPr>
          <w:p w14:paraId="7F9773BD" w14:textId="77777777" w:rsidR="008D7E3A" w:rsidRDefault="008D7E3A">
            <w:pPr>
              <w:rPr>
                <w:color w:val="000000"/>
                <w:sz w:val="20"/>
                <w:szCs w:val="20"/>
              </w:rPr>
            </w:pPr>
            <w:r>
              <w:rPr>
                <w:color w:val="000000"/>
                <w:sz w:val="20"/>
                <w:szCs w:val="20"/>
              </w:rPr>
              <w:t> </w:t>
            </w:r>
          </w:p>
        </w:tc>
      </w:tr>
      <w:tr w:rsidR="008D7E3A" w14:paraId="1A236024" w14:textId="77777777" w:rsidTr="008D7E3A">
        <w:tc>
          <w:tcPr>
            <w:tcW w:w="2500" w:type="pct"/>
            <w:tcMar>
              <w:top w:w="5" w:type="dxa"/>
              <w:left w:w="5" w:type="dxa"/>
              <w:bottom w:w="5" w:type="dxa"/>
              <w:right w:w="5" w:type="dxa"/>
            </w:tcMar>
            <w:hideMark/>
          </w:tcPr>
          <w:p w14:paraId="647818B0" w14:textId="77777777" w:rsidR="008D7E3A" w:rsidRDefault="008D7E3A">
            <w:pPr>
              <w:rPr>
                <w:color w:val="000000"/>
                <w:sz w:val="20"/>
                <w:szCs w:val="20"/>
              </w:rPr>
            </w:pPr>
            <w:r>
              <w:rPr>
                <w:color w:val="000000"/>
                <w:sz w:val="20"/>
                <w:szCs w:val="20"/>
              </w:rPr>
              <w:t> </w:t>
            </w:r>
          </w:p>
        </w:tc>
        <w:tc>
          <w:tcPr>
            <w:tcW w:w="155" w:type="pct"/>
            <w:tcMar>
              <w:top w:w="5" w:type="dxa"/>
              <w:left w:w="5" w:type="dxa"/>
              <w:bottom w:w="5" w:type="dxa"/>
              <w:right w:w="5" w:type="dxa"/>
            </w:tcMar>
            <w:hideMark/>
          </w:tcPr>
          <w:p w14:paraId="6E5804F5" w14:textId="77777777" w:rsidR="008D7E3A" w:rsidRDefault="008D7E3A">
            <w:pPr>
              <w:rPr>
                <w:color w:val="000000"/>
                <w:sz w:val="20"/>
                <w:szCs w:val="20"/>
              </w:rPr>
            </w:pPr>
            <w:r>
              <w:rPr>
                <w:color w:val="000000"/>
                <w:sz w:val="20"/>
                <w:szCs w:val="20"/>
              </w:rPr>
              <w:t> </w:t>
            </w:r>
          </w:p>
        </w:tc>
        <w:tc>
          <w:tcPr>
            <w:tcW w:w="1750" w:type="pct"/>
            <w:tcMar>
              <w:top w:w="5" w:type="dxa"/>
              <w:left w:w="5" w:type="dxa"/>
              <w:bottom w:w="5" w:type="dxa"/>
              <w:right w:w="5" w:type="dxa"/>
            </w:tcMar>
            <w:hideMark/>
          </w:tcPr>
          <w:p w14:paraId="41C30FDC" w14:textId="77777777" w:rsidR="008D7E3A" w:rsidRDefault="008D7E3A">
            <w:pPr>
              <w:rPr>
                <w:color w:val="000000"/>
                <w:sz w:val="20"/>
                <w:szCs w:val="20"/>
              </w:rPr>
            </w:pPr>
            <w:r>
              <w:rPr>
                <w:color w:val="000000"/>
                <w:sz w:val="20"/>
                <w:szCs w:val="20"/>
              </w:rPr>
              <w:t>Chief Financial Officer</w:t>
            </w:r>
          </w:p>
        </w:tc>
        <w:tc>
          <w:tcPr>
            <w:tcW w:w="595" w:type="pct"/>
            <w:tcMar>
              <w:top w:w="5" w:type="dxa"/>
              <w:left w:w="5" w:type="dxa"/>
              <w:bottom w:w="5" w:type="dxa"/>
              <w:right w:w="5" w:type="dxa"/>
            </w:tcMar>
            <w:hideMark/>
          </w:tcPr>
          <w:p w14:paraId="73443147" w14:textId="77777777" w:rsidR="008D7E3A" w:rsidRDefault="008D7E3A">
            <w:pPr>
              <w:rPr>
                <w:color w:val="000000"/>
                <w:sz w:val="20"/>
                <w:szCs w:val="20"/>
              </w:rPr>
            </w:pPr>
            <w:r>
              <w:rPr>
                <w:color w:val="000000"/>
                <w:sz w:val="20"/>
                <w:szCs w:val="20"/>
              </w:rPr>
              <w:t> </w:t>
            </w:r>
          </w:p>
        </w:tc>
      </w:tr>
      <w:tr w:rsidR="008D7E3A" w14:paraId="0ED9B5DF" w14:textId="77777777" w:rsidTr="008D7E3A">
        <w:tc>
          <w:tcPr>
            <w:tcW w:w="2500" w:type="pct"/>
            <w:tcMar>
              <w:top w:w="5" w:type="dxa"/>
              <w:left w:w="5" w:type="dxa"/>
              <w:bottom w:w="5" w:type="dxa"/>
              <w:right w:w="5" w:type="dxa"/>
            </w:tcMar>
            <w:hideMark/>
          </w:tcPr>
          <w:p w14:paraId="5A2BF58E" w14:textId="77777777" w:rsidR="008D7E3A" w:rsidRDefault="008D7E3A">
            <w:pPr>
              <w:rPr>
                <w:color w:val="000000"/>
                <w:sz w:val="20"/>
                <w:szCs w:val="20"/>
              </w:rPr>
            </w:pPr>
            <w:r>
              <w:rPr>
                <w:color w:val="000000"/>
                <w:sz w:val="20"/>
                <w:szCs w:val="20"/>
              </w:rPr>
              <w:t> </w:t>
            </w:r>
          </w:p>
        </w:tc>
        <w:tc>
          <w:tcPr>
            <w:tcW w:w="155" w:type="pct"/>
            <w:tcMar>
              <w:top w:w="5" w:type="dxa"/>
              <w:left w:w="5" w:type="dxa"/>
              <w:bottom w:w="5" w:type="dxa"/>
              <w:right w:w="5" w:type="dxa"/>
            </w:tcMar>
            <w:hideMark/>
          </w:tcPr>
          <w:p w14:paraId="6378366E" w14:textId="77777777" w:rsidR="008D7E3A" w:rsidRDefault="008D7E3A">
            <w:pPr>
              <w:rPr>
                <w:color w:val="000000"/>
                <w:sz w:val="20"/>
                <w:szCs w:val="20"/>
              </w:rPr>
            </w:pPr>
            <w:r>
              <w:rPr>
                <w:color w:val="000000"/>
                <w:sz w:val="20"/>
                <w:szCs w:val="20"/>
              </w:rPr>
              <w:t> </w:t>
            </w:r>
          </w:p>
        </w:tc>
        <w:tc>
          <w:tcPr>
            <w:tcW w:w="1750" w:type="pct"/>
            <w:tcMar>
              <w:top w:w="5" w:type="dxa"/>
              <w:left w:w="5" w:type="dxa"/>
              <w:bottom w:w="5" w:type="dxa"/>
              <w:right w:w="5" w:type="dxa"/>
            </w:tcMar>
            <w:hideMark/>
          </w:tcPr>
          <w:p w14:paraId="15CCFEBE" w14:textId="77777777" w:rsidR="008D7E3A" w:rsidRDefault="008D7E3A">
            <w:pPr>
              <w:rPr>
                <w:color w:val="000000"/>
                <w:sz w:val="20"/>
                <w:szCs w:val="20"/>
              </w:rPr>
            </w:pPr>
            <w:r>
              <w:rPr>
                <w:color w:val="000000"/>
                <w:sz w:val="20"/>
                <w:szCs w:val="20"/>
              </w:rPr>
              <w:t> </w:t>
            </w:r>
          </w:p>
        </w:tc>
        <w:tc>
          <w:tcPr>
            <w:tcW w:w="595" w:type="pct"/>
            <w:tcMar>
              <w:top w:w="5" w:type="dxa"/>
              <w:left w:w="5" w:type="dxa"/>
              <w:bottom w:w="5" w:type="dxa"/>
              <w:right w:w="5" w:type="dxa"/>
            </w:tcMar>
            <w:hideMark/>
          </w:tcPr>
          <w:p w14:paraId="74557E43" w14:textId="77777777" w:rsidR="008D7E3A" w:rsidRDefault="008D7E3A">
            <w:pPr>
              <w:rPr>
                <w:color w:val="000000"/>
                <w:sz w:val="20"/>
                <w:szCs w:val="20"/>
              </w:rPr>
            </w:pPr>
            <w:r>
              <w:rPr>
                <w:color w:val="000000"/>
                <w:sz w:val="20"/>
                <w:szCs w:val="20"/>
              </w:rPr>
              <w:t> </w:t>
            </w:r>
          </w:p>
        </w:tc>
      </w:tr>
    </w:tbl>
    <w:p w14:paraId="5122E448" w14:textId="77777777" w:rsidR="008D7E3A" w:rsidRDefault="008D7E3A" w:rsidP="008D7E3A">
      <w:pPr>
        <w:ind w:left="144" w:right="144"/>
        <w:rPr>
          <w:sz w:val="20"/>
          <w:szCs w:val="20"/>
        </w:rPr>
      </w:pPr>
    </w:p>
    <w:p w14:paraId="584FF72D" w14:textId="77777777" w:rsidR="00854D59" w:rsidRDefault="00854D59" w:rsidP="008D7E3A">
      <w:pPr>
        <w:sectPr w:rsidR="00854D59">
          <w:footerReference w:type="default" r:id="rId8"/>
          <w:pgSz w:w="12240" w:h="15840"/>
          <w:pgMar w:top="576" w:right="720" w:bottom="576" w:left="720" w:header="144" w:footer="432" w:gutter="0"/>
          <w:cols w:space="720"/>
        </w:sectPr>
      </w:pPr>
    </w:p>
    <w:p w14:paraId="09BA4777" w14:textId="77777777" w:rsidR="00854D59" w:rsidRPr="00854D59" w:rsidRDefault="00854D59" w:rsidP="00854D59">
      <w:pPr>
        <w:widowControl w:val="0"/>
        <w:autoSpaceDE w:val="0"/>
        <w:autoSpaceDN w:val="0"/>
        <w:adjustRightInd w:val="0"/>
        <w:jc w:val="center"/>
        <w:rPr>
          <w:b/>
          <w:bCs/>
          <w:color w:val="FF0000"/>
          <w:sz w:val="32"/>
          <w:szCs w:val="32"/>
        </w:rPr>
      </w:pPr>
    </w:p>
    <w:p w14:paraId="4A5456DA" w14:textId="77777777" w:rsidR="00854D59" w:rsidRPr="00854D59" w:rsidRDefault="00854D59" w:rsidP="00854D59">
      <w:pPr>
        <w:widowControl w:val="0"/>
        <w:autoSpaceDE w:val="0"/>
        <w:autoSpaceDN w:val="0"/>
        <w:adjustRightInd w:val="0"/>
        <w:jc w:val="center"/>
        <w:rPr>
          <w:b/>
          <w:bCs/>
          <w:sz w:val="32"/>
          <w:szCs w:val="32"/>
        </w:rPr>
      </w:pPr>
      <w:r w:rsidRPr="00854D59">
        <w:rPr>
          <w:b/>
          <w:bCs/>
          <w:sz w:val="32"/>
          <w:szCs w:val="32"/>
        </w:rPr>
        <w:t>GeoVax Reports 2022 Year-End Financial Results</w:t>
      </w:r>
    </w:p>
    <w:p w14:paraId="2094D2FF" w14:textId="77777777" w:rsidR="00854D59" w:rsidRPr="00854D59" w:rsidRDefault="00854D59" w:rsidP="00854D59">
      <w:pPr>
        <w:widowControl w:val="0"/>
        <w:autoSpaceDE w:val="0"/>
        <w:autoSpaceDN w:val="0"/>
        <w:adjustRightInd w:val="0"/>
        <w:jc w:val="center"/>
        <w:rPr>
          <w:b/>
          <w:bCs/>
          <w:sz w:val="32"/>
          <w:szCs w:val="32"/>
        </w:rPr>
      </w:pPr>
      <w:r w:rsidRPr="00854D59">
        <w:rPr>
          <w:b/>
          <w:bCs/>
          <w:sz w:val="32"/>
          <w:szCs w:val="32"/>
        </w:rPr>
        <w:t>And Provides Corporate Update</w:t>
      </w:r>
    </w:p>
    <w:p w14:paraId="086F4666" w14:textId="77777777" w:rsidR="00854D59" w:rsidRPr="00854D59" w:rsidRDefault="00854D59" w:rsidP="00854D59">
      <w:pPr>
        <w:widowControl w:val="0"/>
        <w:autoSpaceDE w:val="0"/>
        <w:autoSpaceDN w:val="0"/>
        <w:adjustRightInd w:val="0"/>
        <w:rPr>
          <w:bCs/>
          <w:sz w:val="22"/>
          <w:szCs w:val="22"/>
        </w:rPr>
      </w:pPr>
    </w:p>
    <w:p w14:paraId="2FEC6EA7" w14:textId="77777777" w:rsidR="00854D59" w:rsidRPr="00854D59" w:rsidRDefault="00854D59" w:rsidP="00854D59">
      <w:pPr>
        <w:widowControl w:val="0"/>
        <w:autoSpaceDE w:val="0"/>
        <w:autoSpaceDN w:val="0"/>
        <w:adjustRightInd w:val="0"/>
        <w:jc w:val="center"/>
        <w:rPr>
          <w:b/>
          <w:i/>
          <w:iCs/>
        </w:rPr>
      </w:pPr>
      <w:r w:rsidRPr="00854D59">
        <w:rPr>
          <w:b/>
          <w:i/>
          <w:iCs/>
        </w:rPr>
        <w:t>Company Expands Ongoing Clinical Trials and the</w:t>
      </w:r>
    </w:p>
    <w:p w14:paraId="1C5DCDF8" w14:textId="77777777" w:rsidR="00854D59" w:rsidRPr="00854D59" w:rsidRDefault="00854D59" w:rsidP="00854D59">
      <w:pPr>
        <w:widowControl w:val="0"/>
        <w:autoSpaceDE w:val="0"/>
        <w:autoSpaceDN w:val="0"/>
        <w:adjustRightInd w:val="0"/>
        <w:jc w:val="center"/>
        <w:rPr>
          <w:b/>
          <w:i/>
          <w:iCs/>
        </w:rPr>
      </w:pPr>
      <w:r w:rsidRPr="00854D59">
        <w:rPr>
          <w:b/>
          <w:i/>
          <w:iCs/>
        </w:rPr>
        <w:t>Breadth and Capacity of Its Novel Vaccine Platform Technology</w:t>
      </w:r>
    </w:p>
    <w:p w14:paraId="55B359A4" w14:textId="77777777" w:rsidR="00854D59" w:rsidRPr="00854D59" w:rsidRDefault="00854D59" w:rsidP="00854D59">
      <w:pPr>
        <w:widowControl w:val="0"/>
        <w:autoSpaceDE w:val="0"/>
        <w:autoSpaceDN w:val="0"/>
        <w:adjustRightInd w:val="0"/>
        <w:rPr>
          <w:bCs/>
          <w:sz w:val="20"/>
          <w:szCs w:val="20"/>
        </w:rPr>
      </w:pPr>
    </w:p>
    <w:p w14:paraId="5C82CB68" w14:textId="77777777" w:rsidR="00854D59" w:rsidRPr="00854D59" w:rsidRDefault="00854D59" w:rsidP="00854D59">
      <w:pPr>
        <w:widowControl w:val="0"/>
        <w:autoSpaceDE w:val="0"/>
        <w:autoSpaceDN w:val="0"/>
        <w:adjustRightInd w:val="0"/>
        <w:jc w:val="both"/>
        <w:rPr>
          <w:sz w:val="20"/>
          <w:szCs w:val="20"/>
        </w:rPr>
      </w:pPr>
      <w:r w:rsidRPr="00854D59">
        <w:rPr>
          <w:b/>
          <w:sz w:val="20"/>
          <w:szCs w:val="20"/>
        </w:rPr>
        <w:t>Atlanta, GA, March 23, 2023</w:t>
      </w:r>
      <w:r w:rsidRPr="00854D59">
        <w:rPr>
          <w:bCs/>
          <w:sz w:val="20"/>
          <w:szCs w:val="20"/>
        </w:rPr>
        <w:t xml:space="preserve"> –</w:t>
      </w:r>
      <w:r w:rsidRPr="00854D59">
        <w:rPr>
          <w:sz w:val="20"/>
          <w:szCs w:val="20"/>
        </w:rPr>
        <w:t xml:space="preserve"> GeoVax Labs, Inc. (Nasdaq: GOVX), a biotechnology company developing immunotherapies and vaccines against cancers and infectious diseases, today announced its financial results and key operational accomplishments for the year ended December 31, 2022. </w:t>
      </w:r>
    </w:p>
    <w:p w14:paraId="20C24507" w14:textId="77777777" w:rsidR="00854D59" w:rsidRPr="00854D59" w:rsidRDefault="00854D59" w:rsidP="00854D59">
      <w:pPr>
        <w:widowControl w:val="0"/>
        <w:autoSpaceDE w:val="0"/>
        <w:autoSpaceDN w:val="0"/>
        <w:adjustRightInd w:val="0"/>
        <w:jc w:val="both"/>
        <w:rPr>
          <w:sz w:val="20"/>
          <w:szCs w:val="20"/>
        </w:rPr>
      </w:pPr>
    </w:p>
    <w:p w14:paraId="57DED4C4" w14:textId="77777777" w:rsidR="00854D59" w:rsidRPr="00854D59" w:rsidRDefault="00854D59" w:rsidP="00854D59">
      <w:pPr>
        <w:widowControl w:val="0"/>
        <w:autoSpaceDE w:val="0"/>
        <w:autoSpaceDN w:val="0"/>
        <w:adjustRightInd w:val="0"/>
        <w:jc w:val="both"/>
        <w:rPr>
          <w:sz w:val="20"/>
          <w:szCs w:val="20"/>
        </w:rPr>
      </w:pPr>
      <w:r w:rsidRPr="00854D59">
        <w:rPr>
          <w:sz w:val="20"/>
          <w:szCs w:val="20"/>
        </w:rPr>
        <w:t>GeoVax’s leadership will host a live conference call and webcast at 4:30 p.m. Eastern Time today, March 23, 2023, to discuss financial results and provide a general business update. Details are provided below.</w:t>
      </w:r>
    </w:p>
    <w:p w14:paraId="1A953806" w14:textId="77777777" w:rsidR="00854D59" w:rsidRPr="00854D59" w:rsidRDefault="00854D59" w:rsidP="00854D59">
      <w:pPr>
        <w:widowControl w:val="0"/>
        <w:autoSpaceDE w:val="0"/>
        <w:autoSpaceDN w:val="0"/>
        <w:adjustRightInd w:val="0"/>
        <w:jc w:val="both"/>
        <w:rPr>
          <w:sz w:val="20"/>
          <w:szCs w:val="20"/>
        </w:rPr>
      </w:pPr>
    </w:p>
    <w:p w14:paraId="69930955" w14:textId="77777777" w:rsidR="00854D59" w:rsidRPr="00854D59" w:rsidRDefault="00854D59" w:rsidP="00854D59">
      <w:pPr>
        <w:widowControl w:val="0"/>
        <w:autoSpaceDE w:val="0"/>
        <w:autoSpaceDN w:val="0"/>
        <w:adjustRightInd w:val="0"/>
        <w:jc w:val="center"/>
        <w:rPr>
          <w:b/>
          <w:bCs/>
          <w:sz w:val="20"/>
          <w:szCs w:val="20"/>
          <w:u w:val="single"/>
        </w:rPr>
      </w:pPr>
      <w:r w:rsidRPr="00854D59">
        <w:rPr>
          <w:b/>
          <w:bCs/>
          <w:sz w:val="20"/>
          <w:szCs w:val="20"/>
          <w:u w:val="single"/>
        </w:rPr>
        <w:t>2022 CLINICAL TRIAL PROGRESS AND OPERATIONAL DEVELOPMENTS</w:t>
      </w:r>
    </w:p>
    <w:p w14:paraId="48D9E2D6" w14:textId="77777777" w:rsidR="00854D59" w:rsidRPr="00854D59" w:rsidRDefault="00854D59" w:rsidP="00854D59">
      <w:pPr>
        <w:widowControl w:val="0"/>
        <w:autoSpaceDE w:val="0"/>
        <w:autoSpaceDN w:val="0"/>
        <w:adjustRightInd w:val="0"/>
        <w:jc w:val="both"/>
        <w:rPr>
          <w:b/>
          <w:bCs/>
          <w:sz w:val="20"/>
          <w:szCs w:val="20"/>
          <w:u w:val="single"/>
        </w:rPr>
      </w:pPr>
    </w:p>
    <w:p w14:paraId="69E0073A" w14:textId="77777777" w:rsidR="00854D59" w:rsidRPr="00854D59" w:rsidRDefault="00854D59" w:rsidP="00854D59">
      <w:pPr>
        <w:widowControl w:val="0"/>
        <w:autoSpaceDE w:val="0"/>
        <w:autoSpaceDN w:val="0"/>
        <w:adjustRightInd w:val="0"/>
        <w:jc w:val="both"/>
        <w:rPr>
          <w:sz w:val="20"/>
          <w:szCs w:val="20"/>
        </w:rPr>
      </w:pPr>
      <w:r w:rsidRPr="00854D59">
        <w:rPr>
          <w:sz w:val="20"/>
          <w:szCs w:val="20"/>
        </w:rPr>
        <w:t>“Our corporate focus continues to be on the advancement of our ongoing clinical programs for our novel Gedeptin</w:t>
      </w:r>
      <w:r w:rsidRPr="00854D59">
        <w:rPr>
          <w:sz w:val="20"/>
          <w:szCs w:val="20"/>
          <w:vertAlign w:val="superscript"/>
        </w:rPr>
        <w:t xml:space="preserve">® </w:t>
      </w:r>
      <w:r w:rsidRPr="00854D59">
        <w:rPr>
          <w:sz w:val="20"/>
          <w:szCs w:val="20"/>
        </w:rPr>
        <w:t>cancer therapy targeting advanced head &amp; neck cancers and, our SARS-CoV-2/Covid19 vaccine, stated David Dodd, GeoVax’s Chairman and CEO.  “To that end, we have expanded to additional clinical sites and are accelerating patient enrollment for both programs, as noted in this update.  We look forward to reporting milestone progress on these trials during the remainder of 2023.”</w:t>
      </w:r>
    </w:p>
    <w:p w14:paraId="528233F4" w14:textId="77777777" w:rsidR="00854D59" w:rsidRPr="00854D59" w:rsidRDefault="00854D59" w:rsidP="00854D59">
      <w:pPr>
        <w:widowControl w:val="0"/>
        <w:autoSpaceDE w:val="0"/>
        <w:autoSpaceDN w:val="0"/>
        <w:adjustRightInd w:val="0"/>
        <w:jc w:val="both"/>
        <w:rPr>
          <w:sz w:val="20"/>
          <w:szCs w:val="20"/>
        </w:rPr>
      </w:pPr>
    </w:p>
    <w:p w14:paraId="68100974" w14:textId="77777777" w:rsidR="00854D59" w:rsidRPr="00854D59" w:rsidRDefault="00854D59" w:rsidP="00854D59">
      <w:pPr>
        <w:widowControl w:val="0"/>
        <w:autoSpaceDE w:val="0"/>
        <w:autoSpaceDN w:val="0"/>
        <w:adjustRightInd w:val="0"/>
        <w:jc w:val="both"/>
        <w:rPr>
          <w:sz w:val="20"/>
          <w:szCs w:val="20"/>
        </w:rPr>
      </w:pPr>
      <w:r w:rsidRPr="00854D59">
        <w:rPr>
          <w:sz w:val="20"/>
          <w:szCs w:val="20"/>
        </w:rPr>
        <w:t>Dodd continued, “We are also delighted to have advanced our GeoVax MVA-VLP-MUC1 immuno-oncology candidate into IND-supportive studies.  Thus far, the results from these studies are encouraging.  We also secured rights to NIH-MVA technology for further development and commercial use against Monkeypox (</w:t>
      </w:r>
      <w:proofErr w:type="spellStart"/>
      <w:r w:rsidRPr="00854D59">
        <w:rPr>
          <w:sz w:val="20"/>
          <w:szCs w:val="20"/>
        </w:rPr>
        <w:t>MPox</w:t>
      </w:r>
      <w:proofErr w:type="spellEnd"/>
      <w:r w:rsidRPr="00854D59">
        <w:rPr>
          <w:sz w:val="20"/>
          <w:szCs w:val="20"/>
        </w:rPr>
        <w:t xml:space="preserve">) and Smallpox viruses, which provides a compelling opportunity to leverage our MVA-based vaccine expertise and help expand the global public health supply options available for this ongoing worldwide public health threat.  Our intent is to be the first U.S.-based, primary supplier of </w:t>
      </w:r>
      <w:proofErr w:type="gramStart"/>
      <w:r w:rsidRPr="00854D59">
        <w:rPr>
          <w:sz w:val="20"/>
          <w:szCs w:val="20"/>
        </w:rPr>
        <w:t>a</w:t>
      </w:r>
      <w:proofErr w:type="gramEnd"/>
      <w:r w:rsidRPr="00854D59">
        <w:rPr>
          <w:sz w:val="20"/>
          <w:szCs w:val="20"/>
        </w:rPr>
        <w:t xml:space="preserve"> MVA-vaccine against </w:t>
      </w:r>
      <w:proofErr w:type="spellStart"/>
      <w:r w:rsidRPr="00854D59">
        <w:rPr>
          <w:sz w:val="20"/>
          <w:szCs w:val="20"/>
        </w:rPr>
        <w:t>Mpox</w:t>
      </w:r>
      <w:proofErr w:type="spellEnd"/>
      <w:r w:rsidRPr="00854D59">
        <w:rPr>
          <w:sz w:val="20"/>
          <w:szCs w:val="20"/>
        </w:rPr>
        <w:t xml:space="preserve"> and Smallpox.”</w:t>
      </w:r>
    </w:p>
    <w:p w14:paraId="4A47A3F9" w14:textId="77777777" w:rsidR="00854D59" w:rsidRPr="00854D59" w:rsidRDefault="00854D59" w:rsidP="00854D59">
      <w:pPr>
        <w:widowControl w:val="0"/>
        <w:autoSpaceDE w:val="0"/>
        <w:autoSpaceDN w:val="0"/>
        <w:adjustRightInd w:val="0"/>
        <w:jc w:val="both"/>
        <w:rPr>
          <w:sz w:val="20"/>
          <w:szCs w:val="20"/>
        </w:rPr>
      </w:pPr>
    </w:p>
    <w:p w14:paraId="396A5276" w14:textId="77777777" w:rsidR="00854D59" w:rsidRPr="00854D59" w:rsidRDefault="00854D59" w:rsidP="00854D59">
      <w:pPr>
        <w:widowControl w:val="0"/>
        <w:autoSpaceDE w:val="0"/>
        <w:autoSpaceDN w:val="0"/>
        <w:adjustRightInd w:val="0"/>
        <w:jc w:val="both"/>
        <w:rPr>
          <w:sz w:val="20"/>
          <w:szCs w:val="20"/>
        </w:rPr>
      </w:pPr>
      <w:r w:rsidRPr="00854D59">
        <w:rPr>
          <w:sz w:val="20"/>
          <w:szCs w:val="20"/>
        </w:rPr>
        <w:t>Dodd concluded, “We recently announced important progress t</w:t>
      </w:r>
      <w:r w:rsidRPr="00854D59">
        <w:rPr>
          <w:color w:val="000000"/>
          <w:sz w:val="20"/>
          <w:szCs w:val="20"/>
        </w:rPr>
        <w:t>oward developing a high-yield, high-capacity, avian cell line system for manufacturing MVA-based vaccines</w:t>
      </w:r>
      <w:r w:rsidRPr="00854D59">
        <w:rPr>
          <w:sz w:val="20"/>
          <w:szCs w:val="20"/>
        </w:rPr>
        <w:t xml:space="preserve">. Developing such a process will be nothing short of transformational – for GeoVax, biomedicine, and public health worldwide. By advancing our MVA manufacturing to a modern, interchangeable process, we are on course to expand MVA applications from stockpile-based solutions for niche medical markets to have the capability to respond to world needs on a timely basis. This well positions us to potentially become the first US-based supplier of the MVA vaccine to prevent </w:t>
      </w:r>
      <w:proofErr w:type="spellStart"/>
      <w:r w:rsidRPr="00854D59">
        <w:rPr>
          <w:sz w:val="20"/>
          <w:szCs w:val="20"/>
        </w:rPr>
        <w:t>MPox</w:t>
      </w:r>
      <w:proofErr w:type="spellEnd"/>
      <w:r w:rsidRPr="00854D59">
        <w:rPr>
          <w:sz w:val="20"/>
          <w:szCs w:val="20"/>
        </w:rPr>
        <w:t>, Smallpox, and other pox-related viruses.  Finally, during a very difficult year for biotech capital development, with many companies furloughing programs and staff, GeoVax successfully strengthened our capital base in support of expanding and accelerating our growth and development programs.  We have entered 2023 well positioned and capable of achieving our clinical and other business goals and milestones.”</w:t>
      </w:r>
    </w:p>
    <w:p w14:paraId="3EEA4BE3" w14:textId="77777777" w:rsidR="00854D59" w:rsidRPr="00854D59" w:rsidRDefault="00854D59" w:rsidP="00854D59">
      <w:pPr>
        <w:widowControl w:val="0"/>
        <w:autoSpaceDE w:val="0"/>
        <w:autoSpaceDN w:val="0"/>
        <w:adjustRightInd w:val="0"/>
        <w:jc w:val="both"/>
        <w:rPr>
          <w:sz w:val="20"/>
          <w:szCs w:val="20"/>
        </w:rPr>
      </w:pPr>
    </w:p>
    <w:p w14:paraId="3D6E2732" w14:textId="77777777" w:rsidR="00854D59" w:rsidRPr="00854D59" w:rsidRDefault="00854D59" w:rsidP="00854D59">
      <w:pPr>
        <w:widowControl w:val="0"/>
        <w:autoSpaceDE w:val="0"/>
        <w:autoSpaceDN w:val="0"/>
        <w:adjustRightInd w:val="0"/>
        <w:jc w:val="center"/>
        <w:rPr>
          <w:sz w:val="20"/>
          <w:szCs w:val="20"/>
          <w:u w:val="single"/>
        </w:rPr>
      </w:pPr>
      <w:r w:rsidRPr="00854D59">
        <w:rPr>
          <w:b/>
          <w:bCs/>
          <w:sz w:val="20"/>
          <w:szCs w:val="20"/>
          <w:u w:val="single"/>
        </w:rPr>
        <w:t>GEDEPTIN</w:t>
      </w:r>
      <w:r w:rsidRPr="00854D59">
        <w:rPr>
          <w:b/>
          <w:bCs/>
          <w:sz w:val="20"/>
          <w:szCs w:val="20"/>
          <w:u w:val="single"/>
          <w:vertAlign w:val="superscript"/>
        </w:rPr>
        <w:t>®</w:t>
      </w:r>
      <w:r w:rsidRPr="00854D59">
        <w:rPr>
          <w:b/>
          <w:bCs/>
          <w:sz w:val="20"/>
          <w:szCs w:val="20"/>
          <w:u w:val="single"/>
        </w:rPr>
        <w:t xml:space="preserve"> FOR ADVANCED HEAD AND NECK CANCER – PHASE 2 TRIAL EXPANSION</w:t>
      </w:r>
    </w:p>
    <w:p w14:paraId="45E279F0" w14:textId="77777777" w:rsidR="00854D59" w:rsidRPr="00854D59" w:rsidRDefault="00854D59" w:rsidP="00854D59">
      <w:pPr>
        <w:widowControl w:val="0"/>
        <w:autoSpaceDE w:val="0"/>
        <w:autoSpaceDN w:val="0"/>
        <w:adjustRightInd w:val="0"/>
        <w:jc w:val="both"/>
        <w:rPr>
          <w:sz w:val="20"/>
          <w:szCs w:val="20"/>
        </w:rPr>
      </w:pPr>
    </w:p>
    <w:p w14:paraId="1C6CBEB0" w14:textId="77777777" w:rsidR="00854D59" w:rsidRPr="00854D59" w:rsidRDefault="00854D59" w:rsidP="00854D59">
      <w:pPr>
        <w:widowControl w:val="0"/>
        <w:autoSpaceDE w:val="0"/>
        <w:autoSpaceDN w:val="0"/>
        <w:adjustRightInd w:val="0"/>
        <w:jc w:val="both"/>
        <w:rPr>
          <w:bCs/>
          <w:sz w:val="20"/>
          <w:szCs w:val="20"/>
        </w:rPr>
      </w:pPr>
      <w:r w:rsidRPr="00854D59">
        <w:rPr>
          <w:bCs/>
          <w:sz w:val="20"/>
          <w:szCs w:val="20"/>
        </w:rPr>
        <w:t xml:space="preserve">An ongoing Phase 1/2 trial </w:t>
      </w:r>
      <w:r w:rsidRPr="00854D59">
        <w:rPr>
          <w:sz w:val="20"/>
          <w:szCs w:val="20"/>
        </w:rPr>
        <w:t xml:space="preserve">(ClinicalTrials.gov Identifier: </w:t>
      </w:r>
      <w:hyperlink r:id="rId9" w:history="1">
        <w:r w:rsidRPr="00854D59">
          <w:rPr>
            <w:color w:val="0000FF"/>
            <w:sz w:val="20"/>
            <w:szCs w:val="20"/>
            <w:u w:val="single"/>
          </w:rPr>
          <w:t>NCT03754933</w:t>
        </w:r>
      </w:hyperlink>
      <w:r w:rsidRPr="00854D59">
        <w:rPr>
          <w:sz w:val="20"/>
          <w:szCs w:val="20"/>
        </w:rPr>
        <w:t>)</w:t>
      </w:r>
      <w:r w:rsidRPr="00854D59">
        <w:rPr>
          <w:bCs/>
          <w:sz w:val="20"/>
          <w:szCs w:val="20"/>
        </w:rPr>
        <w:t xml:space="preserve"> is evaluating the safety and efficacy of repeat cycles of </w:t>
      </w:r>
      <w:r w:rsidRPr="00854D59">
        <w:rPr>
          <w:sz w:val="20"/>
          <w:szCs w:val="20"/>
        </w:rPr>
        <w:t>Gedeptin</w:t>
      </w:r>
      <w:r w:rsidRPr="00854D59">
        <w:rPr>
          <w:sz w:val="20"/>
          <w:szCs w:val="20"/>
          <w:vertAlign w:val="superscript"/>
        </w:rPr>
        <w:t>®</w:t>
      </w:r>
      <w:r w:rsidRPr="00854D59">
        <w:rPr>
          <w:sz w:val="20"/>
          <w:szCs w:val="20"/>
        </w:rPr>
        <w:t xml:space="preserve"> therapy </w:t>
      </w:r>
      <w:r w:rsidRPr="00854D59">
        <w:rPr>
          <w:bCs/>
          <w:sz w:val="20"/>
          <w:szCs w:val="20"/>
        </w:rPr>
        <w:t xml:space="preserve">in patients with recurrent head and neck squamous cell carcinoma (HNSCC), with tumor(s) accessible for injection and no curable treatment options. </w:t>
      </w:r>
    </w:p>
    <w:p w14:paraId="12DC18E4" w14:textId="77777777" w:rsidR="00854D59" w:rsidRPr="00854D59" w:rsidRDefault="00854D59" w:rsidP="00854D59">
      <w:pPr>
        <w:widowControl w:val="0"/>
        <w:autoSpaceDE w:val="0"/>
        <w:autoSpaceDN w:val="0"/>
        <w:adjustRightInd w:val="0"/>
        <w:jc w:val="both"/>
        <w:rPr>
          <w:bCs/>
          <w:sz w:val="20"/>
          <w:szCs w:val="20"/>
        </w:rPr>
      </w:pPr>
    </w:p>
    <w:p w14:paraId="20B3AA16" w14:textId="77777777" w:rsidR="00854D59" w:rsidRPr="00854D59" w:rsidRDefault="00854D59" w:rsidP="00854D59">
      <w:pPr>
        <w:widowControl w:val="0"/>
        <w:autoSpaceDE w:val="0"/>
        <w:autoSpaceDN w:val="0"/>
        <w:adjustRightInd w:val="0"/>
        <w:jc w:val="both"/>
        <w:rPr>
          <w:bCs/>
          <w:sz w:val="20"/>
          <w:szCs w:val="20"/>
        </w:rPr>
      </w:pPr>
      <w:r w:rsidRPr="00854D59">
        <w:rPr>
          <w:bCs/>
          <w:sz w:val="20"/>
          <w:szCs w:val="20"/>
        </w:rPr>
        <w:t>Gedeptin</w:t>
      </w:r>
      <w:proofErr w:type="gramStart"/>
      <w:r w:rsidRPr="00854D59">
        <w:rPr>
          <w:sz w:val="20"/>
          <w:szCs w:val="20"/>
          <w:vertAlign w:val="superscript"/>
        </w:rPr>
        <w:t>®</w:t>
      </w:r>
      <w:r w:rsidRPr="00854D59">
        <w:rPr>
          <w:sz w:val="20"/>
          <w:szCs w:val="20"/>
        </w:rPr>
        <w:t xml:space="preserve"> </w:t>
      </w:r>
      <w:r w:rsidRPr="00854D59">
        <w:rPr>
          <w:bCs/>
          <w:sz w:val="20"/>
          <w:szCs w:val="20"/>
        </w:rPr>
        <w:t xml:space="preserve"> is</w:t>
      </w:r>
      <w:proofErr w:type="gramEnd"/>
      <w:r w:rsidRPr="00854D59">
        <w:rPr>
          <w:bCs/>
          <w:sz w:val="20"/>
          <w:szCs w:val="20"/>
        </w:rPr>
        <w:t xml:space="preserve"> a novel patented product/technology for the treatment of solid tumors through a gene therapy strategy known as Gene-Directed Enzyme Prodrug Therapy (GDEPT).</w:t>
      </w:r>
      <w:r w:rsidRPr="00854D59">
        <w:rPr>
          <w:rFonts w:ascii="CG Times (WN)" w:hAnsi="CG Times (WN)"/>
          <w:bCs/>
          <w:sz w:val="20"/>
          <w:szCs w:val="20"/>
        </w:rPr>
        <w:t xml:space="preserve"> </w:t>
      </w:r>
      <w:r w:rsidRPr="00854D59">
        <w:rPr>
          <w:bCs/>
          <w:sz w:val="20"/>
          <w:szCs w:val="20"/>
        </w:rPr>
        <w:t xml:space="preserve">In GDEPT, a vector is used to selectively transduce tumor cells with a nonhuman gene, which expresses an enzyme that can convert a nontoxic prodrug into a very toxic antitumor compound </w:t>
      </w:r>
      <w:r w:rsidRPr="00854D59">
        <w:rPr>
          <w:bCs/>
          <w:i/>
          <w:iCs/>
          <w:sz w:val="20"/>
          <w:szCs w:val="20"/>
        </w:rPr>
        <w:t>in situ</w:t>
      </w:r>
      <w:r w:rsidRPr="00854D59">
        <w:rPr>
          <w:bCs/>
          <w:sz w:val="20"/>
          <w:szCs w:val="20"/>
        </w:rPr>
        <w:t>. A Phase 1 dose-ranging study, evaluating the safety of a single cycle of Gedeptin</w:t>
      </w:r>
      <w:r w:rsidRPr="00854D59">
        <w:rPr>
          <w:sz w:val="20"/>
          <w:szCs w:val="20"/>
          <w:vertAlign w:val="superscript"/>
        </w:rPr>
        <w:t>®</w:t>
      </w:r>
      <w:r w:rsidRPr="00854D59">
        <w:rPr>
          <w:sz w:val="20"/>
          <w:szCs w:val="20"/>
        </w:rPr>
        <w:t xml:space="preserve"> </w:t>
      </w:r>
      <w:r w:rsidRPr="00854D59">
        <w:rPr>
          <w:bCs/>
          <w:sz w:val="20"/>
          <w:szCs w:val="20"/>
        </w:rPr>
        <w:t>therapy, found the therapy well-tolerated, with evidence of a reduction in tumor size in patients with solid tumors.</w:t>
      </w:r>
    </w:p>
    <w:p w14:paraId="2790DDDE" w14:textId="77777777" w:rsidR="00854D59" w:rsidRPr="00854D59" w:rsidRDefault="00854D59" w:rsidP="00854D59">
      <w:pPr>
        <w:widowControl w:val="0"/>
        <w:autoSpaceDE w:val="0"/>
        <w:autoSpaceDN w:val="0"/>
        <w:adjustRightInd w:val="0"/>
        <w:jc w:val="both"/>
        <w:rPr>
          <w:sz w:val="20"/>
          <w:szCs w:val="20"/>
        </w:rPr>
      </w:pPr>
    </w:p>
    <w:p w14:paraId="7B9C593F" w14:textId="77777777" w:rsidR="00854D59" w:rsidRPr="00854D59" w:rsidRDefault="00854D59" w:rsidP="00854D59">
      <w:pPr>
        <w:widowControl w:val="0"/>
        <w:autoSpaceDE w:val="0"/>
        <w:autoSpaceDN w:val="0"/>
        <w:adjustRightInd w:val="0"/>
        <w:jc w:val="both"/>
        <w:rPr>
          <w:bCs/>
          <w:sz w:val="20"/>
          <w:szCs w:val="20"/>
        </w:rPr>
      </w:pPr>
      <w:r w:rsidRPr="00854D59">
        <w:rPr>
          <w:sz w:val="20"/>
          <w:szCs w:val="20"/>
        </w:rPr>
        <w:t>In February 2023, GeoVax announced the expansion of the Gedeptin</w:t>
      </w:r>
      <w:r w:rsidRPr="00854D59">
        <w:rPr>
          <w:sz w:val="20"/>
          <w:szCs w:val="20"/>
          <w:vertAlign w:val="superscript"/>
        </w:rPr>
        <w:t>®</w:t>
      </w:r>
      <w:r w:rsidRPr="00854D59">
        <w:rPr>
          <w:sz w:val="20"/>
          <w:szCs w:val="20"/>
        </w:rPr>
        <w:t xml:space="preserve"> Phase 1/2 trial with patients actively enrolling at National Cancer Institute (NCI) designated Cancer Centers – Stanford University Cancer Institute, Emory University Winship Cancer Institute, and the Thomas Jefferson University Sidney Kimmel Cancer Center. Funded in part by the US </w:t>
      </w:r>
      <w:r w:rsidRPr="00854D59">
        <w:rPr>
          <w:sz w:val="20"/>
          <w:szCs w:val="20"/>
        </w:rPr>
        <w:lastRenderedPageBreak/>
        <w:t xml:space="preserve">Food &amp; Drug Administration (FDA) under its Orphan Products Clinical Trials Grants Program, the trial will guide the design of a larger study that also may involve patients with other anatomically accessible oral and pharyngeal cancers. Additionally, it </w:t>
      </w:r>
      <w:r w:rsidRPr="00854D59">
        <w:rPr>
          <w:bCs/>
          <w:sz w:val="20"/>
          <w:szCs w:val="20"/>
        </w:rPr>
        <w:t>may lead to labeling discussions with the FDA and initiation of further Gedeptin</w:t>
      </w:r>
      <w:r w:rsidRPr="00854D59">
        <w:rPr>
          <w:sz w:val="20"/>
          <w:szCs w:val="20"/>
          <w:vertAlign w:val="superscript"/>
        </w:rPr>
        <w:t>®</w:t>
      </w:r>
      <w:r w:rsidRPr="00854D59">
        <w:rPr>
          <w:sz w:val="20"/>
          <w:szCs w:val="20"/>
        </w:rPr>
        <w:t xml:space="preserve"> </w:t>
      </w:r>
      <w:r w:rsidRPr="00854D59">
        <w:rPr>
          <w:bCs/>
          <w:sz w:val="20"/>
          <w:szCs w:val="20"/>
        </w:rPr>
        <w:t>investigations, including in combination with immune checkpoint inhibitors for other cancerous and non-cancerous tumor indications.</w:t>
      </w:r>
    </w:p>
    <w:p w14:paraId="3818D0A8" w14:textId="77777777" w:rsidR="00854D59" w:rsidRPr="00854D59" w:rsidRDefault="00854D59" w:rsidP="00854D59">
      <w:pPr>
        <w:widowControl w:val="0"/>
        <w:autoSpaceDE w:val="0"/>
        <w:autoSpaceDN w:val="0"/>
        <w:adjustRightInd w:val="0"/>
        <w:jc w:val="center"/>
        <w:rPr>
          <w:b/>
          <w:bCs/>
          <w:sz w:val="20"/>
          <w:szCs w:val="20"/>
          <w:u w:val="single"/>
        </w:rPr>
      </w:pPr>
    </w:p>
    <w:p w14:paraId="2B097FCB" w14:textId="77777777" w:rsidR="00854D59" w:rsidRPr="00854D59" w:rsidRDefault="00854D59" w:rsidP="00854D59">
      <w:pPr>
        <w:widowControl w:val="0"/>
        <w:autoSpaceDE w:val="0"/>
        <w:autoSpaceDN w:val="0"/>
        <w:adjustRightInd w:val="0"/>
        <w:jc w:val="center"/>
        <w:rPr>
          <w:b/>
          <w:bCs/>
          <w:sz w:val="20"/>
          <w:szCs w:val="20"/>
          <w:u w:val="single"/>
        </w:rPr>
      </w:pPr>
    </w:p>
    <w:p w14:paraId="26786285" w14:textId="77777777" w:rsidR="00854D59" w:rsidRPr="00854D59" w:rsidRDefault="00854D59" w:rsidP="00854D59">
      <w:pPr>
        <w:widowControl w:val="0"/>
        <w:autoSpaceDE w:val="0"/>
        <w:autoSpaceDN w:val="0"/>
        <w:adjustRightInd w:val="0"/>
        <w:jc w:val="center"/>
        <w:rPr>
          <w:b/>
          <w:bCs/>
          <w:sz w:val="20"/>
          <w:szCs w:val="20"/>
          <w:u w:val="single"/>
        </w:rPr>
      </w:pPr>
      <w:r w:rsidRPr="00854D59">
        <w:rPr>
          <w:b/>
          <w:bCs/>
          <w:sz w:val="20"/>
          <w:szCs w:val="20"/>
          <w:u w:val="single"/>
        </w:rPr>
        <w:t>SARS-CoV-2 VACCINES – TWO PHASE 2 CLINICAL TRIALS PROGRESSING</w:t>
      </w:r>
    </w:p>
    <w:p w14:paraId="73683EA3" w14:textId="77777777" w:rsidR="00854D59" w:rsidRPr="00854D59" w:rsidRDefault="00854D59" w:rsidP="00854D59">
      <w:pPr>
        <w:widowControl w:val="0"/>
        <w:autoSpaceDE w:val="0"/>
        <w:autoSpaceDN w:val="0"/>
        <w:adjustRightInd w:val="0"/>
        <w:jc w:val="both"/>
        <w:rPr>
          <w:sz w:val="20"/>
          <w:szCs w:val="20"/>
        </w:rPr>
      </w:pPr>
    </w:p>
    <w:p w14:paraId="0137E782" w14:textId="77777777" w:rsidR="00854D59" w:rsidRPr="00854D59" w:rsidRDefault="00854D59" w:rsidP="00854D59">
      <w:pPr>
        <w:widowControl w:val="0"/>
        <w:autoSpaceDE w:val="0"/>
        <w:autoSpaceDN w:val="0"/>
        <w:adjustRightInd w:val="0"/>
        <w:jc w:val="both"/>
        <w:rPr>
          <w:bCs/>
          <w:sz w:val="20"/>
          <w:szCs w:val="20"/>
        </w:rPr>
      </w:pPr>
      <w:r w:rsidRPr="00854D59">
        <w:rPr>
          <w:bCs/>
          <w:sz w:val="20"/>
          <w:szCs w:val="20"/>
        </w:rPr>
        <w:t xml:space="preserve">GEO-CM04S1 is a next-generation Covid-19 vaccine that expresses spike and nucleocapsid antigens of the SARS-CoV-2 (COVID-19) virus. </w:t>
      </w:r>
      <w:r w:rsidRPr="00854D59">
        <w:rPr>
          <w:sz w:val="20"/>
          <w:szCs w:val="20"/>
        </w:rPr>
        <w:t xml:space="preserve">GEO-CM04S1 continues to advance in two Phase 2 clinical studies, one as a primary vaccine </w:t>
      </w:r>
      <w:sdt>
        <w:sdtPr>
          <w:rPr>
            <w:sz w:val="20"/>
            <w:szCs w:val="20"/>
          </w:rPr>
          <w:tag w:val="goog_rdk_1"/>
          <w:id w:val="1226024773"/>
        </w:sdtPr>
        <w:sdtContent/>
      </w:sdt>
      <w:r w:rsidRPr="00854D59">
        <w:rPr>
          <w:sz w:val="20"/>
          <w:szCs w:val="20"/>
        </w:rPr>
        <w:t>for immunocompromised cancer patients, in direct comparison to either the Pfizer or Moderna mRNA vaccine (</w:t>
      </w:r>
      <w:r w:rsidRPr="00854D59">
        <w:rPr>
          <w:bCs/>
          <w:sz w:val="20"/>
          <w:szCs w:val="20"/>
        </w:rPr>
        <w:t xml:space="preserve">ClinicalTrials.gov Identifier: </w:t>
      </w:r>
      <w:hyperlink r:id="rId10" w:history="1">
        <w:r w:rsidRPr="00854D59">
          <w:rPr>
            <w:bCs/>
            <w:color w:val="0000FF"/>
            <w:sz w:val="20"/>
            <w:szCs w:val="20"/>
            <w:u w:val="single"/>
          </w:rPr>
          <w:t>NCT04977024</w:t>
        </w:r>
      </w:hyperlink>
      <w:r w:rsidRPr="00854D59">
        <w:rPr>
          <w:sz w:val="20"/>
          <w:szCs w:val="20"/>
        </w:rPr>
        <w:t>), and the second as a booster for healthy patients who have previously received either the Pfizer or Moderna vaccine as their initial inoculation (</w:t>
      </w:r>
      <w:r w:rsidRPr="00854D59">
        <w:rPr>
          <w:bCs/>
          <w:sz w:val="20"/>
          <w:szCs w:val="20"/>
        </w:rPr>
        <w:t xml:space="preserve">ClinicalTrials.gov Identifier: </w:t>
      </w:r>
      <w:hyperlink r:id="rId11" w:history="1">
        <w:r w:rsidRPr="00854D59">
          <w:rPr>
            <w:bCs/>
            <w:color w:val="0000FF"/>
            <w:sz w:val="20"/>
            <w:szCs w:val="20"/>
            <w:u w:val="single"/>
          </w:rPr>
          <w:t>NCT04639466</w:t>
        </w:r>
      </w:hyperlink>
      <w:r w:rsidRPr="00854D59">
        <w:rPr>
          <w:bCs/>
          <w:sz w:val="20"/>
          <w:szCs w:val="20"/>
        </w:rPr>
        <w:t>)</w:t>
      </w:r>
      <w:r w:rsidRPr="00854D59">
        <w:rPr>
          <w:sz w:val="20"/>
          <w:szCs w:val="20"/>
        </w:rPr>
        <w:t xml:space="preserve">. </w:t>
      </w:r>
      <w:r w:rsidRPr="00854D59">
        <w:rPr>
          <w:bCs/>
          <w:sz w:val="20"/>
          <w:szCs w:val="20"/>
        </w:rPr>
        <w:t xml:space="preserve"> </w:t>
      </w:r>
    </w:p>
    <w:p w14:paraId="58B9161B" w14:textId="77777777" w:rsidR="00854D59" w:rsidRPr="00854D59" w:rsidRDefault="00854D59" w:rsidP="00854D59">
      <w:pPr>
        <w:widowControl w:val="0"/>
        <w:autoSpaceDE w:val="0"/>
        <w:autoSpaceDN w:val="0"/>
        <w:adjustRightInd w:val="0"/>
        <w:jc w:val="both"/>
        <w:rPr>
          <w:bCs/>
          <w:sz w:val="20"/>
          <w:szCs w:val="20"/>
        </w:rPr>
      </w:pPr>
    </w:p>
    <w:p w14:paraId="4F91E645" w14:textId="77777777" w:rsidR="00854D59" w:rsidRPr="00854D59" w:rsidRDefault="00854D59" w:rsidP="00854D59">
      <w:pPr>
        <w:widowControl w:val="0"/>
        <w:autoSpaceDE w:val="0"/>
        <w:autoSpaceDN w:val="0"/>
        <w:adjustRightInd w:val="0"/>
        <w:jc w:val="both"/>
        <w:rPr>
          <w:sz w:val="20"/>
          <w:szCs w:val="20"/>
        </w:rPr>
      </w:pPr>
      <w:r w:rsidRPr="00854D59">
        <w:rPr>
          <w:sz w:val="20"/>
          <w:szCs w:val="20"/>
        </w:rPr>
        <w:t xml:space="preserve">Two 2022 peer-reviewed publications in The Lancet Microbe (accessible </w:t>
      </w:r>
      <w:hyperlink r:id="rId12" w:history="1">
        <w:r w:rsidRPr="00854D59">
          <w:rPr>
            <w:color w:val="0000FF"/>
            <w:sz w:val="20"/>
            <w:szCs w:val="20"/>
            <w:u w:val="single"/>
          </w:rPr>
          <w:t>here</w:t>
        </w:r>
      </w:hyperlink>
      <w:r w:rsidRPr="00854D59">
        <w:rPr>
          <w:sz w:val="20"/>
          <w:szCs w:val="20"/>
        </w:rPr>
        <w:t xml:space="preserve">) and </w:t>
      </w:r>
      <w:proofErr w:type="spellStart"/>
      <w:r w:rsidRPr="00854D59">
        <w:rPr>
          <w:sz w:val="20"/>
          <w:szCs w:val="20"/>
        </w:rPr>
        <w:t>iScience</w:t>
      </w:r>
      <w:proofErr w:type="spellEnd"/>
      <w:r w:rsidRPr="00854D59">
        <w:rPr>
          <w:sz w:val="20"/>
          <w:szCs w:val="20"/>
        </w:rPr>
        <w:t xml:space="preserve"> (accessible </w:t>
      </w:r>
      <w:hyperlink r:id="rId13" w:history="1">
        <w:r w:rsidRPr="00854D59">
          <w:rPr>
            <w:color w:val="0000FF"/>
            <w:sz w:val="20"/>
            <w:szCs w:val="20"/>
            <w:u w:val="single"/>
          </w:rPr>
          <w:t>here</w:t>
        </w:r>
      </w:hyperlink>
      <w:r w:rsidRPr="00854D59">
        <w:rPr>
          <w:sz w:val="20"/>
          <w:szCs w:val="20"/>
        </w:rPr>
        <w:t xml:space="preserve">) report data from the Phase 1 study of </w:t>
      </w:r>
      <w:bookmarkStart w:id="0" w:name="_Hlk99613684"/>
      <w:r w:rsidRPr="00854D59">
        <w:rPr>
          <w:sz w:val="20"/>
          <w:szCs w:val="20"/>
        </w:rPr>
        <w:t>GEO-CM04S1 showing</w:t>
      </w:r>
      <w:bookmarkEnd w:id="0"/>
      <w:r w:rsidRPr="00854D59">
        <w:rPr>
          <w:sz w:val="20"/>
          <w:szCs w:val="20"/>
        </w:rPr>
        <w:t xml:space="preserve"> robust neutralizing antibodies and T cells against SARS-CoV-2, including the Omicron and Delta variants. These data confirm the powerful dual action of the GeoVax vaccine, an important feature given the multiple mutations, leading to variants of concern and inconsistent protection from existing FDA-authorized vaccines. These findings suggest that T cell immunity stimulated by GEO-CM04S1 may constitute a critical second line of defense to provide long-term protection against SARS-CoV-2 variants among the population in general as well as among the 15 million patients in the US with compromised immune systems.  Additionally, a recent article, published in the New England Journal of Medicine (accessible </w:t>
      </w:r>
      <w:hyperlink r:id="rId14" w:history="1">
        <w:r w:rsidRPr="00854D59">
          <w:rPr>
            <w:color w:val="0000FF"/>
            <w:sz w:val="20"/>
            <w:szCs w:val="20"/>
            <w:u w:val="single"/>
          </w:rPr>
          <w:t>here</w:t>
        </w:r>
      </w:hyperlink>
      <w:r w:rsidRPr="00854D59">
        <w:rPr>
          <w:sz w:val="20"/>
          <w:szCs w:val="20"/>
        </w:rPr>
        <w:t>) addressed the critical importance of addressing both antibodies and T cells in achieving protection against SARS-CoV-2.</w:t>
      </w:r>
    </w:p>
    <w:p w14:paraId="2B3BCFEA" w14:textId="77777777" w:rsidR="00854D59" w:rsidRPr="00854D59" w:rsidRDefault="00854D59" w:rsidP="00854D59">
      <w:pPr>
        <w:widowControl w:val="0"/>
        <w:autoSpaceDE w:val="0"/>
        <w:autoSpaceDN w:val="0"/>
        <w:adjustRightInd w:val="0"/>
        <w:jc w:val="both"/>
        <w:rPr>
          <w:sz w:val="20"/>
          <w:szCs w:val="20"/>
        </w:rPr>
      </w:pPr>
    </w:p>
    <w:p w14:paraId="30A41E99" w14:textId="77777777" w:rsidR="00854D59" w:rsidRPr="00854D59" w:rsidRDefault="00854D59" w:rsidP="00854D59">
      <w:pPr>
        <w:widowControl w:val="0"/>
        <w:autoSpaceDE w:val="0"/>
        <w:autoSpaceDN w:val="0"/>
        <w:adjustRightInd w:val="0"/>
        <w:jc w:val="center"/>
        <w:rPr>
          <w:b/>
          <w:bCs/>
          <w:sz w:val="20"/>
          <w:szCs w:val="20"/>
          <w:u w:val="single"/>
        </w:rPr>
      </w:pPr>
      <w:r w:rsidRPr="00854D59">
        <w:rPr>
          <w:b/>
          <w:bCs/>
          <w:sz w:val="20"/>
          <w:szCs w:val="20"/>
          <w:u w:val="single"/>
        </w:rPr>
        <w:t>MODIFIED VACCINIA ANKARA (MVA) &amp; MONKEYPOX (MPOX)</w:t>
      </w:r>
    </w:p>
    <w:p w14:paraId="23369E36" w14:textId="77777777" w:rsidR="00854D59" w:rsidRPr="00854D59" w:rsidRDefault="00854D59" w:rsidP="00854D59">
      <w:pPr>
        <w:widowControl w:val="0"/>
        <w:autoSpaceDE w:val="0"/>
        <w:autoSpaceDN w:val="0"/>
        <w:adjustRightInd w:val="0"/>
        <w:jc w:val="both"/>
        <w:rPr>
          <w:sz w:val="20"/>
          <w:szCs w:val="20"/>
        </w:rPr>
      </w:pPr>
    </w:p>
    <w:p w14:paraId="0160542A" w14:textId="77777777" w:rsidR="00854D59" w:rsidRPr="00854D59" w:rsidRDefault="00854D59" w:rsidP="00854D59">
      <w:pPr>
        <w:autoSpaceDN w:val="0"/>
        <w:jc w:val="both"/>
        <w:rPr>
          <w:color w:val="000000"/>
          <w:sz w:val="20"/>
          <w:szCs w:val="20"/>
        </w:rPr>
      </w:pPr>
      <w:r w:rsidRPr="00854D59">
        <w:rPr>
          <w:sz w:val="20"/>
          <w:szCs w:val="20"/>
        </w:rPr>
        <w:t xml:space="preserve">MVA is the vaccine currently used and stockpiled in the US Strategic National Stockpile for immunization against the </w:t>
      </w:r>
      <w:proofErr w:type="spellStart"/>
      <w:r w:rsidRPr="00854D59">
        <w:rPr>
          <w:sz w:val="20"/>
          <w:szCs w:val="20"/>
        </w:rPr>
        <w:t>MPox</w:t>
      </w:r>
      <w:proofErr w:type="spellEnd"/>
      <w:r w:rsidRPr="00854D59">
        <w:rPr>
          <w:sz w:val="20"/>
          <w:szCs w:val="20"/>
        </w:rPr>
        <w:t xml:space="preserve"> and Smallpox viruses. </w:t>
      </w:r>
      <w:r w:rsidRPr="00854D59">
        <w:rPr>
          <w:color w:val="000000"/>
          <w:sz w:val="20"/>
          <w:szCs w:val="20"/>
        </w:rPr>
        <w:t xml:space="preserve">GeoVax previously demonstrated that an experimental HIV vaccine, utilizing NIH-MVA as the vaccine vector, protected non-human primates challenged with a lethal dose of the </w:t>
      </w:r>
      <w:proofErr w:type="spellStart"/>
      <w:r w:rsidRPr="00854D59">
        <w:rPr>
          <w:color w:val="000000"/>
          <w:sz w:val="20"/>
          <w:szCs w:val="20"/>
        </w:rPr>
        <w:t>MPox</w:t>
      </w:r>
      <w:proofErr w:type="spellEnd"/>
      <w:r w:rsidRPr="00854D59">
        <w:rPr>
          <w:color w:val="000000"/>
          <w:sz w:val="20"/>
          <w:szCs w:val="20"/>
        </w:rPr>
        <w:t xml:space="preserve"> virus (publication accessible </w:t>
      </w:r>
      <w:hyperlink r:id="rId15" w:history="1">
        <w:r w:rsidRPr="00854D59">
          <w:rPr>
            <w:color w:val="0000FF"/>
            <w:sz w:val="20"/>
            <w:szCs w:val="20"/>
            <w:u w:val="single"/>
          </w:rPr>
          <w:t>here</w:t>
        </w:r>
      </w:hyperlink>
      <w:r w:rsidRPr="00854D59">
        <w:rPr>
          <w:color w:val="000000"/>
          <w:sz w:val="20"/>
          <w:szCs w:val="20"/>
        </w:rPr>
        <w:t xml:space="preserve">). Further, in August 2022, City of Hope, which originally developed GEO-CM04S1, published </w:t>
      </w:r>
      <w:r w:rsidRPr="00854D59">
        <w:rPr>
          <w:sz w:val="20"/>
          <w:szCs w:val="20"/>
        </w:rPr>
        <w:t>results</w:t>
      </w:r>
      <w:r w:rsidRPr="00854D59">
        <w:rPr>
          <w:color w:val="000000"/>
          <w:sz w:val="20"/>
          <w:szCs w:val="20"/>
        </w:rPr>
        <w:t xml:space="preserve"> demonstrating that both their proprietary </w:t>
      </w:r>
      <w:proofErr w:type="spellStart"/>
      <w:r w:rsidRPr="00854D59">
        <w:rPr>
          <w:color w:val="000000"/>
          <w:sz w:val="20"/>
          <w:szCs w:val="20"/>
        </w:rPr>
        <w:t>sMVA</w:t>
      </w:r>
      <w:proofErr w:type="spellEnd"/>
      <w:r w:rsidRPr="00854D59">
        <w:rPr>
          <w:color w:val="000000"/>
          <w:sz w:val="20"/>
          <w:szCs w:val="20"/>
        </w:rPr>
        <w:t xml:space="preserve"> (synthetic MVA) and GEO-CM04S1 (referred to as “COH04S1” in the publication, accessible </w:t>
      </w:r>
      <w:hyperlink r:id="rId16" w:history="1">
        <w:r w:rsidRPr="00854D59">
          <w:rPr>
            <w:color w:val="0000FF"/>
            <w:sz w:val="20"/>
            <w:szCs w:val="20"/>
            <w:u w:val="single"/>
          </w:rPr>
          <w:t>here</w:t>
        </w:r>
      </w:hyperlink>
      <w:r w:rsidRPr="00854D59">
        <w:rPr>
          <w:color w:val="000000"/>
          <w:sz w:val="20"/>
          <w:szCs w:val="20"/>
        </w:rPr>
        <w:t xml:space="preserve">) elicited robust </w:t>
      </w:r>
      <w:proofErr w:type="spellStart"/>
      <w:r w:rsidRPr="00854D59">
        <w:rPr>
          <w:color w:val="000000"/>
          <w:sz w:val="20"/>
          <w:szCs w:val="20"/>
        </w:rPr>
        <w:t>orthopoxvirus</w:t>
      </w:r>
      <w:proofErr w:type="spellEnd"/>
      <w:r w:rsidRPr="00854D59">
        <w:rPr>
          <w:color w:val="000000"/>
          <w:sz w:val="20"/>
          <w:szCs w:val="20"/>
        </w:rPr>
        <w:t xml:space="preserve">-specific binding and neutralizing antibody responses. The authors conclude that GEO-CM04S1 and </w:t>
      </w:r>
      <w:proofErr w:type="spellStart"/>
      <w:r w:rsidRPr="00854D59">
        <w:rPr>
          <w:color w:val="000000"/>
          <w:sz w:val="20"/>
          <w:szCs w:val="20"/>
        </w:rPr>
        <w:t>sMVA</w:t>
      </w:r>
      <w:proofErr w:type="spellEnd"/>
      <w:r w:rsidRPr="00854D59">
        <w:rPr>
          <w:color w:val="000000"/>
          <w:sz w:val="20"/>
          <w:szCs w:val="20"/>
        </w:rPr>
        <w:t xml:space="preserve"> represent unique vaccine candidates to control the unforeseen global </w:t>
      </w:r>
      <w:proofErr w:type="spellStart"/>
      <w:r w:rsidRPr="00854D59">
        <w:rPr>
          <w:color w:val="000000"/>
          <w:sz w:val="20"/>
          <w:szCs w:val="20"/>
        </w:rPr>
        <w:t>MPox</w:t>
      </w:r>
      <w:proofErr w:type="spellEnd"/>
      <w:r w:rsidRPr="00854D59">
        <w:rPr>
          <w:color w:val="000000"/>
          <w:sz w:val="20"/>
          <w:szCs w:val="20"/>
        </w:rPr>
        <w:t xml:space="preserve"> outbreak.</w:t>
      </w:r>
    </w:p>
    <w:p w14:paraId="67897ADD" w14:textId="77777777" w:rsidR="00854D59" w:rsidRPr="00854D59" w:rsidRDefault="00854D59" w:rsidP="00854D59">
      <w:pPr>
        <w:autoSpaceDN w:val="0"/>
        <w:rPr>
          <w:color w:val="000000"/>
          <w:sz w:val="20"/>
          <w:szCs w:val="20"/>
        </w:rPr>
      </w:pPr>
    </w:p>
    <w:p w14:paraId="203B658D" w14:textId="77777777" w:rsidR="00854D59" w:rsidRPr="00854D59" w:rsidRDefault="00854D59" w:rsidP="00854D59">
      <w:pPr>
        <w:autoSpaceDN w:val="0"/>
        <w:jc w:val="both"/>
        <w:rPr>
          <w:color w:val="000000"/>
          <w:sz w:val="20"/>
          <w:szCs w:val="20"/>
        </w:rPr>
      </w:pPr>
      <w:r w:rsidRPr="00854D59">
        <w:rPr>
          <w:color w:val="000000"/>
          <w:sz w:val="20"/>
          <w:szCs w:val="20"/>
        </w:rPr>
        <w:t xml:space="preserve">In response to the global need to address the continued emerging threat from </w:t>
      </w:r>
      <w:proofErr w:type="spellStart"/>
      <w:r w:rsidRPr="00854D59">
        <w:rPr>
          <w:color w:val="000000"/>
          <w:sz w:val="20"/>
          <w:szCs w:val="20"/>
        </w:rPr>
        <w:t>MPox</w:t>
      </w:r>
      <w:proofErr w:type="spellEnd"/>
      <w:r w:rsidRPr="00854D59">
        <w:rPr>
          <w:color w:val="000000"/>
          <w:sz w:val="20"/>
          <w:szCs w:val="20"/>
        </w:rPr>
        <w:t xml:space="preserve"> and the unique opportunity offered by MVA-based vaccines, GeoVax secured rights from the NIH covering preclinical, </w:t>
      </w:r>
      <w:proofErr w:type="gramStart"/>
      <w:r w:rsidRPr="00854D59">
        <w:rPr>
          <w:color w:val="000000"/>
          <w:sz w:val="20"/>
          <w:szCs w:val="20"/>
        </w:rPr>
        <w:t>clinical</w:t>
      </w:r>
      <w:proofErr w:type="gramEnd"/>
      <w:r w:rsidRPr="00854D59">
        <w:rPr>
          <w:color w:val="000000"/>
          <w:sz w:val="20"/>
          <w:szCs w:val="20"/>
        </w:rPr>
        <w:t xml:space="preserve"> and commercial uses of the NIH-MVA against </w:t>
      </w:r>
      <w:proofErr w:type="spellStart"/>
      <w:r w:rsidRPr="00854D59">
        <w:rPr>
          <w:color w:val="000000"/>
          <w:sz w:val="20"/>
          <w:szCs w:val="20"/>
        </w:rPr>
        <w:t>MPox</w:t>
      </w:r>
      <w:proofErr w:type="spellEnd"/>
      <w:r w:rsidRPr="00854D59">
        <w:rPr>
          <w:color w:val="000000"/>
          <w:sz w:val="20"/>
          <w:szCs w:val="20"/>
        </w:rPr>
        <w:t xml:space="preserve"> or Smallpox viruses. The Company is now evaluating development and regulatory pathways towards expanding the public health options available to reduce and manage the risk of </w:t>
      </w:r>
      <w:proofErr w:type="spellStart"/>
      <w:r w:rsidRPr="00854D59">
        <w:rPr>
          <w:color w:val="000000"/>
          <w:sz w:val="20"/>
          <w:szCs w:val="20"/>
        </w:rPr>
        <w:t>MPox</w:t>
      </w:r>
      <w:proofErr w:type="spellEnd"/>
      <w:r w:rsidRPr="00854D59">
        <w:rPr>
          <w:color w:val="000000"/>
          <w:sz w:val="20"/>
          <w:szCs w:val="20"/>
        </w:rPr>
        <w:t xml:space="preserve"> worldwide with the intent to be the first U.S.-based supplier of </w:t>
      </w:r>
      <w:proofErr w:type="gramStart"/>
      <w:r w:rsidRPr="00854D59">
        <w:rPr>
          <w:color w:val="000000"/>
          <w:sz w:val="20"/>
          <w:szCs w:val="20"/>
        </w:rPr>
        <w:t>a</w:t>
      </w:r>
      <w:proofErr w:type="gramEnd"/>
      <w:r w:rsidRPr="00854D59">
        <w:rPr>
          <w:color w:val="000000"/>
          <w:sz w:val="20"/>
          <w:szCs w:val="20"/>
        </w:rPr>
        <w:t xml:space="preserve"> MVA-vaccine against </w:t>
      </w:r>
      <w:proofErr w:type="spellStart"/>
      <w:r w:rsidRPr="00854D59">
        <w:rPr>
          <w:color w:val="000000"/>
          <w:sz w:val="20"/>
          <w:szCs w:val="20"/>
        </w:rPr>
        <w:t>MPox</w:t>
      </w:r>
      <w:proofErr w:type="spellEnd"/>
      <w:r w:rsidRPr="00854D59">
        <w:rPr>
          <w:color w:val="000000"/>
          <w:sz w:val="20"/>
          <w:szCs w:val="20"/>
        </w:rPr>
        <w:t xml:space="preserve"> and Smallpox.  </w:t>
      </w:r>
    </w:p>
    <w:p w14:paraId="21B39B6E" w14:textId="77777777" w:rsidR="00854D59" w:rsidRPr="00854D59" w:rsidRDefault="00854D59" w:rsidP="00854D59">
      <w:pPr>
        <w:autoSpaceDN w:val="0"/>
        <w:jc w:val="both"/>
        <w:rPr>
          <w:color w:val="000000"/>
          <w:sz w:val="20"/>
          <w:szCs w:val="20"/>
        </w:rPr>
      </w:pPr>
    </w:p>
    <w:p w14:paraId="025E9033" w14:textId="77777777" w:rsidR="00854D59" w:rsidRPr="00854D59" w:rsidRDefault="00854D59" w:rsidP="00854D59">
      <w:pPr>
        <w:autoSpaceDN w:val="0"/>
        <w:jc w:val="center"/>
        <w:rPr>
          <w:b/>
          <w:bCs/>
          <w:color w:val="000000"/>
          <w:sz w:val="20"/>
          <w:szCs w:val="20"/>
          <w:u w:val="single"/>
        </w:rPr>
      </w:pPr>
      <w:r w:rsidRPr="00854D59">
        <w:rPr>
          <w:b/>
          <w:bCs/>
          <w:color w:val="000000"/>
          <w:sz w:val="20"/>
          <w:szCs w:val="20"/>
          <w:u w:val="single"/>
        </w:rPr>
        <w:t>MVA MANUFACTURING PROCESS DEVELOPMENTS</w:t>
      </w:r>
    </w:p>
    <w:p w14:paraId="00CEA1B7" w14:textId="77777777" w:rsidR="00854D59" w:rsidRPr="00854D59" w:rsidRDefault="00854D59" w:rsidP="00854D59">
      <w:pPr>
        <w:autoSpaceDN w:val="0"/>
        <w:jc w:val="both"/>
        <w:rPr>
          <w:color w:val="000000"/>
          <w:sz w:val="20"/>
          <w:szCs w:val="20"/>
        </w:rPr>
      </w:pPr>
    </w:p>
    <w:p w14:paraId="121E8AE7" w14:textId="77777777" w:rsidR="00854D59" w:rsidRPr="00854D59" w:rsidRDefault="00854D59" w:rsidP="00854D59">
      <w:pPr>
        <w:autoSpaceDN w:val="0"/>
        <w:jc w:val="both"/>
        <w:rPr>
          <w:color w:val="000000"/>
          <w:sz w:val="20"/>
          <w:szCs w:val="20"/>
        </w:rPr>
      </w:pPr>
      <w:r w:rsidRPr="00854D59">
        <w:rPr>
          <w:color w:val="000000"/>
          <w:sz w:val="20"/>
          <w:szCs w:val="20"/>
        </w:rPr>
        <w:t xml:space="preserve">In February 2023, GeoVax announced significant progress in developing a high-yield, high-capacity, continuous avian cell line system for manufacturing its MVA-based vaccines and immunotherapies. Currently, MVA vaccines are manufactured in cells cultured from chicken embryonic fibroblasts (CEF), a suboptimal and time-consuming process useful primarily for niche markets and stockpile reserves. Now, after exploring various approaches to growing MVA in continuous cell lines in bioreactors more suitable for high-yield, commercial-scale manufacturing, GeoVax will accelerate activities towards fully implementing a proprietary, continuous cell line manufacturing system that will provide lower-cost, scalable versatility for broad MVA vaccine and immunotherapy applications. </w:t>
      </w:r>
    </w:p>
    <w:p w14:paraId="38C38AD7" w14:textId="77777777" w:rsidR="00854D59" w:rsidRPr="00854D59" w:rsidRDefault="00854D59" w:rsidP="00854D59">
      <w:pPr>
        <w:autoSpaceDN w:val="0"/>
        <w:jc w:val="both"/>
        <w:rPr>
          <w:color w:val="000000"/>
          <w:sz w:val="20"/>
          <w:szCs w:val="20"/>
        </w:rPr>
      </w:pPr>
    </w:p>
    <w:p w14:paraId="40B23965" w14:textId="77777777" w:rsidR="00854D59" w:rsidRPr="00854D59" w:rsidRDefault="00854D59" w:rsidP="00854D59">
      <w:pPr>
        <w:widowControl w:val="0"/>
        <w:autoSpaceDE w:val="0"/>
        <w:autoSpaceDN w:val="0"/>
        <w:adjustRightInd w:val="0"/>
        <w:jc w:val="center"/>
        <w:rPr>
          <w:b/>
          <w:bCs/>
          <w:sz w:val="20"/>
          <w:szCs w:val="20"/>
          <w:u w:val="single"/>
        </w:rPr>
      </w:pPr>
      <w:r w:rsidRPr="00854D59">
        <w:rPr>
          <w:b/>
          <w:bCs/>
          <w:sz w:val="20"/>
          <w:szCs w:val="20"/>
          <w:u w:val="single"/>
        </w:rPr>
        <w:t>OTHER NOTABLE DEVELOPMENTS</w:t>
      </w:r>
    </w:p>
    <w:p w14:paraId="1050BB33" w14:textId="77777777" w:rsidR="00854D59" w:rsidRPr="00854D59" w:rsidRDefault="00854D59" w:rsidP="00854D59">
      <w:pPr>
        <w:widowControl w:val="0"/>
        <w:autoSpaceDE w:val="0"/>
        <w:autoSpaceDN w:val="0"/>
        <w:adjustRightInd w:val="0"/>
        <w:jc w:val="both"/>
        <w:rPr>
          <w:sz w:val="20"/>
          <w:szCs w:val="20"/>
        </w:rPr>
      </w:pPr>
    </w:p>
    <w:p w14:paraId="042A4F66" w14:textId="77777777" w:rsidR="00854D59" w:rsidRPr="00854D59" w:rsidRDefault="00854D59" w:rsidP="00854D59">
      <w:pPr>
        <w:widowControl w:val="0"/>
        <w:autoSpaceDE w:val="0"/>
        <w:autoSpaceDN w:val="0"/>
        <w:adjustRightInd w:val="0"/>
        <w:jc w:val="both"/>
        <w:rPr>
          <w:sz w:val="20"/>
          <w:szCs w:val="20"/>
        </w:rPr>
      </w:pPr>
      <w:r w:rsidRPr="00854D59">
        <w:rPr>
          <w:sz w:val="20"/>
          <w:szCs w:val="20"/>
        </w:rPr>
        <w:t xml:space="preserve">In July 2022, GeoVax announced the publication of a peer-reviewed animal efficacy study of its MVA vectored vaccine against Sudan ebolavirus (SUDV) in </w:t>
      </w:r>
      <w:r w:rsidRPr="00854D59">
        <w:rPr>
          <w:i/>
          <w:iCs/>
          <w:sz w:val="20"/>
          <w:szCs w:val="20"/>
        </w:rPr>
        <w:t>Nature Partner Journals (NPJ) Vaccines</w:t>
      </w:r>
      <w:r w:rsidRPr="00854D59">
        <w:rPr>
          <w:sz w:val="20"/>
          <w:szCs w:val="20"/>
        </w:rPr>
        <w:t xml:space="preserve"> (accessible </w:t>
      </w:r>
      <w:hyperlink r:id="rId17" w:history="1">
        <w:r w:rsidRPr="00854D59">
          <w:rPr>
            <w:color w:val="0000FF"/>
            <w:sz w:val="20"/>
            <w:szCs w:val="20"/>
            <w:u w:val="single"/>
          </w:rPr>
          <w:t>here</w:t>
        </w:r>
      </w:hyperlink>
      <w:r w:rsidRPr="00854D59">
        <w:rPr>
          <w:sz w:val="20"/>
          <w:szCs w:val="20"/>
        </w:rPr>
        <w:t>). The anticipated final stage of preclinical testing involving nonhuman primates has recently been completed and results are expected to be discussed during upcoming scientific conferences during the fourth quarter of this year.</w:t>
      </w:r>
    </w:p>
    <w:p w14:paraId="6634B48C" w14:textId="77777777" w:rsidR="00854D59" w:rsidRPr="00854D59" w:rsidRDefault="00854D59" w:rsidP="00854D59">
      <w:pPr>
        <w:autoSpaceDN w:val="0"/>
        <w:jc w:val="both"/>
        <w:rPr>
          <w:color w:val="000000"/>
          <w:sz w:val="20"/>
          <w:szCs w:val="20"/>
        </w:rPr>
      </w:pPr>
    </w:p>
    <w:p w14:paraId="0EFF5D6B" w14:textId="77777777" w:rsidR="00854D59" w:rsidRPr="00854D59" w:rsidRDefault="00854D59" w:rsidP="00854D59">
      <w:pPr>
        <w:autoSpaceDN w:val="0"/>
        <w:jc w:val="both"/>
        <w:rPr>
          <w:color w:val="000000"/>
          <w:sz w:val="20"/>
          <w:szCs w:val="20"/>
        </w:rPr>
      </w:pPr>
      <w:r w:rsidRPr="00854D59">
        <w:rPr>
          <w:color w:val="000000"/>
          <w:sz w:val="20"/>
          <w:szCs w:val="20"/>
        </w:rPr>
        <w:lastRenderedPageBreak/>
        <w:t>In January 2023, GeoVax announced that the US Patent and Trademark Office issued a Notice of Allowance for Patent Application No. 17/000,768 titled, “</w:t>
      </w:r>
      <w:r w:rsidRPr="00854D59">
        <w:rPr>
          <w:i/>
          <w:iCs/>
          <w:color w:val="000000"/>
          <w:sz w:val="20"/>
          <w:szCs w:val="20"/>
        </w:rPr>
        <w:t>Method for Generating a ZIKV Immune Response Utilizing a Recombinant Modified Vaccinia Ankara Vector Encoding the NS1 Protein</w:t>
      </w:r>
      <w:r w:rsidRPr="00854D59">
        <w:rPr>
          <w:color w:val="000000"/>
          <w:sz w:val="20"/>
          <w:szCs w:val="20"/>
        </w:rPr>
        <w:t xml:space="preserve">.” Preclinical studies demonstrated that a single dose of GEO-ZM02 provided 100% protection against a lethal dose of the Zika virus. </w:t>
      </w:r>
    </w:p>
    <w:p w14:paraId="75AF7D54" w14:textId="77777777" w:rsidR="00854D59" w:rsidRPr="00854D59" w:rsidRDefault="00854D59" w:rsidP="00854D59">
      <w:pPr>
        <w:autoSpaceDN w:val="0"/>
        <w:jc w:val="both"/>
        <w:rPr>
          <w:color w:val="000000"/>
          <w:sz w:val="20"/>
          <w:szCs w:val="20"/>
        </w:rPr>
      </w:pPr>
    </w:p>
    <w:p w14:paraId="6867E6D7" w14:textId="77777777" w:rsidR="00854D59" w:rsidRPr="00854D59" w:rsidRDefault="00854D59" w:rsidP="00854D59">
      <w:pPr>
        <w:autoSpaceDN w:val="0"/>
        <w:jc w:val="center"/>
        <w:rPr>
          <w:color w:val="000000"/>
          <w:sz w:val="20"/>
          <w:szCs w:val="20"/>
        </w:rPr>
      </w:pPr>
      <w:r w:rsidRPr="00854D59">
        <w:rPr>
          <w:b/>
          <w:bCs/>
          <w:color w:val="000000"/>
          <w:sz w:val="20"/>
          <w:szCs w:val="20"/>
          <w:u w:val="single"/>
        </w:rPr>
        <w:t>LEADERSHIP AND CAPITAL RESOURCES STRENGTHENED</w:t>
      </w:r>
    </w:p>
    <w:p w14:paraId="750FB286" w14:textId="77777777" w:rsidR="00854D59" w:rsidRPr="00854D59" w:rsidRDefault="00854D59" w:rsidP="00854D59">
      <w:pPr>
        <w:autoSpaceDN w:val="0"/>
        <w:jc w:val="both"/>
        <w:rPr>
          <w:color w:val="000000"/>
          <w:sz w:val="20"/>
          <w:szCs w:val="20"/>
        </w:rPr>
      </w:pPr>
    </w:p>
    <w:p w14:paraId="7640B883" w14:textId="77777777" w:rsidR="00854D59" w:rsidRPr="00854D59" w:rsidRDefault="00854D59" w:rsidP="00854D59">
      <w:pPr>
        <w:autoSpaceDN w:val="0"/>
        <w:jc w:val="both"/>
        <w:rPr>
          <w:color w:val="000000"/>
          <w:sz w:val="20"/>
          <w:szCs w:val="20"/>
        </w:rPr>
      </w:pPr>
      <w:r w:rsidRPr="00854D59">
        <w:rPr>
          <w:color w:val="000000"/>
          <w:sz w:val="20"/>
          <w:szCs w:val="20"/>
        </w:rPr>
        <w:t xml:space="preserve">During 2022, GeoVax strengthened its organizational and operational leadership team with appointments to several areas, including Kelly T. McKee, Jr., M.D., M.P.H. as Chief Medical Officer; </w:t>
      </w:r>
      <w:r w:rsidRPr="00854D59">
        <w:rPr>
          <w:bCs/>
          <w:color w:val="000000"/>
          <w:sz w:val="20"/>
          <w:szCs w:val="20"/>
        </w:rPr>
        <w:t>Jeffrey Welch as Head, Process Development and Manufacturing Operations; John W. Sharkey, Ph.D. as Vice President, Business Development</w:t>
      </w:r>
      <w:r w:rsidRPr="00854D59">
        <w:rPr>
          <w:color w:val="000000"/>
          <w:sz w:val="20"/>
          <w:szCs w:val="20"/>
        </w:rPr>
        <w:t xml:space="preserve">; Mark J. Newman, Ph.D. as full-time Chief Scientific Officer; </w:t>
      </w:r>
      <w:r w:rsidRPr="00854D59">
        <w:rPr>
          <w:bCs/>
          <w:color w:val="000000"/>
          <w:sz w:val="20"/>
          <w:szCs w:val="20"/>
        </w:rPr>
        <w:t>the appointment of two new members to the GeoVax Board of Directors – Nicole Lemerond and Jayne Morgan, M.D.; and the appointment of Valerie Montgomery Rice, M.D., FACOG, President and CEO of Morehouse School of Medicine, to serve as a special advisor to the GeoVax Board of Directors.</w:t>
      </w:r>
    </w:p>
    <w:p w14:paraId="2BF360EB" w14:textId="77777777" w:rsidR="00854D59" w:rsidRPr="00854D59" w:rsidRDefault="00854D59" w:rsidP="00854D59">
      <w:pPr>
        <w:autoSpaceDN w:val="0"/>
        <w:jc w:val="both"/>
        <w:rPr>
          <w:color w:val="000000"/>
          <w:sz w:val="20"/>
          <w:szCs w:val="20"/>
        </w:rPr>
      </w:pPr>
      <w:bookmarkStart w:id="1" w:name="_Hlk65750001"/>
    </w:p>
    <w:p w14:paraId="32D9DD6E" w14:textId="77777777" w:rsidR="00854D59" w:rsidRPr="00854D59" w:rsidRDefault="00854D59" w:rsidP="00854D59">
      <w:pPr>
        <w:autoSpaceDN w:val="0"/>
        <w:jc w:val="both"/>
        <w:rPr>
          <w:color w:val="000000"/>
          <w:sz w:val="20"/>
          <w:szCs w:val="20"/>
        </w:rPr>
      </w:pPr>
      <w:r w:rsidRPr="00854D59">
        <w:rPr>
          <w:color w:val="000000"/>
          <w:sz w:val="20"/>
          <w:szCs w:val="20"/>
        </w:rPr>
        <w:t xml:space="preserve">During 2022, GeoVax added to its cash resources through </w:t>
      </w:r>
      <w:bookmarkEnd w:id="1"/>
      <w:r w:rsidRPr="00854D59">
        <w:rPr>
          <w:color w:val="000000"/>
          <w:sz w:val="20"/>
          <w:szCs w:val="20"/>
        </w:rPr>
        <w:t>offerings of common stock and exercises of warrants with combined net proceeds of approximately $35.4 million.  GeoVax’s cash balances at December 31, 2022 stood at $27.6 million.</w:t>
      </w:r>
    </w:p>
    <w:p w14:paraId="6B10986E" w14:textId="77777777" w:rsidR="00854D59" w:rsidRPr="00854D59" w:rsidRDefault="00854D59" w:rsidP="00854D59">
      <w:pPr>
        <w:widowControl w:val="0"/>
        <w:autoSpaceDE w:val="0"/>
        <w:autoSpaceDN w:val="0"/>
        <w:adjustRightInd w:val="0"/>
        <w:jc w:val="both"/>
        <w:rPr>
          <w:sz w:val="20"/>
          <w:szCs w:val="20"/>
        </w:rPr>
      </w:pPr>
    </w:p>
    <w:p w14:paraId="76B49B22" w14:textId="77777777" w:rsidR="00854D59" w:rsidRPr="00854D59" w:rsidRDefault="00854D59" w:rsidP="00854D59">
      <w:pPr>
        <w:widowControl w:val="0"/>
        <w:autoSpaceDE w:val="0"/>
        <w:autoSpaceDN w:val="0"/>
        <w:adjustRightInd w:val="0"/>
        <w:jc w:val="center"/>
        <w:rPr>
          <w:b/>
          <w:bCs/>
          <w:sz w:val="20"/>
          <w:szCs w:val="20"/>
        </w:rPr>
      </w:pPr>
      <w:r w:rsidRPr="00854D59">
        <w:rPr>
          <w:b/>
          <w:bCs/>
          <w:sz w:val="20"/>
          <w:szCs w:val="20"/>
        </w:rPr>
        <w:t>FINANCIAL REVIEW</w:t>
      </w:r>
    </w:p>
    <w:p w14:paraId="09B06C34" w14:textId="77777777" w:rsidR="00854D59" w:rsidRPr="00854D59" w:rsidRDefault="00854D59" w:rsidP="00854D59">
      <w:pPr>
        <w:widowControl w:val="0"/>
        <w:autoSpaceDE w:val="0"/>
        <w:autoSpaceDN w:val="0"/>
        <w:adjustRightInd w:val="0"/>
        <w:jc w:val="both"/>
        <w:rPr>
          <w:sz w:val="20"/>
          <w:szCs w:val="20"/>
        </w:rPr>
      </w:pPr>
    </w:p>
    <w:p w14:paraId="5033BC50" w14:textId="77777777" w:rsidR="00854D59" w:rsidRPr="00854D59" w:rsidRDefault="00854D59" w:rsidP="00854D59">
      <w:pPr>
        <w:widowControl w:val="0"/>
        <w:autoSpaceDE w:val="0"/>
        <w:autoSpaceDN w:val="0"/>
        <w:adjustRightInd w:val="0"/>
        <w:jc w:val="both"/>
        <w:rPr>
          <w:sz w:val="20"/>
          <w:szCs w:val="20"/>
        </w:rPr>
      </w:pPr>
      <w:r w:rsidRPr="00854D59">
        <w:rPr>
          <w:sz w:val="20"/>
          <w:szCs w:val="20"/>
        </w:rPr>
        <w:t xml:space="preserve">Net loss for the year ended December 31, 2022, was $14.0 million, as compared to $18.6 million for the year ended December 31, 2021. </w:t>
      </w:r>
    </w:p>
    <w:p w14:paraId="6BCC3675" w14:textId="77777777" w:rsidR="00854D59" w:rsidRPr="00854D59" w:rsidRDefault="00854D59" w:rsidP="00854D59">
      <w:pPr>
        <w:widowControl w:val="0"/>
        <w:autoSpaceDE w:val="0"/>
        <w:autoSpaceDN w:val="0"/>
        <w:adjustRightInd w:val="0"/>
        <w:jc w:val="both"/>
        <w:rPr>
          <w:sz w:val="20"/>
          <w:szCs w:val="20"/>
        </w:rPr>
      </w:pPr>
    </w:p>
    <w:p w14:paraId="145207D7" w14:textId="77777777" w:rsidR="00854D59" w:rsidRPr="00854D59" w:rsidRDefault="00854D59" w:rsidP="00854D59">
      <w:pPr>
        <w:widowControl w:val="0"/>
        <w:autoSpaceDE w:val="0"/>
        <w:autoSpaceDN w:val="0"/>
        <w:adjustRightInd w:val="0"/>
        <w:jc w:val="both"/>
        <w:rPr>
          <w:sz w:val="20"/>
          <w:szCs w:val="20"/>
        </w:rPr>
      </w:pPr>
      <w:r w:rsidRPr="00854D59">
        <w:rPr>
          <w:sz w:val="20"/>
          <w:szCs w:val="20"/>
        </w:rPr>
        <w:t xml:space="preserve">Research and development (R&amp;D) expenses were $9.1 million for 2022, as compared to $15.6 million in 2021. Research and development </w:t>
      </w:r>
      <w:proofErr w:type="gramStart"/>
      <w:r w:rsidRPr="00854D59">
        <w:rPr>
          <w:sz w:val="20"/>
          <w:szCs w:val="20"/>
        </w:rPr>
        <w:t>expense</w:t>
      </w:r>
      <w:proofErr w:type="gramEnd"/>
      <w:r w:rsidRPr="00854D59">
        <w:rPr>
          <w:sz w:val="20"/>
          <w:szCs w:val="20"/>
        </w:rPr>
        <w:t xml:space="preserve"> for 2021 includes $12.3 million of one-time license fees and other costs related to technology licensing agreements; excluding these costs, research and development expense increased by $5.9 million from 2021 to 2022. The increase during 2022 relates primarily to higher personnel and consulting costs, costs of conducting clinical trials for GEO-CM04S1 and Gedeptin, costs of manufacturing materials for use in clinical trials, and a generally higher level of activity. </w:t>
      </w:r>
    </w:p>
    <w:p w14:paraId="2A0374C9" w14:textId="77777777" w:rsidR="00854D59" w:rsidRPr="00854D59" w:rsidRDefault="00854D59" w:rsidP="00854D59">
      <w:pPr>
        <w:widowControl w:val="0"/>
        <w:autoSpaceDE w:val="0"/>
        <w:autoSpaceDN w:val="0"/>
        <w:adjustRightInd w:val="0"/>
        <w:jc w:val="both"/>
        <w:rPr>
          <w:sz w:val="20"/>
          <w:szCs w:val="20"/>
        </w:rPr>
      </w:pPr>
    </w:p>
    <w:p w14:paraId="61A406E7" w14:textId="77777777" w:rsidR="00854D59" w:rsidRPr="00854D59" w:rsidRDefault="00854D59" w:rsidP="00854D59">
      <w:pPr>
        <w:widowControl w:val="0"/>
        <w:autoSpaceDE w:val="0"/>
        <w:autoSpaceDN w:val="0"/>
        <w:adjustRightInd w:val="0"/>
        <w:jc w:val="both"/>
        <w:rPr>
          <w:sz w:val="20"/>
          <w:szCs w:val="20"/>
        </w:rPr>
      </w:pPr>
      <w:r w:rsidRPr="00854D59">
        <w:rPr>
          <w:sz w:val="20"/>
          <w:szCs w:val="20"/>
        </w:rPr>
        <w:t xml:space="preserve">General and administrative expenses were $5.0 million for 2022, as compared to $3.6 million in 2021, with the increase primarily attributable to higher personnel and consulting costs, patent costs, investor relations costs, and travel expenses. </w:t>
      </w:r>
    </w:p>
    <w:p w14:paraId="6CA9BB7C" w14:textId="77777777" w:rsidR="00854D59" w:rsidRPr="00854D59" w:rsidRDefault="00854D59" w:rsidP="00854D59">
      <w:pPr>
        <w:widowControl w:val="0"/>
        <w:autoSpaceDE w:val="0"/>
        <w:autoSpaceDN w:val="0"/>
        <w:adjustRightInd w:val="0"/>
        <w:jc w:val="both"/>
        <w:rPr>
          <w:sz w:val="20"/>
          <w:szCs w:val="20"/>
        </w:rPr>
      </w:pPr>
    </w:p>
    <w:p w14:paraId="468A6FA5" w14:textId="77777777" w:rsidR="00854D59" w:rsidRPr="00854D59" w:rsidRDefault="00854D59" w:rsidP="00854D59">
      <w:pPr>
        <w:widowControl w:val="0"/>
        <w:autoSpaceDE w:val="0"/>
        <w:autoSpaceDN w:val="0"/>
        <w:adjustRightInd w:val="0"/>
        <w:jc w:val="both"/>
        <w:rPr>
          <w:sz w:val="20"/>
          <w:szCs w:val="20"/>
        </w:rPr>
      </w:pPr>
      <w:r w:rsidRPr="00854D59">
        <w:rPr>
          <w:sz w:val="20"/>
          <w:szCs w:val="20"/>
        </w:rPr>
        <w:t>GeoVax reported cash balances of $27.6 million at December 31, 2022, as compared to $11.4 million at December 31, 2021. Contributing to the increase in cash balances were aggregate net proceeds of $27.7 million from equity transactions during January and May 2022, and $7.6 million from the exercise of warrants during August 2022.</w:t>
      </w:r>
    </w:p>
    <w:p w14:paraId="47E9E07C" w14:textId="77777777" w:rsidR="00854D59" w:rsidRPr="00854D59" w:rsidRDefault="00854D59" w:rsidP="00854D59">
      <w:pPr>
        <w:widowControl w:val="0"/>
        <w:autoSpaceDE w:val="0"/>
        <w:autoSpaceDN w:val="0"/>
        <w:adjustRightInd w:val="0"/>
        <w:jc w:val="both"/>
        <w:rPr>
          <w:sz w:val="20"/>
          <w:szCs w:val="20"/>
        </w:rPr>
      </w:pPr>
    </w:p>
    <w:p w14:paraId="7255E330" w14:textId="77777777" w:rsidR="00854D59" w:rsidRPr="00854D59" w:rsidRDefault="00854D59" w:rsidP="00854D59">
      <w:pPr>
        <w:widowControl w:val="0"/>
        <w:autoSpaceDE w:val="0"/>
        <w:autoSpaceDN w:val="0"/>
        <w:adjustRightInd w:val="0"/>
        <w:jc w:val="both"/>
        <w:rPr>
          <w:sz w:val="20"/>
          <w:szCs w:val="20"/>
        </w:rPr>
      </w:pPr>
      <w:r w:rsidRPr="00854D59">
        <w:rPr>
          <w:sz w:val="20"/>
          <w:szCs w:val="20"/>
        </w:rPr>
        <w:t xml:space="preserve">Summarized financial information is attached. Further information concerning the Company’s financial position and results of operations </w:t>
      </w:r>
      <w:proofErr w:type="gramStart"/>
      <w:r w:rsidRPr="00854D59">
        <w:rPr>
          <w:sz w:val="20"/>
          <w:szCs w:val="20"/>
        </w:rPr>
        <w:t>are</w:t>
      </w:r>
      <w:proofErr w:type="gramEnd"/>
      <w:r w:rsidRPr="00854D59">
        <w:rPr>
          <w:sz w:val="20"/>
          <w:szCs w:val="20"/>
        </w:rPr>
        <w:t xml:space="preserve"> included in its Annual Report on Form 10-K filed with the Securities and Exchange Commission.</w:t>
      </w:r>
    </w:p>
    <w:p w14:paraId="63F9A916" w14:textId="77777777" w:rsidR="00854D59" w:rsidRPr="00854D59" w:rsidRDefault="00854D59" w:rsidP="00854D59">
      <w:pPr>
        <w:widowControl w:val="0"/>
        <w:autoSpaceDE w:val="0"/>
        <w:autoSpaceDN w:val="0"/>
        <w:adjustRightInd w:val="0"/>
        <w:jc w:val="both"/>
        <w:rPr>
          <w:sz w:val="20"/>
          <w:szCs w:val="20"/>
        </w:rPr>
      </w:pPr>
    </w:p>
    <w:p w14:paraId="7BD8AC8C" w14:textId="77777777" w:rsidR="00854D59" w:rsidRPr="00854D59" w:rsidRDefault="00854D59" w:rsidP="00854D59">
      <w:pPr>
        <w:widowControl w:val="0"/>
        <w:autoSpaceDE w:val="0"/>
        <w:autoSpaceDN w:val="0"/>
        <w:adjustRightInd w:val="0"/>
        <w:jc w:val="center"/>
        <w:rPr>
          <w:b/>
          <w:bCs/>
          <w:sz w:val="20"/>
          <w:szCs w:val="20"/>
        </w:rPr>
      </w:pPr>
      <w:r w:rsidRPr="00854D59">
        <w:rPr>
          <w:b/>
          <w:bCs/>
          <w:sz w:val="20"/>
          <w:szCs w:val="20"/>
        </w:rPr>
        <w:t>CONFERENCE CALL</w:t>
      </w:r>
    </w:p>
    <w:p w14:paraId="426064DB" w14:textId="77777777" w:rsidR="00854D59" w:rsidRPr="00854D59" w:rsidRDefault="00854D59" w:rsidP="00854D59">
      <w:pPr>
        <w:autoSpaceDE w:val="0"/>
        <w:autoSpaceDN w:val="0"/>
        <w:adjustRightInd w:val="0"/>
        <w:jc w:val="both"/>
        <w:rPr>
          <w:sz w:val="20"/>
          <w:szCs w:val="20"/>
        </w:rPr>
      </w:pPr>
      <w:bookmarkStart w:id="2" w:name="_heading=h.1t3h5sf"/>
      <w:bookmarkEnd w:id="2"/>
    </w:p>
    <w:p w14:paraId="0709F1EA" w14:textId="77777777" w:rsidR="00854D59" w:rsidRPr="00854D59" w:rsidRDefault="00854D59" w:rsidP="00854D59">
      <w:pPr>
        <w:autoSpaceDE w:val="0"/>
        <w:autoSpaceDN w:val="0"/>
        <w:adjustRightInd w:val="0"/>
        <w:jc w:val="both"/>
        <w:rPr>
          <w:sz w:val="20"/>
          <w:szCs w:val="20"/>
        </w:rPr>
      </w:pPr>
      <w:r w:rsidRPr="00854D59">
        <w:rPr>
          <w:sz w:val="20"/>
          <w:szCs w:val="20"/>
        </w:rPr>
        <w:t xml:space="preserve">Management will host a conference call, scheduled to begin at 4:30 p.m. Eastern Time today, March 23, 2023, to review financial results and provide an update on corporate developments. </w:t>
      </w:r>
      <w:proofErr w:type="gramStart"/>
      <w:r w:rsidRPr="00854D59">
        <w:rPr>
          <w:sz w:val="20"/>
          <w:szCs w:val="20"/>
        </w:rPr>
        <w:t>Following management’s formal remarks, there</w:t>
      </w:r>
      <w:proofErr w:type="gramEnd"/>
      <w:r w:rsidRPr="00854D59">
        <w:rPr>
          <w:sz w:val="20"/>
          <w:szCs w:val="20"/>
        </w:rPr>
        <w:t xml:space="preserve"> will be a question-and-answer session. </w:t>
      </w:r>
    </w:p>
    <w:p w14:paraId="23925502" w14:textId="77777777" w:rsidR="00854D59" w:rsidRPr="00854D59" w:rsidRDefault="00854D59" w:rsidP="00854D59">
      <w:pPr>
        <w:autoSpaceDE w:val="0"/>
        <w:autoSpaceDN w:val="0"/>
        <w:adjustRightInd w:val="0"/>
        <w:jc w:val="both"/>
        <w:rPr>
          <w:sz w:val="20"/>
          <w:szCs w:val="20"/>
        </w:rPr>
      </w:pPr>
    </w:p>
    <w:p w14:paraId="3FD3EDA4" w14:textId="77777777" w:rsidR="00854D59" w:rsidRPr="00854D59" w:rsidRDefault="00854D59" w:rsidP="00854D59">
      <w:pPr>
        <w:autoSpaceDE w:val="0"/>
        <w:autoSpaceDN w:val="0"/>
        <w:adjustRightInd w:val="0"/>
        <w:jc w:val="both"/>
        <w:rPr>
          <w:sz w:val="20"/>
          <w:szCs w:val="20"/>
        </w:rPr>
      </w:pPr>
      <w:r w:rsidRPr="00854D59">
        <w:rPr>
          <w:sz w:val="20"/>
          <w:szCs w:val="20"/>
        </w:rPr>
        <w:t xml:space="preserve">Domestic: </w:t>
      </w:r>
      <w:r w:rsidRPr="00854D59">
        <w:rPr>
          <w:sz w:val="20"/>
          <w:szCs w:val="20"/>
        </w:rPr>
        <w:tab/>
        <w:t>877-269-7756</w:t>
      </w:r>
    </w:p>
    <w:p w14:paraId="40508418" w14:textId="77777777" w:rsidR="00854D59" w:rsidRPr="00854D59" w:rsidRDefault="00854D59" w:rsidP="00854D59">
      <w:pPr>
        <w:autoSpaceDE w:val="0"/>
        <w:autoSpaceDN w:val="0"/>
        <w:adjustRightInd w:val="0"/>
        <w:jc w:val="both"/>
        <w:rPr>
          <w:sz w:val="20"/>
          <w:szCs w:val="20"/>
        </w:rPr>
      </w:pPr>
      <w:r w:rsidRPr="00854D59">
        <w:rPr>
          <w:sz w:val="20"/>
          <w:szCs w:val="20"/>
        </w:rPr>
        <w:t xml:space="preserve">International: </w:t>
      </w:r>
      <w:r w:rsidRPr="00854D59">
        <w:rPr>
          <w:sz w:val="20"/>
          <w:szCs w:val="20"/>
        </w:rPr>
        <w:tab/>
        <w:t>201-689-7817</w:t>
      </w:r>
    </w:p>
    <w:p w14:paraId="6BE86C8D" w14:textId="77777777" w:rsidR="00854D59" w:rsidRPr="00854D59" w:rsidRDefault="00854D59" w:rsidP="00854D59">
      <w:pPr>
        <w:autoSpaceDE w:val="0"/>
        <w:autoSpaceDN w:val="0"/>
        <w:adjustRightInd w:val="0"/>
        <w:jc w:val="both"/>
        <w:rPr>
          <w:sz w:val="20"/>
          <w:szCs w:val="20"/>
        </w:rPr>
      </w:pPr>
      <w:r w:rsidRPr="00854D59">
        <w:rPr>
          <w:sz w:val="20"/>
          <w:szCs w:val="20"/>
        </w:rPr>
        <w:t xml:space="preserve">Conference ID: </w:t>
      </w:r>
      <w:r w:rsidRPr="00854D59">
        <w:rPr>
          <w:sz w:val="20"/>
          <w:szCs w:val="20"/>
        </w:rPr>
        <w:tab/>
        <w:t>13736454</w:t>
      </w:r>
      <w:r w:rsidRPr="00854D59" w:rsidDel="001F252C">
        <w:rPr>
          <w:sz w:val="20"/>
          <w:szCs w:val="20"/>
        </w:rPr>
        <w:t xml:space="preserve"> </w:t>
      </w:r>
    </w:p>
    <w:p w14:paraId="4E994346" w14:textId="77777777" w:rsidR="00854D59" w:rsidRPr="00854D59" w:rsidRDefault="00854D59" w:rsidP="00854D59">
      <w:pPr>
        <w:autoSpaceDE w:val="0"/>
        <w:autoSpaceDN w:val="0"/>
        <w:adjustRightInd w:val="0"/>
        <w:jc w:val="both"/>
        <w:rPr>
          <w:sz w:val="20"/>
          <w:szCs w:val="20"/>
        </w:rPr>
      </w:pPr>
      <w:r w:rsidRPr="00854D59">
        <w:rPr>
          <w:sz w:val="20"/>
          <w:szCs w:val="20"/>
        </w:rPr>
        <w:t xml:space="preserve">Webcast: </w:t>
      </w:r>
      <w:r w:rsidRPr="00854D59">
        <w:rPr>
          <w:sz w:val="20"/>
          <w:szCs w:val="20"/>
        </w:rPr>
        <w:tab/>
      </w:r>
      <w:hyperlink r:id="rId18" w:history="1">
        <w:r w:rsidRPr="00854D59">
          <w:rPr>
            <w:color w:val="0000FF"/>
            <w:sz w:val="20"/>
            <w:szCs w:val="20"/>
            <w:u w:val="single"/>
          </w:rPr>
          <w:t>GeoVax 2022 Earnings Webcast</w:t>
        </w:r>
      </w:hyperlink>
    </w:p>
    <w:p w14:paraId="68B6BD8D" w14:textId="77777777" w:rsidR="00854D59" w:rsidRPr="00854D59" w:rsidRDefault="00854D59" w:rsidP="00854D59">
      <w:pPr>
        <w:autoSpaceDE w:val="0"/>
        <w:autoSpaceDN w:val="0"/>
        <w:adjustRightInd w:val="0"/>
        <w:jc w:val="both"/>
        <w:rPr>
          <w:sz w:val="20"/>
          <w:szCs w:val="20"/>
        </w:rPr>
      </w:pPr>
    </w:p>
    <w:p w14:paraId="4592C45B" w14:textId="77777777" w:rsidR="00854D59" w:rsidRPr="00854D59" w:rsidRDefault="00854D59" w:rsidP="00854D59">
      <w:pPr>
        <w:autoSpaceDE w:val="0"/>
        <w:autoSpaceDN w:val="0"/>
        <w:adjustRightInd w:val="0"/>
        <w:jc w:val="both"/>
        <w:rPr>
          <w:sz w:val="20"/>
          <w:szCs w:val="20"/>
        </w:rPr>
      </w:pPr>
      <w:r w:rsidRPr="00854D59">
        <w:rPr>
          <w:sz w:val="20"/>
          <w:szCs w:val="20"/>
        </w:rPr>
        <w:t xml:space="preserve">A webcast replay of the call will be available via the same link as the live webcast approximately one hour after the end of the call through June 23, 2023. </w:t>
      </w:r>
    </w:p>
    <w:p w14:paraId="2A83B3BF" w14:textId="77777777" w:rsidR="00854D59" w:rsidRPr="00854D59" w:rsidRDefault="00854D59" w:rsidP="00854D59">
      <w:pPr>
        <w:jc w:val="both"/>
        <w:rPr>
          <w:rFonts w:eastAsia="SimSun"/>
          <w:b/>
          <w:bCs/>
          <w:color w:val="000000"/>
          <w:sz w:val="20"/>
          <w:szCs w:val="20"/>
        </w:rPr>
      </w:pPr>
    </w:p>
    <w:p w14:paraId="19937451" w14:textId="77777777" w:rsidR="00854D59" w:rsidRPr="00854D59" w:rsidRDefault="00854D59" w:rsidP="00854D59">
      <w:pPr>
        <w:jc w:val="both"/>
        <w:rPr>
          <w:rFonts w:eastAsia="SimSun"/>
          <w:sz w:val="20"/>
          <w:szCs w:val="20"/>
        </w:rPr>
      </w:pPr>
      <w:r w:rsidRPr="00854D59">
        <w:rPr>
          <w:rFonts w:eastAsia="SimSun"/>
          <w:b/>
          <w:bCs/>
          <w:color w:val="000000"/>
          <w:sz w:val="20"/>
          <w:szCs w:val="20"/>
        </w:rPr>
        <w:t>About GeoVax</w:t>
      </w:r>
    </w:p>
    <w:p w14:paraId="48E1F74E" w14:textId="77777777" w:rsidR="00854D59" w:rsidRPr="00854D59" w:rsidRDefault="00854D59" w:rsidP="00854D59">
      <w:pPr>
        <w:jc w:val="both"/>
        <w:rPr>
          <w:rFonts w:eastAsia="SimSun"/>
          <w:sz w:val="20"/>
          <w:szCs w:val="20"/>
        </w:rPr>
      </w:pPr>
    </w:p>
    <w:p w14:paraId="1FD947CD" w14:textId="77777777" w:rsidR="00854D59" w:rsidRPr="00854D59" w:rsidRDefault="00854D59" w:rsidP="00854D59">
      <w:pPr>
        <w:jc w:val="both"/>
        <w:rPr>
          <w:rFonts w:eastAsia="SimSun"/>
          <w:sz w:val="20"/>
          <w:szCs w:val="20"/>
        </w:rPr>
      </w:pPr>
      <w:r w:rsidRPr="00854D59">
        <w:rPr>
          <w:rFonts w:eastAsia="SimSun"/>
          <w:sz w:val="20"/>
          <w:szCs w:val="20"/>
        </w:rPr>
        <w:t xml:space="preserve">GeoVax Labs, Inc. is a clinical-stage biotechnology company developing novel therapies and vaccines for cancers and many of the world’s most threatening infectious diseases. The company’s lead program in oncology is a novel oncolytic </w:t>
      </w:r>
      <w:r w:rsidRPr="00854D59">
        <w:rPr>
          <w:rFonts w:eastAsia="SimSun"/>
          <w:sz w:val="20"/>
          <w:szCs w:val="20"/>
        </w:rPr>
        <w:lastRenderedPageBreak/>
        <w:t>solid tumor gene-directed therapy, Gedeptin</w:t>
      </w:r>
      <w:r w:rsidRPr="00854D59">
        <w:rPr>
          <w:rFonts w:eastAsia="SimSun"/>
          <w:sz w:val="20"/>
          <w:szCs w:val="20"/>
          <w:vertAlign w:val="superscript"/>
        </w:rPr>
        <w:t>®</w:t>
      </w:r>
      <w:r w:rsidRPr="00854D59">
        <w:rPr>
          <w:rFonts w:eastAsia="SimSun"/>
          <w:sz w:val="20"/>
          <w:szCs w:val="20"/>
        </w:rPr>
        <w:t>, presently in a multicenter Phase 1/2 clinical trial for advanced head and neck cancers. GeoVax’s lead infectious disease candidate is GEO-CM04S1, a next-generation COVID-19 vaccine targeting high-risk immunocompromised patient populations. Currently in two Phase 2 clinical trials, GEO-CM04S1 is being evaluated as a COVID-19 vaccine for immunocompromised patients such as those suffering from hematologic cancers and other patient populations for whom the current authorized COVID-19 vaccines are insufficient. In addition, GEO-CM04S1 is in a Phase 2 clinical trial evaluating the vaccine as a more robust, durable COVID-19 booster among healthy patients who previously received the mRNA vaccines. GeoVax has a leadership team who have driven significant value creation across multiple life science companies over the past several decades. For more information, visit our website: www.geovax.com.</w:t>
      </w:r>
    </w:p>
    <w:p w14:paraId="6DA43C7E" w14:textId="77777777" w:rsidR="00854D59" w:rsidRPr="00854D59" w:rsidRDefault="00854D59" w:rsidP="00854D59">
      <w:pPr>
        <w:jc w:val="both"/>
        <w:rPr>
          <w:rFonts w:eastAsia="SimSun"/>
          <w:i/>
          <w:iCs/>
          <w:sz w:val="20"/>
          <w:szCs w:val="20"/>
        </w:rPr>
      </w:pPr>
    </w:p>
    <w:p w14:paraId="50B19061" w14:textId="77777777" w:rsidR="00854D59" w:rsidRPr="00854D59" w:rsidRDefault="00854D59" w:rsidP="00854D59">
      <w:pPr>
        <w:jc w:val="both"/>
        <w:rPr>
          <w:rFonts w:eastAsia="SimSun"/>
          <w:i/>
          <w:iCs/>
          <w:sz w:val="20"/>
          <w:szCs w:val="20"/>
        </w:rPr>
      </w:pPr>
      <w:r w:rsidRPr="00854D59">
        <w:rPr>
          <w:rFonts w:eastAsia="SimSun"/>
          <w:i/>
          <w:iCs/>
          <w:sz w:val="20"/>
          <w:szCs w:val="20"/>
        </w:rPr>
        <w:t>Forward-Looking Statements</w:t>
      </w:r>
    </w:p>
    <w:p w14:paraId="46FCB493" w14:textId="77777777" w:rsidR="00854D59" w:rsidRPr="00854D59" w:rsidRDefault="00854D59" w:rsidP="00854D59">
      <w:pPr>
        <w:shd w:val="clear" w:color="auto" w:fill="FFFFFF"/>
        <w:jc w:val="both"/>
        <w:rPr>
          <w:rFonts w:eastAsia="SimSun"/>
          <w:i/>
          <w:iCs/>
          <w:sz w:val="20"/>
          <w:szCs w:val="20"/>
        </w:rPr>
      </w:pPr>
    </w:p>
    <w:p w14:paraId="67A85559" w14:textId="77777777" w:rsidR="00854D59" w:rsidRPr="00854D59" w:rsidRDefault="00854D59" w:rsidP="00854D59">
      <w:pPr>
        <w:shd w:val="clear" w:color="auto" w:fill="FFFFFF"/>
        <w:jc w:val="both"/>
        <w:rPr>
          <w:rFonts w:eastAsia="SimSun"/>
          <w:i/>
          <w:iCs/>
          <w:sz w:val="20"/>
          <w:szCs w:val="20"/>
        </w:rPr>
      </w:pPr>
      <w:r w:rsidRPr="00854D59">
        <w:rPr>
          <w:rFonts w:eastAsia="SimSun"/>
          <w:i/>
          <w:iCs/>
          <w:sz w:val="20"/>
          <w:szCs w:val="20"/>
        </w:rPr>
        <w:t xml:space="preserve">This release contains forward-looking statements regarding GeoVax’s business plans. The words “believe,” “look forward to,” “may,” “estimate,” “continue,” “anticipate,” “intend,” “should,” “plan,” “could,” “target,” “potential,” “is likely,” “will,” “expect” and similar expressions, as they relate to us, are intended to identify forward-looking statements. We have based these forward-looking statements largely on our current expectations and projections about future events and financial trends that we believe may affect our financial condition, results of operations, business strategy and financial needs. Actual results may differ materially from those included in these statements due to a variety of factors, including whether: GeoVax is able to obtain acceptable results from ongoing or future clinical trials of its investigational products, GeoVax’s immuno-oncology products and preventative vaccines can provoke the desired responses, and those products or vaccines can be used effectively, GeoVax’s viral vector technology adequately amplifies immune responses to cancer antigens, GeoVax can develop and manufacture its immuno-oncology products and preventative vaccines with the desired characteristics in a timely manner, GeoVax’s immuno-oncology products and preventative vaccines will be safe for human use, GeoVax’s vaccines will effectively prevent targeted infections in humans, GeoVax’s immuno-oncology products and preventative vaccines will receive regulatory approvals necessary to be licensed and marketed, GeoVax raises required capital to complete development, there is development of competitive products that may be more effective or easier to use than GeoVax’s products, GeoVax will be able to enter into favorable manufacturing and distribution agreements, and other factors, over which GeoVax has no control. </w:t>
      </w:r>
    </w:p>
    <w:p w14:paraId="3FDF3164" w14:textId="77777777" w:rsidR="00854D59" w:rsidRPr="00854D59" w:rsidRDefault="00854D59" w:rsidP="00854D59">
      <w:pPr>
        <w:shd w:val="clear" w:color="auto" w:fill="FFFFFF"/>
        <w:jc w:val="both"/>
        <w:rPr>
          <w:rFonts w:eastAsia="SimSun"/>
          <w:i/>
          <w:iCs/>
          <w:sz w:val="20"/>
          <w:szCs w:val="20"/>
        </w:rPr>
      </w:pPr>
    </w:p>
    <w:p w14:paraId="70769F0B" w14:textId="77777777" w:rsidR="00854D59" w:rsidRPr="00854D59" w:rsidRDefault="00854D59" w:rsidP="00854D59">
      <w:pPr>
        <w:shd w:val="clear" w:color="auto" w:fill="FFFFFF"/>
        <w:jc w:val="both"/>
        <w:rPr>
          <w:rFonts w:eastAsia="SimSun"/>
          <w:i/>
          <w:iCs/>
          <w:sz w:val="20"/>
          <w:szCs w:val="20"/>
        </w:rPr>
      </w:pPr>
      <w:r w:rsidRPr="00854D59">
        <w:rPr>
          <w:rFonts w:eastAsia="SimSun"/>
          <w:i/>
          <w:iCs/>
          <w:sz w:val="20"/>
          <w:szCs w:val="20"/>
        </w:rPr>
        <w:t xml:space="preserve">Further information on our risk factors is contained in our periodic reports on Form 10-Q and Form 10-K that we have filed and will file with the SEC. Any forward-looking statement made by us herein speaks only as of the date on which it is made. Factors or events that could cause our actual results to differ may emerge from time to time, and it is not possible for us to predict all of them. We undertake no obligation to publicly update any forward-looking statement, whether </w:t>
      </w:r>
      <w:proofErr w:type="gramStart"/>
      <w:r w:rsidRPr="00854D59">
        <w:rPr>
          <w:rFonts w:eastAsia="SimSun"/>
          <w:i/>
          <w:iCs/>
          <w:sz w:val="20"/>
          <w:szCs w:val="20"/>
        </w:rPr>
        <w:t>as a result of</w:t>
      </w:r>
      <w:proofErr w:type="gramEnd"/>
      <w:r w:rsidRPr="00854D59">
        <w:rPr>
          <w:rFonts w:eastAsia="SimSun"/>
          <w:i/>
          <w:iCs/>
          <w:sz w:val="20"/>
          <w:szCs w:val="20"/>
        </w:rPr>
        <w:t xml:space="preserve"> new information, future developments or otherwise, except as may be required by law. </w:t>
      </w:r>
    </w:p>
    <w:p w14:paraId="11C06169" w14:textId="77777777" w:rsidR="00854D59" w:rsidRPr="00854D59" w:rsidRDefault="00854D59" w:rsidP="00854D59">
      <w:pPr>
        <w:rPr>
          <w:rFonts w:eastAsia="SimSun"/>
          <w:b/>
          <w:i/>
          <w:iCs/>
          <w:sz w:val="20"/>
          <w:szCs w:val="20"/>
        </w:rPr>
      </w:pPr>
    </w:p>
    <w:p w14:paraId="1C65A8BA" w14:textId="77777777" w:rsidR="00854D59" w:rsidRPr="00854D59" w:rsidRDefault="00854D59" w:rsidP="00854D59">
      <w:pPr>
        <w:rPr>
          <w:rFonts w:eastAsia="SimSun"/>
          <w:b/>
          <w:sz w:val="20"/>
          <w:szCs w:val="20"/>
        </w:rPr>
      </w:pPr>
    </w:p>
    <w:p w14:paraId="0306A82A" w14:textId="77777777" w:rsidR="00854D59" w:rsidRPr="00854D59" w:rsidRDefault="00854D59" w:rsidP="00854D59">
      <w:pPr>
        <w:rPr>
          <w:rFonts w:eastAsia="SimSun"/>
          <w:b/>
          <w:sz w:val="20"/>
          <w:szCs w:val="20"/>
        </w:rPr>
      </w:pPr>
      <w:r w:rsidRPr="00854D59">
        <w:rPr>
          <w:rFonts w:eastAsia="SimSun"/>
          <w:b/>
          <w:sz w:val="20"/>
          <w:szCs w:val="20"/>
        </w:rPr>
        <w:t>Investor Relations Contact:</w:t>
      </w:r>
    </w:p>
    <w:p w14:paraId="316DF667" w14:textId="77777777" w:rsidR="00854D59" w:rsidRPr="00854D59" w:rsidRDefault="00854D59" w:rsidP="00854D59">
      <w:pPr>
        <w:rPr>
          <w:rFonts w:eastAsia="SimSun"/>
          <w:sz w:val="20"/>
          <w:szCs w:val="20"/>
        </w:rPr>
      </w:pPr>
      <w:r w:rsidRPr="00854D59">
        <w:rPr>
          <w:rFonts w:eastAsia="SimSun"/>
          <w:sz w:val="20"/>
          <w:szCs w:val="20"/>
        </w:rPr>
        <w:t>Rich Cockrell</w:t>
      </w:r>
    </w:p>
    <w:p w14:paraId="6292882A" w14:textId="77777777" w:rsidR="00854D59" w:rsidRPr="00854D59" w:rsidRDefault="00854D59" w:rsidP="00854D59">
      <w:pPr>
        <w:rPr>
          <w:rFonts w:eastAsia="SimSun"/>
          <w:sz w:val="20"/>
          <w:szCs w:val="20"/>
        </w:rPr>
      </w:pPr>
      <w:r w:rsidRPr="00854D59">
        <w:rPr>
          <w:rFonts w:eastAsia="SimSun"/>
          <w:sz w:val="20"/>
          <w:szCs w:val="20"/>
        </w:rPr>
        <w:t>CG Capital</w:t>
      </w:r>
    </w:p>
    <w:p w14:paraId="2A7E8D53" w14:textId="77777777" w:rsidR="00854D59" w:rsidRPr="00854D59" w:rsidRDefault="00854D59" w:rsidP="00854D59">
      <w:pPr>
        <w:rPr>
          <w:rFonts w:eastAsia="SimSun"/>
          <w:sz w:val="20"/>
          <w:szCs w:val="20"/>
        </w:rPr>
      </w:pPr>
      <w:r w:rsidRPr="00854D59">
        <w:rPr>
          <w:rFonts w:eastAsia="SimSun"/>
          <w:sz w:val="20"/>
          <w:szCs w:val="20"/>
        </w:rPr>
        <w:t xml:space="preserve">404-736-3838 </w:t>
      </w:r>
    </w:p>
    <w:p w14:paraId="5400695D" w14:textId="77777777" w:rsidR="00854D59" w:rsidRPr="00854D59" w:rsidRDefault="00854D59" w:rsidP="00854D59">
      <w:pPr>
        <w:rPr>
          <w:rFonts w:eastAsia="SimSun"/>
          <w:color w:val="0000FF"/>
          <w:sz w:val="20"/>
          <w:szCs w:val="20"/>
          <w:u w:val="single"/>
        </w:rPr>
      </w:pPr>
      <w:hyperlink r:id="rId19" w:history="1">
        <w:r w:rsidRPr="00854D59">
          <w:rPr>
            <w:rFonts w:eastAsia="SimSun"/>
            <w:color w:val="0000FF"/>
            <w:sz w:val="20"/>
            <w:szCs w:val="20"/>
            <w:u w:val="single"/>
          </w:rPr>
          <w:t>govx@cg.capital</w:t>
        </w:r>
      </w:hyperlink>
    </w:p>
    <w:p w14:paraId="2ED7082D" w14:textId="77777777" w:rsidR="00854D59" w:rsidRPr="00854D59" w:rsidRDefault="00854D59" w:rsidP="00854D59">
      <w:pPr>
        <w:widowControl w:val="0"/>
        <w:autoSpaceDE w:val="0"/>
        <w:autoSpaceDN w:val="0"/>
        <w:adjustRightInd w:val="0"/>
        <w:jc w:val="center"/>
        <w:rPr>
          <w:b/>
          <w:sz w:val="20"/>
          <w:szCs w:val="20"/>
        </w:rPr>
      </w:pPr>
    </w:p>
    <w:p w14:paraId="0A6175B3" w14:textId="77777777" w:rsidR="00854D59" w:rsidRPr="00854D59" w:rsidRDefault="00854D59" w:rsidP="00854D59">
      <w:pPr>
        <w:widowControl w:val="0"/>
        <w:autoSpaceDE w:val="0"/>
        <w:autoSpaceDN w:val="0"/>
        <w:adjustRightInd w:val="0"/>
        <w:jc w:val="center"/>
        <w:rPr>
          <w:sz w:val="20"/>
          <w:szCs w:val="20"/>
        </w:rPr>
      </w:pPr>
      <w:r w:rsidRPr="00854D59">
        <w:rPr>
          <w:b/>
          <w:sz w:val="20"/>
          <w:szCs w:val="20"/>
        </w:rPr>
        <w:t>FINANCIAL TABLES FOLLOW</w:t>
      </w:r>
    </w:p>
    <w:p w14:paraId="57ED1537" w14:textId="77777777" w:rsidR="00854D59" w:rsidRPr="00854D59" w:rsidRDefault="00854D59" w:rsidP="00854D59">
      <w:pPr>
        <w:widowControl w:val="0"/>
        <w:autoSpaceDE w:val="0"/>
        <w:autoSpaceDN w:val="0"/>
        <w:adjustRightInd w:val="0"/>
        <w:rPr>
          <w:sz w:val="20"/>
          <w:szCs w:val="20"/>
        </w:rPr>
        <w:sectPr w:rsidR="00854D59" w:rsidRPr="00854D59" w:rsidSect="00854D59">
          <w:footerReference w:type="default" r:id="rId20"/>
          <w:headerReference w:type="first" r:id="rId21"/>
          <w:footerReference w:type="first" r:id="rId22"/>
          <w:pgSz w:w="12240" w:h="15840" w:code="1"/>
          <w:pgMar w:top="1440" w:right="1296" w:bottom="1008" w:left="1296" w:header="547" w:footer="576" w:gutter="0"/>
          <w:pgNumType w:start="0"/>
          <w:cols w:space="720"/>
          <w:titlePg/>
          <w:docGrid w:linePitch="272"/>
        </w:sectPr>
      </w:pPr>
    </w:p>
    <w:tbl>
      <w:tblPr>
        <w:tblW w:w="9930" w:type="dxa"/>
        <w:tblLayout w:type="fixed"/>
        <w:tblCellMar>
          <w:left w:w="30" w:type="dxa"/>
          <w:right w:w="30" w:type="dxa"/>
        </w:tblCellMar>
        <w:tblLook w:val="0000" w:firstRow="0" w:lastRow="0" w:firstColumn="0" w:lastColumn="0" w:noHBand="0" w:noVBand="0"/>
      </w:tblPr>
      <w:tblGrid>
        <w:gridCol w:w="237"/>
        <w:gridCol w:w="1462"/>
        <w:gridCol w:w="2921"/>
        <w:gridCol w:w="478"/>
        <w:gridCol w:w="1208"/>
        <w:gridCol w:w="1208"/>
        <w:gridCol w:w="1201"/>
        <w:gridCol w:w="1208"/>
        <w:gridCol w:w="7"/>
      </w:tblGrid>
      <w:tr w:rsidR="00854D59" w:rsidRPr="00854D59" w14:paraId="500E6026" w14:textId="77777777" w:rsidTr="00BB18E9">
        <w:trPr>
          <w:cantSplit/>
          <w:trHeight w:val="293"/>
        </w:trPr>
        <w:tc>
          <w:tcPr>
            <w:tcW w:w="9930" w:type="dxa"/>
            <w:gridSpan w:val="9"/>
          </w:tcPr>
          <w:p w14:paraId="3D53B9DE" w14:textId="77777777" w:rsidR="00854D59" w:rsidRPr="00854D59" w:rsidRDefault="00854D59" w:rsidP="00854D59">
            <w:pPr>
              <w:widowControl w:val="0"/>
              <w:autoSpaceDE w:val="0"/>
              <w:autoSpaceDN w:val="0"/>
              <w:adjustRightInd w:val="0"/>
              <w:jc w:val="center"/>
              <w:rPr>
                <w:snapToGrid w:val="0"/>
                <w:sz w:val="20"/>
                <w:szCs w:val="20"/>
              </w:rPr>
            </w:pPr>
            <w:r w:rsidRPr="00854D59">
              <w:rPr>
                <w:b/>
                <w:bCs/>
                <w:snapToGrid w:val="0"/>
                <w:sz w:val="20"/>
                <w:szCs w:val="20"/>
              </w:rPr>
              <w:lastRenderedPageBreak/>
              <w:t>GEOVAX LABS, INC.</w:t>
            </w:r>
          </w:p>
        </w:tc>
      </w:tr>
      <w:tr w:rsidR="00854D59" w:rsidRPr="00854D59" w14:paraId="4C764A8A" w14:textId="77777777" w:rsidTr="00BB18E9">
        <w:trPr>
          <w:cantSplit/>
          <w:trHeight w:val="293"/>
        </w:trPr>
        <w:tc>
          <w:tcPr>
            <w:tcW w:w="9930" w:type="dxa"/>
            <w:gridSpan w:val="9"/>
          </w:tcPr>
          <w:p w14:paraId="528B7E3A" w14:textId="77777777" w:rsidR="00854D59" w:rsidRPr="00854D59" w:rsidRDefault="00854D59" w:rsidP="00854D59">
            <w:pPr>
              <w:widowControl w:val="0"/>
              <w:autoSpaceDE w:val="0"/>
              <w:autoSpaceDN w:val="0"/>
              <w:adjustRightInd w:val="0"/>
              <w:jc w:val="center"/>
              <w:rPr>
                <w:snapToGrid w:val="0"/>
                <w:sz w:val="20"/>
                <w:szCs w:val="20"/>
              </w:rPr>
            </w:pPr>
            <w:r w:rsidRPr="00854D59">
              <w:rPr>
                <w:b/>
                <w:bCs/>
                <w:snapToGrid w:val="0"/>
                <w:sz w:val="20"/>
                <w:szCs w:val="20"/>
              </w:rPr>
              <w:t>Condensed Consolidated Statements of Operations Information</w:t>
            </w:r>
          </w:p>
        </w:tc>
      </w:tr>
      <w:tr w:rsidR="00854D59" w:rsidRPr="00854D59" w14:paraId="05EBF01D" w14:textId="77777777" w:rsidTr="00BB18E9">
        <w:trPr>
          <w:cantSplit/>
          <w:trHeight w:val="293"/>
        </w:trPr>
        <w:tc>
          <w:tcPr>
            <w:tcW w:w="9930" w:type="dxa"/>
            <w:gridSpan w:val="9"/>
          </w:tcPr>
          <w:p w14:paraId="7116774E" w14:textId="77777777" w:rsidR="00854D59" w:rsidRPr="00854D59" w:rsidRDefault="00854D59" w:rsidP="00854D59">
            <w:pPr>
              <w:widowControl w:val="0"/>
              <w:autoSpaceDE w:val="0"/>
              <w:autoSpaceDN w:val="0"/>
              <w:adjustRightInd w:val="0"/>
              <w:jc w:val="center"/>
              <w:rPr>
                <w:i/>
                <w:snapToGrid w:val="0"/>
                <w:sz w:val="20"/>
                <w:szCs w:val="20"/>
              </w:rPr>
            </w:pPr>
            <w:r w:rsidRPr="00854D59">
              <w:rPr>
                <w:bCs/>
                <w:i/>
                <w:snapToGrid w:val="0"/>
                <w:sz w:val="20"/>
                <w:szCs w:val="20"/>
              </w:rPr>
              <w:t>(amounts in thousands, except common share information)</w:t>
            </w:r>
          </w:p>
        </w:tc>
      </w:tr>
      <w:tr w:rsidR="00854D59" w:rsidRPr="00854D59" w14:paraId="0E84D3D8" w14:textId="77777777" w:rsidTr="00BB18E9">
        <w:trPr>
          <w:gridAfter w:val="1"/>
          <w:wAfter w:w="7" w:type="dxa"/>
          <w:trHeight w:val="293"/>
        </w:trPr>
        <w:tc>
          <w:tcPr>
            <w:tcW w:w="237" w:type="dxa"/>
          </w:tcPr>
          <w:p w14:paraId="476736EA" w14:textId="77777777" w:rsidR="00854D59" w:rsidRPr="00854D59" w:rsidRDefault="00854D59" w:rsidP="00854D59">
            <w:pPr>
              <w:widowControl w:val="0"/>
              <w:autoSpaceDE w:val="0"/>
              <w:autoSpaceDN w:val="0"/>
              <w:adjustRightInd w:val="0"/>
              <w:jc w:val="center"/>
              <w:rPr>
                <w:b/>
                <w:bCs/>
                <w:snapToGrid w:val="0"/>
                <w:sz w:val="20"/>
                <w:szCs w:val="20"/>
              </w:rPr>
            </w:pPr>
          </w:p>
        </w:tc>
        <w:tc>
          <w:tcPr>
            <w:tcW w:w="1462" w:type="dxa"/>
          </w:tcPr>
          <w:p w14:paraId="5DB2998E" w14:textId="77777777" w:rsidR="00854D59" w:rsidRPr="00854D59" w:rsidRDefault="00854D59" w:rsidP="00854D59">
            <w:pPr>
              <w:widowControl w:val="0"/>
              <w:autoSpaceDE w:val="0"/>
              <w:autoSpaceDN w:val="0"/>
              <w:adjustRightInd w:val="0"/>
              <w:jc w:val="center"/>
              <w:rPr>
                <w:snapToGrid w:val="0"/>
                <w:sz w:val="20"/>
                <w:szCs w:val="20"/>
              </w:rPr>
            </w:pPr>
          </w:p>
        </w:tc>
        <w:tc>
          <w:tcPr>
            <w:tcW w:w="2921" w:type="dxa"/>
          </w:tcPr>
          <w:p w14:paraId="27B9C1AA" w14:textId="77777777" w:rsidR="00854D59" w:rsidRPr="00854D59" w:rsidRDefault="00854D59" w:rsidP="00854D59">
            <w:pPr>
              <w:widowControl w:val="0"/>
              <w:autoSpaceDE w:val="0"/>
              <w:autoSpaceDN w:val="0"/>
              <w:adjustRightInd w:val="0"/>
              <w:jc w:val="center"/>
              <w:rPr>
                <w:snapToGrid w:val="0"/>
                <w:sz w:val="20"/>
                <w:szCs w:val="20"/>
              </w:rPr>
            </w:pPr>
          </w:p>
        </w:tc>
        <w:tc>
          <w:tcPr>
            <w:tcW w:w="478" w:type="dxa"/>
          </w:tcPr>
          <w:p w14:paraId="1C4771E0" w14:textId="77777777" w:rsidR="00854D59" w:rsidRPr="00854D59" w:rsidRDefault="00854D59" w:rsidP="00854D59">
            <w:pPr>
              <w:widowControl w:val="0"/>
              <w:autoSpaceDE w:val="0"/>
              <w:autoSpaceDN w:val="0"/>
              <w:adjustRightInd w:val="0"/>
              <w:jc w:val="center"/>
              <w:rPr>
                <w:snapToGrid w:val="0"/>
                <w:sz w:val="20"/>
                <w:szCs w:val="20"/>
              </w:rPr>
            </w:pPr>
          </w:p>
        </w:tc>
        <w:tc>
          <w:tcPr>
            <w:tcW w:w="1208" w:type="dxa"/>
          </w:tcPr>
          <w:p w14:paraId="7BE84D0D" w14:textId="77777777" w:rsidR="00854D59" w:rsidRPr="00854D59" w:rsidRDefault="00854D59" w:rsidP="00854D59">
            <w:pPr>
              <w:widowControl w:val="0"/>
              <w:autoSpaceDE w:val="0"/>
              <w:autoSpaceDN w:val="0"/>
              <w:adjustRightInd w:val="0"/>
              <w:jc w:val="center"/>
              <w:rPr>
                <w:snapToGrid w:val="0"/>
                <w:sz w:val="20"/>
                <w:szCs w:val="20"/>
              </w:rPr>
            </w:pPr>
          </w:p>
        </w:tc>
        <w:tc>
          <w:tcPr>
            <w:tcW w:w="1208" w:type="dxa"/>
          </w:tcPr>
          <w:p w14:paraId="19E0F226" w14:textId="77777777" w:rsidR="00854D59" w:rsidRPr="00854D59" w:rsidRDefault="00854D59" w:rsidP="00854D59">
            <w:pPr>
              <w:widowControl w:val="0"/>
              <w:autoSpaceDE w:val="0"/>
              <w:autoSpaceDN w:val="0"/>
              <w:adjustRightInd w:val="0"/>
              <w:jc w:val="center"/>
              <w:rPr>
                <w:snapToGrid w:val="0"/>
                <w:sz w:val="20"/>
                <w:szCs w:val="20"/>
              </w:rPr>
            </w:pPr>
          </w:p>
        </w:tc>
        <w:tc>
          <w:tcPr>
            <w:tcW w:w="1201" w:type="dxa"/>
          </w:tcPr>
          <w:p w14:paraId="65B64A2F" w14:textId="77777777" w:rsidR="00854D59" w:rsidRPr="00854D59" w:rsidRDefault="00854D59" w:rsidP="00854D59">
            <w:pPr>
              <w:widowControl w:val="0"/>
              <w:autoSpaceDE w:val="0"/>
              <w:autoSpaceDN w:val="0"/>
              <w:adjustRightInd w:val="0"/>
              <w:jc w:val="center"/>
              <w:rPr>
                <w:snapToGrid w:val="0"/>
                <w:sz w:val="20"/>
                <w:szCs w:val="20"/>
              </w:rPr>
            </w:pPr>
          </w:p>
        </w:tc>
        <w:tc>
          <w:tcPr>
            <w:tcW w:w="1208" w:type="dxa"/>
          </w:tcPr>
          <w:p w14:paraId="1D48D7A0" w14:textId="77777777" w:rsidR="00854D59" w:rsidRPr="00854D59" w:rsidRDefault="00854D59" w:rsidP="00854D59">
            <w:pPr>
              <w:widowControl w:val="0"/>
              <w:autoSpaceDE w:val="0"/>
              <w:autoSpaceDN w:val="0"/>
              <w:adjustRightInd w:val="0"/>
              <w:jc w:val="center"/>
              <w:rPr>
                <w:snapToGrid w:val="0"/>
                <w:sz w:val="20"/>
                <w:szCs w:val="20"/>
              </w:rPr>
            </w:pPr>
          </w:p>
        </w:tc>
      </w:tr>
      <w:tr w:rsidR="00854D59" w:rsidRPr="00854D59" w14:paraId="76EB7A80" w14:textId="77777777" w:rsidTr="00BB18E9">
        <w:trPr>
          <w:trHeight w:val="276"/>
        </w:trPr>
        <w:tc>
          <w:tcPr>
            <w:tcW w:w="237" w:type="dxa"/>
          </w:tcPr>
          <w:p w14:paraId="18BFBA39" w14:textId="77777777" w:rsidR="00854D59" w:rsidRPr="00854D59" w:rsidRDefault="00854D59" w:rsidP="00854D59">
            <w:pPr>
              <w:widowControl w:val="0"/>
              <w:autoSpaceDE w:val="0"/>
              <w:autoSpaceDN w:val="0"/>
              <w:adjustRightInd w:val="0"/>
              <w:jc w:val="right"/>
              <w:rPr>
                <w:snapToGrid w:val="0"/>
                <w:sz w:val="20"/>
                <w:szCs w:val="20"/>
              </w:rPr>
            </w:pPr>
          </w:p>
        </w:tc>
        <w:tc>
          <w:tcPr>
            <w:tcW w:w="1462" w:type="dxa"/>
          </w:tcPr>
          <w:p w14:paraId="0E57CB64" w14:textId="77777777" w:rsidR="00854D59" w:rsidRPr="00854D59" w:rsidRDefault="00854D59" w:rsidP="00854D59">
            <w:pPr>
              <w:widowControl w:val="0"/>
              <w:autoSpaceDE w:val="0"/>
              <w:autoSpaceDN w:val="0"/>
              <w:adjustRightInd w:val="0"/>
              <w:jc w:val="right"/>
              <w:rPr>
                <w:snapToGrid w:val="0"/>
                <w:sz w:val="20"/>
                <w:szCs w:val="20"/>
              </w:rPr>
            </w:pPr>
          </w:p>
        </w:tc>
        <w:tc>
          <w:tcPr>
            <w:tcW w:w="2921" w:type="dxa"/>
          </w:tcPr>
          <w:p w14:paraId="59227506" w14:textId="77777777" w:rsidR="00854D59" w:rsidRPr="00854D59" w:rsidRDefault="00854D59" w:rsidP="00854D59">
            <w:pPr>
              <w:widowControl w:val="0"/>
              <w:autoSpaceDE w:val="0"/>
              <w:autoSpaceDN w:val="0"/>
              <w:adjustRightInd w:val="0"/>
              <w:jc w:val="right"/>
              <w:rPr>
                <w:snapToGrid w:val="0"/>
                <w:sz w:val="20"/>
                <w:szCs w:val="20"/>
              </w:rPr>
            </w:pPr>
          </w:p>
        </w:tc>
        <w:tc>
          <w:tcPr>
            <w:tcW w:w="478" w:type="dxa"/>
          </w:tcPr>
          <w:p w14:paraId="19F03BC7" w14:textId="77777777" w:rsidR="00854D59" w:rsidRPr="00854D59" w:rsidRDefault="00854D59" w:rsidP="00854D59">
            <w:pPr>
              <w:widowControl w:val="0"/>
              <w:autoSpaceDE w:val="0"/>
              <w:autoSpaceDN w:val="0"/>
              <w:adjustRightInd w:val="0"/>
              <w:jc w:val="right"/>
              <w:rPr>
                <w:snapToGrid w:val="0"/>
                <w:sz w:val="20"/>
                <w:szCs w:val="20"/>
              </w:rPr>
            </w:pPr>
          </w:p>
        </w:tc>
        <w:tc>
          <w:tcPr>
            <w:tcW w:w="2416" w:type="dxa"/>
            <w:gridSpan w:val="2"/>
          </w:tcPr>
          <w:p w14:paraId="3031F78B" w14:textId="77777777" w:rsidR="00854D59" w:rsidRPr="00854D59" w:rsidRDefault="00854D59" w:rsidP="00854D59">
            <w:pPr>
              <w:widowControl w:val="0"/>
              <w:autoSpaceDE w:val="0"/>
              <w:autoSpaceDN w:val="0"/>
              <w:adjustRightInd w:val="0"/>
              <w:ind w:right="-210"/>
              <w:jc w:val="center"/>
              <w:rPr>
                <w:snapToGrid w:val="0"/>
                <w:sz w:val="20"/>
                <w:szCs w:val="20"/>
              </w:rPr>
            </w:pPr>
          </w:p>
        </w:tc>
        <w:tc>
          <w:tcPr>
            <w:tcW w:w="2416" w:type="dxa"/>
            <w:gridSpan w:val="3"/>
          </w:tcPr>
          <w:p w14:paraId="07F25675" w14:textId="77777777" w:rsidR="00854D59" w:rsidRPr="00854D59" w:rsidRDefault="00854D59" w:rsidP="00854D59">
            <w:pPr>
              <w:widowControl w:val="0"/>
              <w:autoSpaceDE w:val="0"/>
              <w:autoSpaceDN w:val="0"/>
              <w:adjustRightInd w:val="0"/>
              <w:jc w:val="center"/>
              <w:rPr>
                <w:snapToGrid w:val="0"/>
                <w:sz w:val="20"/>
                <w:szCs w:val="20"/>
              </w:rPr>
            </w:pPr>
            <w:r w:rsidRPr="00854D59">
              <w:rPr>
                <w:snapToGrid w:val="0"/>
                <w:sz w:val="20"/>
                <w:szCs w:val="20"/>
              </w:rPr>
              <w:t>Year Ended</w:t>
            </w:r>
          </w:p>
        </w:tc>
      </w:tr>
      <w:tr w:rsidR="00854D59" w:rsidRPr="00854D59" w14:paraId="4C39A15D" w14:textId="77777777" w:rsidTr="00BB18E9">
        <w:trPr>
          <w:trHeight w:val="276"/>
        </w:trPr>
        <w:tc>
          <w:tcPr>
            <w:tcW w:w="237" w:type="dxa"/>
          </w:tcPr>
          <w:p w14:paraId="42C782F3" w14:textId="77777777" w:rsidR="00854D59" w:rsidRPr="00854D59" w:rsidRDefault="00854D59" w:rsidP="00854D59">
            <w:pPr>
              <w:widowControl w:val="0"/>
              <w:autoSpaceDE w:val="0"/>
              <w:autoSpaceDN w:val="0"/>
              <w:adjustRightInd w:val="0"/>
              <w:jc w:val="right"/>
              <w:rPr>
                <w:snapToGrid w:val="0"/>
                <w:sz w:val="20"/>
                <w:szCs w:val="20"/>
              </w:rPr>
            </w:pPr>
          </w:p>
        </w:tc>
        <w:tc>
          <w:tcPr>
            <w:tcW w:w="1462" w:type="dxa"/>
          </w:tcPr>
          <w:p w14:paraId="7AF78741" w14:textId="77777777" w:rsidR="00854D59" w:rsidRPr="00854D59" w:rsidRDefault="00854D59" w:rsidP="00854D59">
            <w:pPr>
              <w:widowControl w:val="0"/>
              <w:autoSpaceDE w:val="0"/>
              <w:autoSpaceDN w:val="0"/>
              <w:adjustRightInd w:val="0"/>
              <w:jc w:val="right"/>
              <w:rPr>
                <w:snapToGrid w:val="0"/>
                <w:sz w:val="20"/>
                <w:szCs w:val="20"/>
              </w:rPr>
            </w:pPr>
          </w:p>
        </w:tc>
        <w:tc>
          <w:tcPr>
            <w:tcW w:w="2921" w:type="dxa"/>
          </w:tcPr>
          <w:p w14:paraId="050CC6CC" w14:textId="77777777" w:rsidR="00854D59" w:rsidRPr="00854D59" w:rsidRDefault="00854D59" w:rsidP="00854D59">
            <w:pPr>
              <w:widowControl w:val="0"/>
              <w:autoSpaceDE w:val="0"/>
              <w:autoSpaceDN w:val="0"/>
              <w:adjustRightInd w:val="0"/>
              <w:jc w:val="right"/>
              <w:rPr>
                <w:snapToGrid w:val="0"/>
                <w:sz w:val="20"/>
                <w:szCs w:val="20"/>
              </w:rPr>
            </w:pPr>
          </w:p>
        </w:tc>
        <w:tc>
          <w:tcPr>
            <w:tcW w:w="478" w:type="dxa"/>
          </w:tcPr>
          <w:p w14:paraId="56332F17" w14:textId="77777777" w:rsidR="00854D59" w:rsidRPr="00854D59" w:rsidRDefault="00854D59" w:rsidP="00854D59">
            <w:pPr>
              <w:widowControl w:val="0"/>
              <w:autoSpaceDE w:val="0"/>
              <w:autoSpaceDN w:val="0"/>
              <w:adjustRightInd w:val="0"/>
              <w:jc w:val="right"/>
              <w:rPr>
                <w:snapToGrid w:val="0"/>
                <w:sz w:val="20"/>
                <w:szCs w:val="20"/>
              </w:rPr>
            </w:pPr>
          </w:p>
        </w:tc>
        <w:tc>
          <w:tcPr>
            <w:tcW w:w="2416" w:type="dxa"/>
            <w:gridSpan w:val="2"/>
          </w:tcPr>
          <w:p w14:paraId="04A25AED" w14:textId="77777777" w:rsidR="00854D59" w:rsidRPr="00854D59" w:rsidRDefault="00854D59" w:rsidP="00854D59">
            <w:pPr>
              <w:widowControl w:val="0"/>
              <w:autoSpaceDE w:val="0"/>
              <w:autoSpaceDN w:val="0"/>
              <w:adjustRightInd w:val="0"/>
              <w:jc w:val="center"/>
              <w:rPr>
                <w:snapToGrid w:val="0"/>
                <w:sz w:val="20"/>
                <w:szCs w:val="20"/>
              </w:rPr>
            </w:pPr>
          </w:p>
        </w:tc>
        <w:tc>
          <w:tcPr>
            <w:tcW w:w="2416" w:type="dxa"/>
            <w:gridSpan w:val="3"/>
            <w:tcBorders>
              <w:bottom w:val="single" w:sz="6" w:space="0" w:color="auto"/>
            </w:tcBorders>
          </w:tcPr>
          <w:p w14:paraId="6386FA35" w14:textId="77777777" w:rsidR="00854D59" w:rsidRPr="00854D59" w:rsidRDefault="00854D59" w:rsidP="00854D59">
            <w:pPr>
              <w:widowControl w:val="0"/>
              <w:autoSpaceDE w:val="0"/>
              <w:autoSpaceDN w:val="0"/>
              <w:adjustRightInd w:val="0"/>
              <w:jc w:val="center"/>
              <w:rPr>
                <w:snapToGrid w:val="0"/>
                <w:sz w:val="20"/>
                <w:szCs w:val="20"/>
              </w:rPr>
            </w:pPr>
            <w:r w:rsidRPr="00854D59">
              <w:rPr>
                <w:snapToGrid w:val="0"/>
                <w:sz w:val="20"/>
                <w:szCs w:val="20"/>
              </w:rPr>
              <w:t xml:space="preserve">December 31, </w:t>
            </w:r>
          </w:p>
        </w:tc>
      </w:tr>
      <w:tr w:rsidR="00854D59" w:rsidRPr="00854D59" w14:paraId="49E51F03" w14:textId="77777777" w:rsidTr="00BB18E9">
        <w:trPr>
          <w:gridAfter w:val="1"/>
          <w:wAfter w:w="7" w:type="dxa"/>
          <w:trHeight w:val="276"/>
        </w:trPr>
        <w:tc>
          <w:tcPr>
            <w:tcW w:w="237" w:type="dxa"/>
          </w:tcPr>
          <w:p w14:paraId="59F04C05" w14:textId="77777777" w:rsidR="00854D59" w:rsidRPr="00854D59" w:rsidRDefault="00854D59" w:rsidP="00854D59">
            <w:pPr>
              <w:widowControl w:val="0"/>
              <w:autoSpaceDE w:val="0"/>
              <w:autoSpaceDN w:val="0"/>
              <w:adjustRightInd w:val="0"/>
              <w:jc w:val="right"/>
              <w:rPr>
                <w:snapToGrid w:val="0"/>
                <w:sz w:val="20"/>
                <w:szCs w:val="20"/>
              </w:rPr>
            </w:pPr>
          </w:p>
        </w:tc>
        <w:tc>
          <w:tcPr>
            <w:tcW w:w="1462" w:type="dxa"/>
          </w:tcPr>
          <w:p w14:paraId="72A1307C" w14:textId="77777777" w:rsidR="00854D59" w:rsidRPr="00854D59" w:rsidRDefault="00854D59" w:rsidP="00854D59">
            <w:pPr>
              <w:widowControl w:val="0"/>
              <w:autoSpaceDE w:val="0"/>
              <w:autoSpaceDN w:val="0"/>
              <w:adjustRightInd w:val="0"/>
              <w:jc w:val="right"/>
              <w:rPr>
                <w:snapToGrid w:val="0"/>
                <w:sz w:val="20"/>
                <w:szCs w:val="20"/>
              </w:rPr>
            </w:pPr>
          </w:p>
        </w:tc>
        <w:tc>
          <w:tcPr>
            <w:tcW w:w="2921" w:type="dxa"/>
          </w:tcPr>
          <w:p w14:paraId="2CCDE8A1" w14:textId="77777777" w:rsidR="00854D59" w:rsidRPr="00854D59" w:rsidRDefault="00854D59" w:rsidP="00854D59">
            <w:pPr>
              <w:widowControl w:val="0"/>
              <w:autoSpaceDE w:val="0"/>
              <w:autoSpaceDN w:val="0"/>
              <w:adjustRightInd w:val="0"/>
              <w:jc w:val="right"/>
              <w:rPr>
                <w:snapToGrid w:val="0"/>
                <w:sz w:val="20"/>
                <w:szCs w:val="20"/>
              </w:rPr>
            </w:pPr>
          </w:p>
        </w:tc>
        <w:tc>
          <w:tcPr>
            <w:tcW w:w="478" w:type="dxa"/>
          </w:tcPr>
          <w:p w14:paraId="72622B66" w14:textId="77777777" w:rsidR="00854D59" w:rsidRPr="00854D59" w:rsidRDefault="00854D59" w:rsidP="00854D59">
            <w:pPr>
              <w:widowControl w:val="0"/>
              <w:autoSpaceDE w:val="0"/>
              <w:autoSpaceDN w:val="0"/>
              <w:adjustRightInd w:val="0"/>
              <w:jc w:val="right"/>
              <w:rPr>
                <w:snapToGrid w:val="0"/>
                <w:sz w:val="20"/>
                <w:szCs w:val="20"/>
              </w:rPr>
            </w:pPr>
          </w:p>
        </w:tc>
        <w:tc>
          <w:tcPr>
            <w:tcW w:w="1208" w:type="dxa"/>
          </w:tcPr>
          <w:p w14:paraId="3B27C9C3" w14:textId="77777777" w:rsidR="00854D59" w:rsidRPr="00854D59" w:rsidRDefault="00854D59" w:rsidP="00854D59">
            <w:pPr>
              <w:widowControl w:val="0"/>
              <w:autoSpaceDE w:val="0"/>
              <w:autoSpaceDN w:val="0"/>
              <w:adjustRightInd w:val="0"/>
              <w:jc w:val="center"/>
              <w:rPr>
                <w:snapToGrid w:val="0"/>
                <w:sz w:val="20"/>
                <w:szCs w:val="20"/>
              </w:rPr>
            </w:pPr>
          </w:p>
        </w:tc>
        <w:tc>
          <w:tcPr>
            <w:tcW w:w="1208" w:type="dxa"/>
          </w:tcPr>
          <w:p w14:paraId="0074124A" w14:textId="77777777" w:rsidR="00854D59" w:rsidRPr="00854D59" w:rsidRDefault="00854D59" w:rsidP="00854D59">
            <w:pPr>
              <w:widowControl w:val="0"/>
              <w:autoSpaceDE w:val="0"/>
              <w:autoSpaceDN w:val="0"/>
              <w:adjustRightInd w:val="0"/>
              <w:jc w:val="center"/>
              <w:rPr>
                <w:snapToGrid w:val="0"/>
                <w:sz w:val="20"/>
                <w:szCs w:val="20"/>
              </w:rPr>
            </w:pPr>
          </w:p>
        </w:tc>
        <w:tc>
          <w:tcPr>
            <w:tcW w:w="1201" w:type="dxa"/>
            <w:tcBorders>
              <w:bottom w:val="single" w:sz="4" w:space="0" w:color="auto"/>
            </w:tcBorders>
          </w:tcPr>
          <w:p w14:paraId="7FEE4931" w14:textId="77777777" w:rsidR="00854D59" w:rsidRPr="00854D59" w:rsidRDefault="00854D59" w:rsidP="00854D59">
            <w:pPr>
              <w:widowControl w:val="0"/>
              <w:autoSpaceDE w:val="0"/>
              <w:autoSpaceDN w:val="0"/>
              <w:adjustRightInd w:val="0"/>
              <w:jc w:val="center"/>
              <w:rPr>
                <w:snapToGrid w:val="0"/>
                <w:sz w:val="20"/>
                <w:szCs w:val="20"/>
              </w:rPr>
            </w:pPr>
            <w:r w:rsidRPr="00854D59">
              <w:rPr>
                <w:snapToGrid w:val="0"/>
                <w:sz w:val="20"/>
                <w:szCs w:val="20"/>
              </w:rPr>
              <w:t>2022</w:t>
            </w:r>
          </w:p>
        </w:tc>
        <w:tc>
          <w:tcPr>
            <w:tcW w:w="1208" w:type="dxa"/>
            <w:tcBorders>
              <w:bottom w:val="single" w:sz="4" w:space="0" w:color="auto"/>
            </w:tcBorders>
          </w:tcPr>
          <w:p w14:paraId="737AD25D" w14:textId="77777777" w:rsidR="00854D59" w:rsidRPr="00854D59" w:rsidRDefault="00854D59" w:rsidP="00854D59">
            <w:pPr>
              <w:widowControl w:val="0"/>
              <w:autoSpaceDE w:val="0"/>
              <w:autoSpaceDN w:val="0"/>
              <w:adjustRightInd w:val="0"/>
              <w:jc w:val="center"/>
              <w:rPr>
                <w:snapToGrid w:val="0"/>
                <w:sz w:val="20"/>
                <w:szCs w:val="20"/>
              </w:rPr>
            </w:pPr>
            <w:r w:rsidRPr="00854D59">
              <w:rPr>
                <w:snapToGrid w:val="0"/>
                <w:sz w:val="20"/>
                <w:szCs w:val="20"/>
              </w:rPr>
              <w:t>2021</w:t>
            </w:r>
          </w:p>
        </w:tc>
      </w:tr>
      <w:tr w:rsidR="00854D59" w:rsidRPr="00854D59" w14:paraId="246E44BD" w14:textId="77777777" w:rsidTr="00BB18E9">
        <w:trPr>
          <w:gridAfter w:val="1"/>
          <w:wAfter w:w="7" w:type="dxa"/>
          <w:trHeight w:val="276"/>
        </w:trPr>
        <w:tc>
          <w:tcPr>
            <w:tcW w:w="4620" w:type="dxa"/>
            <w:gridSpan w:val="3"/>
          </w:tcPr>
          <w:p w14:paraId="75E39F36" w14:textId="77777777" w:rsidR="00854D59" w:rsidRPr="00854D59" w:rsidRDefault="00854D59" w:rsidP="00854D59">
            <w:pPr>
              <w:widowControl w:val="0"/>
              <w:autoSpaceDE w:val="0"/>
              <w:autoSpaceDN w:val="0"/>
              <w:adjustRightInd w:val="0"/>
              <w:rPr>
                <w:snapToGrid w:val="0"/>
                <w:sz w:val="20"/>
                <w:szCs w:val="20"/>
              </w:rPr>
            </w:pPr>
            <w:r w:rsidRPr="00854D59">
              <w:rPr>
                <w:snapToGrid w:val="0"/>
                <w:sz w:val="20"/>
                <w:szCs w:val="20"/>
              </w:rPr>
              <w:t>Grant revenue</w:t>
            </w:r>
          </w:p>
        </w:tc>
        <w:tc>
          <w:tcPr>
            <w:tcW w:w="478" w:type="dxa"/>
          </w:tcPr>
          <w:p w14:paraId="385FD4C0" w14:textId="77777777" w:rsidR="00854D59" w:rsidRPr="00854D59" w:rsidRDefault="00854D59" w:rsidP="00854D59">
            <w:pPr>
              <w:widowControl w:val="0"/>
              <w:autoSpaceDE w:val="0"/>
              <w:autoSpaceDN w:val="0"/>
              <w:adjustRightInd w:val="0"/>
              <w:jc w:val="right"/>
              <w:rPr>
                <w:snapToGrid w:val="0"/>
                <w:sz w:val="20"/>
                <w:szCs w:val="20"/>
              </w:rPr>
            </w:pPr>
          </w:p>
        </w:tc>
        <w:tc>
          <w:tcPr>
            <w:tcW w:w="1208" w:type="dxa"/>
          </w:tcPr>
          <w:p w14:paraId="4F71A696" w14:textId="77777777" w:rsidR="00854D59" w:rsidRPr="00854D59" w:rsidRDefault="00854D59" w:rsidP="00854D59">
            <w:pPr>
              <w:widowControl w:val="0"/>
              <w:tabs>
                <w:tab w:val="left" w:pos="150"/>
                <w:tab w:val="decimal" w:pos="960"/>
              </w:tabs>
              <w:autoSpaceDE w:val="0"/>
              <w:autoSpaceDN w:val="0"/>
              <w:adjustRightInd w:val="0"/>
              <w:rPr>
                <w:snapToGrid w:val="0"/>
                <w:sz w:val="20"/>
                <w:szCs w:val="20"/>
              </w:rPr>
            </w:pPr>
          </w:p>
        </w:tc>
        <w:tc>
          <w:tcPr>
            <w:tcW w:w="1208" w:type="dxa"/>
          </w:tcPr>
          <w:p w14:paraId="5610A45A" w14:textId="77777777" w:rsidR="00854D59" w:rsidRPr="00854D59" w:rsidRDefault="00854D59" w:rsidP="00854D59">
            <w:pPr>
              <w:widowControl w:val="0"/>
              <w:tabs>
                <w:tab w:val="left" w:pos="190"/>
                <w:tab w:val="decimal" w:pos="910"/>
              </w:tabs>
              <w:autoSpaceDE w:val="0"/>
              <w:autoSpaceDN w:val="0"/>
              <w:adjustRightInd w:val="0"/>
              <w:rPr>
                <w:snapToGrid w:val="0"/>
                <w:sz w:val="20"/>
                <w:szCs w:val="20"/>
              </w:rPr>
            </w:pPr>
          </w:p>
        </w:tc>
        <w:tc>
          <w:tcPr>
            <w:tcW w:w="1201" w:type="dxa"/>
          </w:tcPr>
          <w:p w14:paraId="577E050F" w14:textId="77777777" w:rsidR="00854D59" w:rsidRPr="00854D59" w:rsidRDefault="00854D59" w:rsidP="00854D59">
            <w:pPr>
              <w:widowControl w:val="0"/>
              <w:tabs>
                <w:tab w:val="left" w:pos="140"/>
                <w:tab w:val="decimal" w:pos="860"/>
              </w:tabs>
              <w:autoSpaceDE w:val="0"/>
              <w:autoSpaceDN w:val="0"/>
              <w:adjustRightInd w:val="0"/>
              <w:jc w:val="right"/>
              <w:rPr>
                <w:snapToGrid w:val="0"/>
                <w:sz w:val="20"/>
                <w:szCs w:val="20"/>
              </w:rPr>
            </w:pPr>
            <w:r w:rsidRPr="00854D59">
              <w:rPr>
                <w:snapToGrid w:val="0"/>
                <w:sz w:val="20"/>
                <w:szCs w:val="20"/>
              </w:rPr>
              <w:tab/>
              <w:t>$</w:t>
            </w:r>
            <w:r w:rsidRPr="00854D59">
              <w:rPr>
                <w:snapToGrid w:val="0"/>
                <w:sz w:val="20"/>
                <w:szCs w:val="20"/>
              </w:rPr>
              <w:tab/>
              <w:t>81</w:t>
            </w:r>
          </w:p>
        </w:tc>
        <w:tc>
          <w:tcPr>
            <w:tcW w:w="1208" w:type="dxa"/>
          </w:tcPr>
          <w:p w14:paraId="1894EDAA" w14:textId="77777777" w:rsidR="00854D59" w:rsidRPr="00854D59" w:rsidRDefault="00854D59" w:rsidP="00854D59">
            <w:pPr>
              <w:widowControl w:val="0"/>
              <w:tabs>
                <w:tab w:val="left" w:pos="97"/>
                <w:tab w:val="decimal" w:pos="907"/>
              </w:tabs>
              <w:autoSpaceDE w:val="0"/>
              <w:autoSpaceDN w:val="0"/>
              <w:adjustRightInd w:val="0"/>
              <w:jc w:val="right"/>
              <w:rPr>
                <w:snapToGrid w:val="0"/>
                <w:sz w:val="20"/>
                <w:szCs w:val="20"/>
              </w:rPr>
            </w:pPr>
            <w:r w:rsidRPr="00854D59">
              <w:rPr>
                <w:snapToGrid w:val="0"/>
                <w:sz w:val="20"/>
                <w:szCs w:val="20"/>
              </w:rPr>
              <w:tab/>
              <w:t>$</w:t>
            </w:r>
            <w:r w:rsidRPr="00854D59">
              <w:rPr>
                <w:snapToGrid w:val="0"/>
                <w:sz w:val="20"/>
                <w:szCs w:val="20"/>
              </w:rPr>
              <w:tab/>
              <w:t>385</w:t>
            </w:r>
          </w:p>
        </w:tc>
      </w:tr>
      <w:tr w:rsidR="00854D59" w:rsidRPr="00854D59" w14:paraId="32125D78" w14:textId="77777777" w:rsidTr="00BB18E9">
        <w:trPr>
          <w:gridAfter w:val="1"/>
          <w:wAfter w:w="7" w:type="dxa"/>
          <w:trHeight w:val="276"/>
        </w:trPr>
        <w:tc>
          <w:tcPr>
            <w:tcW w:w="237" w:type="dxa"/>
          </w:tcPr>
          <w:p w14:paraId="354FC00E" w14:textId="77777777" w:rsidR="00854D59" w:rsidRPr="00854D59" w:rsidRDefault="00854D59" w:rsidP="00854D59">
            <w:pPr>
              <w:widowControl w:val="0"/>
              <w:autoSpaceDE w:val="0"/>
              <w:autoSpaceDN w:val="0"/>
              <w:adjustRightInd w:val="0"/>
              <w:jc w:val="right"/>
              <w:rPr>
                <w:snapToGrid w:val="0"/>
                <w:sz w:val="20"/>
                <w:szCs w:val="20"/>
              </w:rPr>
            </w:pPr>
          </w:p>
        </w:tc>
        <w:tc>
          <w:tcPr>
            <w:tcW w:w="1462" w:type="dxa"/>
          </w:tcPr>
          <w:p w14:paraId="4F87B82B" w14:textId="77777777" w:rsidR="00854D59" w:rsidRPr="00854D59" w:rsidRDefault="00854D59" w:rsidP="00854D59">
            <w:pPr>
              <w:widowControl w:val="0"/>
              <w:autoSpaceDE w:val="0"/>
              <w:autoSpaceDN w:val="0"/>
              <w:adjustRightInd w:val="0"/>
              <w:jc w:val="right"/>
              <w:rPr>
                <w:snapToGrid w:val="0"/>
                <w:sz w:val="20"/>
                <w:szCs w:val="20"/>
              </w:rPr>
            </w:pPr>
          </w:p>
        </w:tc>
        <w:tc>
          <w:tcPr>
            <w:tcW w:w="2921" w:type="dxa"/>
          </w:tcPr>
          <w:p w14:paraId="24B136B8" w14:textId="77777777" w:rsidR="00854D59" w:rsidRPr="00854D59" w:rsidRDefault="00854D59" w:rsidP="00854D59">
            <w:pPr>
              <w:widowControl w:val="0"/>
              <w:autoSpaceDE w:val="0"/>
              <w:autoSpaceDN w:val="0"/>
              <w:adjustRightInd w:val="0"/>
              <w:jc w:val="right"/>
              <w:rPr>
                <w:snapToGrid w:val="0"/>
                <w:sz w:val="20"/>
                <w:szCs w:val="20"/>
              </w:rPr>
            </w:pPr>
          </w:p>
        </w:tc>
        <w:tc>
          <w:tcPr>
            <w:tcW w:w="478" w:type="dxa"/>
          </w:tcPr>
          <w:p w14:paraId="3D8CF64E" w14:textId="77777777" w:rsidR="00854D59" w:rsidRPr="00854D59" w:rsidRDefault="00854D59" w:rsidP="00854D59">
            <w:pPr>
              <w:widowControl w:val="0"/>
              <w:autoSpaceDE w:val="0"/>
              <w:autoSpaceDN w:val="0"/>
              <w:adjustRightInd w:val="0"/>
              <w:jc w:val="right"/>
              <w:rPr>
                <w:snapToGrid w:val="0"/>
                <w:sz w:val="20"/>
                <w:szCs w:val="20"/>
              </w:rPr>
            </w:pPr>
          </w:p>
        </w:tc>
        <w:tc>
          <w:tcPr>
            <w:tcW w:w="1208" w:type="dxa"/>
          </w:tcPr>
          <w:p w14:paraId="63D1D06C" w14:textId="77777777" w:rsidR="00854D59" w:rsidRPr="00854D59" w:rsidRDefault="00854D59" w:rsidP="00854D59">
            <w:pPr>
              <w:widowControl w:val="0"/>
              <w:tabs>
                <w:tab w:val="decimal" w:pos="960"/>
              </w:tabs>
              <w:autoSpaceDE w:val="0"/>
              <w:autoSpaceDN w:val="0"/>
              <w:adjustRightInd w:val="0"/>
              <w:rPr>
                <w:snapToGrid w:val="0"/>
                <w:sz w:val="20"/>
                <w:szCs w:val="20"/>
              </w:rPr>
            </w:pPr>
          </w:p>
        </w:tc>
        <w:tc>
          <w:tcPr>
            <w:tcW w:w="1208" w:type="dxa"/>
          </w:tcPr>
          <w:p w14:paraId="0335A105" w14:textId="77777777" w:rsidR="00854D59" w:rsidRPr="00854D59" w:rsidRDefault="00854D59" w:rsidP="00854D59">
            <w:pPr>
              <w:widowControl w:val="0"/>
              <w:tabs>
                <w:tab w:val="decimal" w:pos="910"/>
              </w:tabs>
              <w:autoSpaceDE w:val="0"/>
              <w:autoSpaceDN w:val="0"/>
              <w:adjustRightInd w:val="0"/>
              <w:rPr>
                <w:snapToGrid w:val="0"/>
                <w:sz w:val="20"/>
                <w:szCs w:val="20"/>
              </w:rPr>
            </w:pPr>
          </w:p>
        </w:tc>
        <w:tc>
          <w:tcPr>
            <w:tcW w:w="1201" w:type="dxa"/>
          </w:tcPr>
          <w:p w14:paraId="3B6EF1DE" w14:textId="77777777" w:rsidR="00854D59" w:rsidRPr="00854D59" w:rsidRDefault="00854D59" w:rsidP="00854D59">
            <w:pPr>
              <w:widowControl w:val="0"/>
              <w:tabs>
                <w:tab w:val="decimal" w:pos="860"/>
              </w:tabs>
              <w:autoSpaceDE w:val="0"/>
              <w:autoSpaceDN w:val="0"/>
              <w:adjustRightInd w:val="0"/>
              <w:jc w:val="both"/>
              <w:rPr>
                <w:snapToGrid w:val="0"/>
                <w:sz w:val="20"/>
                <w:szCs w:val="20"/>
              </w:rPr>
            </w:pPr>
          </w:p>
        </w:tc>
        <w:tc>
          <w:tcPr>
            <w:tcW w:w="1208" w:type="dxa"/>
          </w:tcPr>
          <w:p w14:paraId="2A419C35" w14:textId="77777777" w:rsidR="00854D59" w:rsidRPr="00854D59" w:rsidRDefault="00854D59" w:rsidP="00854D59">
            <w:pPr>
              <w:widowControl w:val="0"/>
              <w:tabs>
                <w:tab w:val="decimal" w:pos="907"/>
              </w:tabs>
              <w:autoSpaceDE w:val="0"/>
              <w:autoSpaceDN w:val="0"/>
              <w:adjustRightInd w:val="0"/>
              <w:jc w:val="both"/>
              <w:rPr>
                <w:snapToGrid w:val="0"/>
                <w:sz w:val="20"/>
                <w:szCs w:val="20"/>
              </w:rPr>
            </w:pPr>
          </w:p>
        </w:tc>
      </w:tr>
      <w:tr w:rsidR="00854D59" w:rsidRPr="00854D59" w14:paraId="454356AC" w14:textId="77777777" w:rsidTr="00BB18E9">
        <w:trPr>
          <w:gridAfter w:val="1"/>
          <w:wAfter w:w="7" w:type="dxa"/>
          <w:trHeight w:val="276"/>
        </w:trPr>
        <w:tc>
          <w:tcPr>
            <w:tcW w:w="4620" w:type="dxa"/>
            <w:gridSpan w:val="3"/>
          </w:tcPr>
          <w:p w14:paraId="059891A0" w14:textId="77777777" w:rsidR="00854D59" w:rsidRPr="00854D59" w:rsidRDefault="00854D59" w:rsidP="00854D59">
            <w:pPr>
              <w:widowControl w:val="0"/>
              <w:autoSpaceDE w:val="0"/>
              <w:autoSpaceDN w:val="0"/>
              <w:adjustRightInd w:val="0"/>
              <w:rPr>
                <w:snapToGrid w:val="0"/>
                <w:sz w:val="20"/>
                <w:szCs w:val="20"/>
              </w:rPr>
            </w:pPr>
            <w:r w:rsidRPr="00854D59">
              <w:rPr>
                <w:snapToGrid w:val="0"/>
                <w:sz w:val="20"/>
                <w:szCs w:val="20"/>
              </w:rPr>
              <w:t>Operating expenses:</w:t>
            </w:r>
          </w:p>
        </w:tc>
        <w:tc>
          <w:tcPr>
            <w:tcW w:w="478" w:type="dxa"/>
          </w:tcPr>
          <w:p w14:paraId="4917501C" w14:textId="77777777" w:rsidR="00854D59" w:rsidRPr="00854D59" w:rsidRDefault="00854D59" w:rsidP="00854D59">
            <w:pPr>
              <w:widowControl w:val="0"/>
              <w:autoSpaceDE w:val="0"/>
              <w:autoSpaceDN w:val="0"/>
              <w:adjustRightInd w:val="0"/>
              <w:jc w:val="right"/>
              <w:rPr>
                <w:snapToGrid w:val="0"/>
                <w:sz w:val="20"/>
                <w:szCs w:val="20"/>
              </w:rPr>
            </w:pPr>
          </w:p>
        </w:tc>
        <w:tc>
          <w:tcPr>
            <w:tcW w:w="1208" w:type="dxa"/>
          </w:tcPr>
          <w:p w14:paraId="1E6929BA" w14:textId="77777777" w:rsidR="00854D59" w:rsidRPr="00854D59" w:rsidRDefault="00854D59" w:rsidP="00854D59">
            <w:pPr>
              <w:widowControl w:val="0"/>
              <w:tabs>
                <w:tab w:val="decimal" w:pos="960"/>
              </w:tabs>
              <w:autoSpaceDE w:val="0"/>
              <w:autoSpaceDN w:val="0"/>
              <w:adjustRightInd w:val="0"/>
              <w:rPr>
                <w:snapToGrid w:val="0"/>
                <w:sz w:val="20"/>
                <w:szCs w:val="20"/>
              </w:rPr>
            </w:pPr>
          </w:p>
        </w:tc>
        <w:tc>
          <w:tcPr>
            <w:tcW w:w="1208" w:type="dxa"/>
          </w:tcPr>
          <w:p w14:paraId="43727918" w14:textId="77777777" w:rsidR="00854D59" w:rsidRPr="00854D59" w:rsidRDefault="00854D59" w:rsidP="00854D59">
            <w:pPr>
              <w:widowControl w:val="0"/>
              <w:tabs>
                <w:tab w:val="decimal" w:pos="910"/>
              </w:tabs>
              <w:autoSpaceDE w:val="0"/>
              <w:autoSpaceDN w:val="0"/>
              <w:adjustRightInd w:val="0"/>
              <w:rPr>
                <w:snapToGrid w:val="0"/>
                <w:sz w:val="20"/>
                <w:szCs w:val="20"/>
              </w:rPr>
            </w:pPr>
          </w:p>
        </w:tc>
        <w:tc>
          <w:tcPr>
            <w:tcW w:w="1201" w:type="dxa"/>
          </w:tcPr>
          <w:p w14:paraId="199C7439" w14:textId="77777777" w:rsidR="00854D59" w:rsidRPr="00854D59" w:rsidRDefault="00854D59" w:rsidP="00854D59">
            <w:pPr>
              <w:widowControl w:val="0"/>
              <w:tabs>
                <w:tab w:val="decimal" w:pos="860"/>
              </w:tabs>
              <w:autoSpaceDE w:val="0"/>
              <w:autoSpaceDN w:val="0"/>
              <w:adjustRightInd w:val="0"/>
              <w:jc w:val="both"/>
              <w:rPr>
                <w:snapToGrid w:val="0"/>
                <w:sz w:val="20"/>
                <w:szCs w:val="20"/>
              </w:rPr>
            </w:pPr>
          </w:p>
        </w:tc>
        <w:tc>
          <w:tcPr>
            <w:tcW w:w="1208" w:type="dxa"/>
          </w:tcPr>
          <w:p w14:paraId="222374C4" w14:textId="77777777" w:rsidR="00854D59" w:rsidRPr="00854D59" w:rsidRDefault="00854D59" w:rsidP="00854D59">
            <w:pPr>
              <w:widowControl w:val="0"/>
              <w:tabs>
                <w:tab w:val="decimal" w:pos="907"/>
              </w:tabs>
              <w:autoSpaceDE w:val="0"/>
              <w:autoSpaceDN w:val="0"/>
              <w:adjustRightInd w:val="0"/>
              <w:jc w:val="both"/>
              <w:rPr>
                <w:snapToGrid w:val="0"/>
                <w:sz w:val="20"/>
                <w:szCs w:val="20"/>
              </w:rPr>
            </w:pPr>
          </w:p>
        </w:tc>
      </w:tr>
      <w:tr w:rsidR="00854D59" w:rsidRPr="00854D59" w14:paraId="74D72AD6" w14:textId="77777777" w:rsidTr="00BB18E9">
        <w:trPr>
          <w:gridAfter w:val="1"/>
          <w:wAfter w:w="7" w:type="dxa"/>
          <w:trHeight w:val="276"/>
        </w:trPr>
        <w:tc>
          <w:tcPr>
            <w:tcW w:w="237" w:type="dxa"/>
          </w:tcPr>
          <w:p w14:paraId="4360EBA9" w14:textId="77777777" w:rsidR="00854D59" w:rsidRPr="00854D59" w:rsidRDefault="00854D59" w:rsidP="00854D59">
            <w:pPr>
              <w:widowControl w:val="0"/>
              <w:autoSpaceDE w:val="0"/>
              <w:autoSpaceDN w:val="0"/>
              <w:adjustRightInd w:val="0"/>
              <w:jc w:val="right"/>
              <w:rPr>
                <w:snapToGrid w:val="0"/>
                <w:sz w:val="20"/>
                <w:szCs w:val="20"/>
              </w:rPr>
            </w:pPr>
          </w:p>
        </w:tc>
        <w:tc>
          <w:tcPr>
            <w:tcW w:w="4383" w:type="dxa"/>
            <w:gridSpan w:val="2"/>
          </w:tcPr>
          <w:p w14:paraId="783D90CD" w14:textId="77777777" w:rsidR="00854D59" w:rsidRPr="00854D59" w:rsidRDefault="00854D59" w:rsidP="00854D59">
            <w:pPr>
              <w:widowControl w:val="0"/>
              <w:autoSpaceDE w:val="0"/>
              <w:autoSpaceDN w:val="0"/>
              <w:adjustRightInd w:val="0"/>
              <w:rPr>
                <w:snapToGrid w:val="0"/>
                <w:sz w:val="20"/>
                <w:szCs w:val="20"/>
              </w:rPr>
            </w:pPr>
            <w:r w:rsidRPr="00854D59">
              <w:rPr>
                <w:snapToGrid w:val="0"/>
                <w:sz w:val="20"/>
                <w:szCs w:val="20"/>
              </w:rPr>
              <w:t>Research and development</w:t>
            </w:r>
          </w:p>
        </w:tc>
        <w:tc>
          <w:tcPr>
            <w:tcW w:w="478" w:type="dxa"/>
          </w:tcPr>
          <w:p w14:paraId="6CE90394" w14:textId="77777777" w:rsidR="00854D59" w:rsidRPr="00854D59" w:rsidRDefault="00854D59" w:rsidP="00854D59">
            <w:pPr>
              <w:widowControl w:val="0"/>
              <w:autoSpaceDE w:val="0"/>
              <w:autoSpaceDN w:val="0"/>
              <w:adjustRightInd w:val="0"/>
              <w:jc w:val="right"/>
              <w:rPr>
                <w:snapToGrid w:val="0"/>
                <w:sz w:val="20"/>
                <w:szCs w:val="20"/>
              </w:rPr>
            </w:pPr>
          </w:p>
        </w:tc>
        <w:tc>
          <w:tcPr>
            <w:tcW w:w="1208" w:type="dxa"/>
          </w:tcPr>
          <w:p w14:paraId="423B2F64" w14:textId="77777777" w:rsidR="00854D59" w:rsidRPr="00854D59" w:rsidRDefault="00854D59" w:rsidP="00854D59">
            <w:pPr>
              <w:widowControl w:val="0"/>
              <w:tabs>
                <w:tab w:val="decimal" w:pos="960"/>
              </w:tabs>
              <w:autoSpaceDE w:val="0"/>
              <w:autoSpaceDN w:val="0"/>
              <w:adjustRightInd w:val="0"/>
              <w:rPr>
                <w:snapToGrid w:val="0"/>
                <w:sz w:val="20"/>
                <w:szCs w:val="20"/>
              </w:rPr>
            </w:pPr>
          </w:p>
        </w:tc>
        <w:tc>
          <w:tcPr>
            <w:tcW w:w="1208" w:type="dxa"/>
          </w:tcPr>
          <w:p w14:paraId="7395D515" w14:textId="77777777" w:rsidR="00854D59" w:rsidRPr="00854D59" w:rsidRDefault="00854D59" w:rsidP="00854D59">
            <w:pPr>
              <w:widowControl w:val="0"/>
              <w:tabs>
                <w:tab w:val="decimal" w:pos="910"/>
              </w:tabs>
              <w:autoSpaceDE w:val="0"/>
              <w:autoSpaceDN w:val="0"/>
              <w:adjustRightInd w:val="0"/>
              <w:rPr>
                <w:snapToGrid w:val="0"/>
                <w:sz w:val="20"/>
                <w:szCs w:val="20"/>
              </w:rPr>
            </w:pPr>
          </w:p>
        </w:tc>
        <w:tc>
          <w:tcPr>
            <w:tcW w:w="1201" w:type="dxa"/>
          </w:tcPr>
          <w:p w14:paraId="561C8AF4" w14:textId="77777777" w:rsidR="00854D59" w:rsidRPr="00854D59" w:rsidRDefault="00854D59" w:rsidP="00854D59">
            <w:pPr>
              <w:widowControl w:val="0"/>
              <w:tabs>
                <w:tab w:val="decimal" w:pos="860"/>
              </w:tabs>
              <w:autoSpaceDE w:val="0"/>
              <w:autoSpaceDN w:val="0"/>
              <w:adjustRightInd w:val="0"/>
              <w:jc w:val="right"/>
              <w:rPr>
                <w:snapToGrid w:val="0"/>
                <w:sz w:val="20"/>
                <w:szCs w:val="20"/>
              </w:rPr>
            </w:pPr>
            <w:r w:rsidRPr="00854D59">
              <w:rPr>
                <w:snapToGrid w:val="0"/>
                <w:sz w:val="20"/>
                <w:szCs w:val="20"/>
              </w:rPr>
              <w:t>9,123</w:t>
            </w:r>
          </w:p>
        </w:tc>
        <w:tc>
          <w:tcPr>
            <w:tcW w:w="1208" w:type="dxa"/>
          </w:tcPr>
          <w:p w14:paraId="200B8417" w14:textId="77777777" w:rsidR="00854D59" w:rsidRPr="00854D59" w:rsidRDefault="00854D59" w:rsidP="00854D59">
            <w:pPr>
              <w:widowControl w:val="0"/>
              <w:tabs>
                <w:tab w:val="decimal" w:pos="907"/>
              </w:tabs>
              <w:autoSpaceDE w:val="0"/>
              <w:autoSpaceDN w:val="0"/>
              <w:adjustRightInd w:val="0"/>
              <w:jc w:val="right"/>
              <w:rPr>
                <w:snapToGrid w:val="0"/>
                <w:sz w:val="20"/>
                <w:szCs w:val="20"/>
              </w:rPr>
            </w:pPr>
            <w:r w:rsidRPr="00854D59">
              <w:rPr>
                <w:snapToGrid w:val="0"/>
                <w:sz w:val="20"/>
                <w:szCs w:val="20"/>
              </w:rPr>
              <w:t>15,554</w:t>
            </w:r>
          </w:p>
        </w:tc>
      </w:tr>
      <w:tr w:rsidR="00854D59" w:rsidRPr="00854D59" w14:paraId="794BEC70" w14:textId="77777777" w:rsidTr="00BB18E9">
        <w:trPr>
          <w:gridAfter w:val="1"/>
          <w:wAfter w:w="7" w:type="dxa"/>
          <w:trHeight w:val="276"/>
        </w:trPr>
        <w:tc>
          <w:tcPr>
            <w:tcW w:w="237" w:type="dxa"/>
          </w:tcPr>
          <w:p w14:paraId="7D9354B1" w14:textId="77777777" w:rsidR="00854D59" w:rsidRPr="00854D59" w:rsidRDefault="00854D59" w:rsidP="00854D59">
            <w:pPr>
              <w:widowControl w:val="0"/>
              <w:autoSpaceDE w:val="0"/>
              <w:autoSpaceDN w:val="0"/>
              <w:adjustRightInd w:val="0"/>
              <w:jc w:val="right"/>
              <w:rPr>
                <w:snapToGrid w:val="0"/>
                <w:sz w:val="20"/>
                <w:szCs w:val="20"/>
              </w:rPr>
            </w:pPr>
          </w:p>
        </w:tc>
        <w:tc>
          <w:tcPr>
            <w:tcW w:w="4383" w:type="dxa"/>
            <w:gridSpan w:val="2"/>
          </w:tcPr>
          <w:p w14:paraId="1824FB5F" w14:textId="77777777" w:rsidR="00854D59" w:rsidRPr="00854D59" w:rsidRDefault="00854D59" w:rsidP="00854D59">
            <w:pPr>
              <w:widowControl w:val="0"/>
              <w:autoSpaceDE w:val="0"/>
              <w:autoSpaceDN w:val="0"/>
              <w:adjustRightInd w:val="0"/>
              <w:rPr>
                <w:snapToGrid w:val="0"/>
                <w:sz w:val="20"/>
                <w:szCs w:val="20"/>
              </w:rPr>
            </w:pPr>
            <w:r w:rsidRPr="00854D59">
              <w:rPr>
                <w:snapToGrid w:val="0"/>
                <w:sz w:val="20"/>
                <w:szCs w:val="20"/>
              </w:rPr>
              <w:t>General and administrative</w:t>
            </w:r>
          </w:p>
        </w:tc>
        <w:tc>
          <w:tcPr>
            <w:tcW w:w="478" w:type="dxa"/>
          </w:tcPr>
          <w:p w14:paraId="5DCC22BB" w14:textId="77777777" w:rsidR="00854D59" w:rsidRPr="00854D59" w:rsidRDefault="00854D59" w:rsidP="00854D59">
            <w:pPr>
              <w:widowControl w:val="0"/>
              <w:autoSpaceDE w:val="0"/>
              <w:autoSpaceDN w:val="0"/>
              <w:adjustRightInd w:val="0"/>
              <w:jc w:val="right"/>
              <w:rPr>
                <w:snapToGrid w:val="0"/>
                <w:sz w:val="20"/>
                <w:szCs w:val="20"/>
              </w:rPr>
            </w:pPr>
          </w:p>
        </w:tc>
        <w:tc>
          <w:tcPr>
            <w:tcW w:w="1208" w:type="dxa"/>
          </w:tcPr>
          <w:p w14:paraId="7B5D5B1D" w14:textId="77777777" w:rsidR="00854D59" w:rsidRPr="00854D59" w:rsidRDefault="00854D59" w:rsidP="00854D59">
            <w:pPr>
              <w:widowControl w:val="0"/>
              <w:tabs>
                <w:tab w:val="decimal" w:pos="960"/>
              </w:tabs>
              <w:autoSpaceDE w:val="0"/>
              <w:autoSpaceDN w:val="0"/>
              <w:adjustRightInd w:val="0"/>
              <w:rPr>
                <w:snapToGrid w:val="0"/>
                <w:sz w:val="20"/>
                <w:szCs w:val="20"/>
              </w:rPr>
            </w:pPr>
          </w:p>
        </w:tc>
        <w:tc>
          <w:tcPr>
            <w:tcW w:w="1208" w:type="dxa"/>
          </w:tcPr>
          <w:p w14:paraId="477D590D" w14:textId="77777777" w:rsidR="00854D59" w:rsidRPr="00854D59" w:rsidRDefault="00854D59" w:rsidP="00854D59">
            <w:pPr>
              <w:widowControl w:val="0"/>
              <w:tabs>
                <w:tab w:val="decimal" w:pos="910"/>
              </w:tabs>
              <w:autoSpaceDE w:val="0"/>
              <w:autoSpaceDN w:val="0"/>
              <w:adjustRightInd w:val="0"/>
              <w:rPr>
                <w:snapToGrid w:val="0"/>
                <w:sz w:val="20"/>
                <w:szCs w:val="20"/>
              </w:rPr>
            </w:pPr>
          </w:p>
        </w:tc>
        <w:tc>
          <w:tcPr>
            <w:tcW w:w="1201" w:type="dxa"/>
          </w:tcPr>
          <w:p w14:paraId="2ECE28C2" w14:textId="77777777" w:rsidR="00854D59" w:rsidRPr="00854D59" w:rsidRDefault="00854D59" w:rsidP="00854D59">
            <w:pPr>
              <w:widowControl w:val="0"/>
              <w:tabs>
                <w:tab w:val="decimal" w:pos="860"/>
              </w:tabs>
              <w:autoSpaceDE w:val="0"/>
              <w:autoSpaceDN w:val="0"/>
              <w:adjustRightInd w:val="0"/>
              <w:jc w:val="right"/>
              <w:rPr>
                <w:snapToGrid w:val="0"/>
                <w:sz w:val="20"/>
                <w:szCs w:val="20"/>
              </w:rPr>
            </w:pPr>
            <w:r w:rsidRPr="00854D59">
              <w:rPr>
                <w:snapToGrid w:val="0"/>
                <w:sz w:val="20"/>
                <w:szCs w:val="20"/>
              </w:rPr>
              <w:t>4,987</w:t>
            </w:r>
          </w:p>
        </w:tc>
        <w:tc>
          <w:tcPr>
            <w:tcW w:w="1208" w:type="dxa"/>
          </w:tcPr>
          <w:p w14:paraId="35FE5692" w14:textId="77777777" w:rsidR="00854D59" w:rsidRPr="00854D59" w:rsidRDefault="00854D59" w:rsidP="00854D59">
            <w:pPr>
              <w:widowControl w:val="0"/>
              <w:tabs>
                <w:tab w:val="decimal" w:pos="907"/>
              </w:tabs>
              <w:autoSpaceDE w:val="0"/>
              <w:autoSpaceDN w:val="0"/>
              <w:adjustRightInd w:val="0"/>
              <w:jc w:val="right"/>
              <w:rPr>
                <w:snapToGrid w:val="0"/>
                <w:sz w:val="20"/>
                <w:szCs w:val="20"/>
              </w:rPr>
            </w:pPr>
            <w:r w:rsidRPr="00854D59">
              <w:rPr>
                <w:snapToGrid w:val="0"/>
                <w:sz w:val="20"/>
                <w:szCs w:val="20"/>
              </w:rPr>
              <w:t>3,577</w:t>
            </w:r>
          </w:p>
        </w:tc>
      </w:tr>
      <w:tr w:rsidR="00854D59" w:rsidRPr="00854D59" w14:paraId="31F59BC7" w14:textId="77777777" w:rsidTr="00BB18E9">
        <w:trPr>
          <w:gridAfter w:val="1"/>
          <w:wAfter w:w="7" w:type="dxa"/>
          <w:trHeight w:val="276"/>
        </w:trPr>
        <w:tc>
          <w:tcPr>
            <w:tcW w:w="237" w:type="dxa"/>
          </w:tcPr>
          <w:p w14:paraId="70BA76E0" w14:textId="77777777" w:rsidR="00854D59" w:rsidRPr="00854D59" w:rsidRDefault="00854D59" w:rsidP="00854D59">
            <w:pPr>
              <w:widowControl w:val="0"/>
              <w:autoSpaceDE w:val="0"/>
              <w:autoSpaceDN w:val="0"/>
              <w:adjustRightInd w:val="0"/>
              <w:jc w:val="right"/>
              <w:rPr>
                <w:snapToGrid w:val="0"/>
                <w:sz w:val="20"/>
                <w:szCs w:val="20"/>
              </w:rPr>
            </w:pPr>
          </w:p>
        </w:tc>
        <w:tc>
          <w:tcPr>
            <w:tcW w:w="1462" w:type="dxa"/>
          </w:tcPr>
          <w:p w14:paraId="3C6F68AF" w14:textId="77777777" w:rsidR="00854D59" w:rsidRPr="00854D59" w:rsidRDefault="00854D59" w:rsidP="00854D59">
            <w:pPr>
              <w:widowControl w:val="0"/>
              <w:autoSpaceDE w:val="0"/>
              <w:autoSpaceDN w:val="0"/>
              <w:adjustRightInd w:val="0"/>
              <w:jc w:val="right"/>
              <w:rPr>
                <w:snapToGrid w:val="0"/>
                <w:sz w:val="20"/>
                <w:szCs w:val="20"/>
              </w:rPr>
            </w:pPr>
          </w:p>
        </w:tc>
        <w:tc>
          <w:tcPr>
            <w:tcW w:w="2921" w:type="dxa"/>
          </w:tcPr>
          <w:p w14:paraId="190FDE6A" w14:textId="77777777" w:rsidR="00854D59" w:rsidRPr="00854D59" w:rsidRDefault="00854D59" w:rsidP="00854D59">
            <w:pPr>
              <w:widowControl w:val="0"/>
              <w:autoSpaceDE w:val="0"/>
              <w:autoSpaceDN w:val="0"/>
              <w:adjustRightInd w:val="0"/>
              <w:jc w:val="right"/>
              <w:rPr>
                <w:snapToGrid w:val="0"/>
                <w:sz w:val="20"/>
                <w:szCs w:val="20"/>
              </w:rPr>
            </w:pPr>
          </w:p>
        </w:tc>
        <w:tc>
          <w:tcPr>
            <w:tcW w:w="478" w:type="dxa"/>
          </w:tcPr>
          <w:p w14:paraId="10D43E03" w14:textId="77777777" w:rsidR="00854D59" w:rsidRPr="00854D59" w:rsidRDefault="00854D59" w:rsidP="00854D59">
            <w:pPr>
              <w:widowControl w:val="0"/>
              <w:autoSpaceDE w:val="0"/>
              <w:autoSpaceDN w:val="0"/>
              <w:adjustRightInd w:val="0"/>
              <w:jc w:val="right"/>
              <w:rPr>
                <w:snapToGrid w:val="0"/>
                <w:sz w:val="20"/>
                <w:szCs w:val="20"/>
              </w:rPr>
            </w:pPr>
          </w:p>
        </w:tc>
        <w:tc>
          <w:tcPr>
            <w:tcW w:w="1208" w:type="dxa"/>
          </w:tcPr>
          <w:p w14:paraId="395BA0BA" w14:textId="77777777" w:rsidR="00854D59" w:rsidRPr="00854D59" w:rsidRDefault="00854D59" w:rsidP="00854D59">
            <w:pPr>
              <w:widowControl w:val="0"/>
              <w:tabs>
                <w:tab w:val="decimal" w:pos="960"/>
              </w:tabs>
              <w:autoSpaceDE w:val="0"/>
              <w:autoSpaceDN w:val="0"/>
              <w:adjustRightInd w:val="0"/>
              <w:rPr>
                <w:snapToGrid w:val="0"/>
                <w:sz w:val="20"/>
                <w:szCs w:val="20"/>
              </w:rPr>
            </w:pPr>
          </w:p>
        </w:tc>
        <w:tc>
          <w:tcPr>
            <w:tcW w:w="1208" w:type="dxa"/>
          </w:tcPr>
          <w:p w14:paraId="0B31DCC9" w14:textId="77777777" w:rsidR="00854D59" w:rsidRPr="00854D59" w:rsidRDefault="00854D59" w:rsidP="00854D59">
            <w:pPr>
              <w:widowControl w:val="0"/>
              <w:tabs>
                <w:tab w:val="decimal" w:pos="910"/>
              </w:tabs>
              <w:autoSpaceDE w:val="0"/>
              <w:autoSpaceDN w:val="0"/>
              <w:adjustRightInd w:val="0"/>
              <w:rPr>
                <w:snapToGrid w:val="0"/>
                <w:sz w:val="20"/>
                <w:szCs w:val="20"/>
              </w:rPr>
            </w:pPr>
          </w:p>
        </w:tc>
        <w:tc>
          <w:tcPr>
            <w:tcW w:w="1201" w:type="dxa"/>
            <w:tcBorders>
              <w:top w:val="single" w:sz="6" w:space="0" w:color="auto"/>
            </w:tcBorders>
          </w:tcPr>
          <w:p w14:paraId="12EFBD00" w14:textId="77777777" w:rsidR="00854D59" w:rsidRPr="00854D59" w:rsidRDefault="00854D59" w:rsidP="00854D59">
            <w:pPr>
              <w:widowControl w:val="0"/>
              <w:tabs>
                <w:tab w:val="decimal" w:pos="860"/>
              </w:tabs>
              <w:autoSpaceDE w:val="0"/>
              <w:autoSpaceDN w:val="0"/>
              <w:adjustRightInd w:val="0"/>
              <w:jc w:val="right"/>
              <w:rPr>
                <w:snapToGrid w:val="0"/>
                <w:sz w:val="20"/>
                <w:szCs w:val="20"/>
              </w:rPr>
            </w:pPr>
            <w:r w:rsidRPr="00854D59">
              <w:rPr>
                <w:snapToGrid w:val="0"/>
                <w:sz w:val="20"/>
                <w:szCs w:val="20"/>
              </w:rPr>
              <w:t>14,110</w:t>
            </w:r>
          </w:p>
        </w:tc>
        <w:tc>
          <w:tcPr>
            <w:tcW w:w="1208" w:type="dxa"/>
            <w:tcBorders>
              <w:top w:val="single" w:sz="6" w:space="0" w:color="auto"/>
            </w:tcBorders>
          </w:tcPr>
          <w:p w14:paraId="12326266" w14:textId="77777777" w:rsidR="00854D59" w:rsidRPr="00854D59" w:rsidRDefault="00854D59" w:rsidP="00854D59">
            <w:pPr>
              <w:widowControl w:val="0"/>
              <w:tabs>
                <w:tab w:val="decimal" w:pos="907"/>
              </w:tabs>
              <w:autoSpaceDE w:val="0"/>
              <w:autoSpaceDN w:val="0"/>
              <w:adjustRightInd w:val="0"/>
              <w:jc w:val="right"/>
              <w:rPr>
                <w:snapToGrid w:val="0"/>
                <w:sz w:val="20"/>
                <w:szCs w:val="20"/>
              </w:rPr>
            </w:pPr>
            <w:r w:rsidRPr="00854D59">
              <w:rPr>
                <w:snapToGrid w:val="0"/>
                <w:sz w:val="20"/>
                <w:szCs w:val="20"/>
              </w:rPr>
              <w:t>19,131</w:t>
            </w:r>
          </w:p>
        </w:tc>
      </w:tr>
      <w:tr w:rsidR="00854D59" w:rsidRPr="00854D59" w14:paraId="1471B48B" w14:textId="77777777" w:rsidTr="00BB18E9">
        <w:trPr>
          <w:gridAfter w:val="1"/>
          <w:wAfter w:w="7" w:type="dxa"/>
          <w:trHeight w:val="276"/>
        </w:trPr>
        <w:tc>
          <w:tcPr>
            <w:tcW w:w="237" w:type="dxa"/>
          </w:tcPr>
          <w:p w14:paraId="3665E807" w14:textId="77777777" w:rsidR="00854D59" w:rsidRPr="00854D59" w:rsidRDefault="00854D59" w:rsidP="00854D59">
            <w:pPr>
              <w:widowControl w:val="0"/>
              <w:autoSpaceDE w:val="0"/>
              <w:autoSpaceDN w:val="0"/>
              <w:adjustRightInd w:val="0"/>
              <w:jc w:val="right"/>
              <w:rPr>
                <w:snapToGrid w:val="0"/>
                <w:sz w:val="20"/>
                <w:szCs w:val="20"/>
              </w:rPr>
            </w:pPr>
          </w:p>
        </w:tc>
        <w:tc>
          <w:tcPr>
            <w:tcW w:w="4383" w:type="dxa"/>
            <w:gridSpan w:val="2"/>
          </w:tcPr>
          <w:p w14:paraId="7E8319FF" w14:textId="77777777" w:rsidR="00854D59" w:rsidRPr="00854D59" w:rsidRDefault="00854D59" w:rsidP="00854D59">
            <w:pPr>
              <w:widowControl w:val="0"/>
              <w:autoSpaceDE w:val="0"/>
              <w:autoSpaceDN w:val="0"/>
              <w:adjustRightInd w:val="0"/>
              <w:rPr>
                <w:snapToGrid w:val="0"/>
                <w:sz w:val="20"/>
                <w:szCs w:val="20"/>
              </w:rPr>
            </w:pPr>
            <w:r w:rsidRPr="00854D59">
              <w:rPr>
                <w:snapToGrid w:val="0"/>
                <w:sz w:val="20"/>
                <w:szCs w:val="20"/>
              </w:rPr>
              <w:t>Loss from operations</w:t>
            </w:r>
          </w:p>
        </w:tc>
        <w:tc>
          <w:tcPr>
            <w:tcW w:w="478" w:type="dxa"/>
          </w:tcPr>
          <w:p w14:paraId="06895A74" w14:textId="77777777" w:rsidR="00854D59" w:rsidRPr="00854D59" w:rsidRDefault="00854D59" w:rsidP="00854D59">
            <w:pPr>
              <w:widowControl w:val="0"/>
              <w:autoSpaceDE w:val="0"/>
              <w:autoSpaceDN w:val="0"/>
              <w:adjustRightInd w:val="0"/>
              <w:jc w:val="right"/>
              <w:rPr>
                <w:snapToGrid w:val="0"/>
                <w:sz w:val="20"/>
                <w:szCs w:val="20"/>
              </w:rPr>
            </w:pPr>
          </w:p>
        </w:tc>
        <w:tc>
          <w:tcPr>
            <w:tcW w:w="1208" w:type="dxa"/>
          </w:tcPr>
          <w:p w14:paraId="5E5FCFB5" w14:textId="77777777" w:rsidR="00854D59" w:rsidRPr="00854D59" w:rsidRDefault="00854D59" w:rsidP="00854D59">
            <w:pPr>
              <w:widowControl w:val="0"/>
              <w:tabs>
                <w:tab w:val="decimal" w:pos="960"/>
              </w:tabs>
              <w:autoSpaceDE w:val="0"/>
              <w:autoSpaceDN w:val="0"/>
              <w:adjustRightInd w:val="0"/>
              <w:rPr>
                <w:snapToGrid w:val="0"/>
                <w:sz w:val="20"/>
                <w:szCs w:val="20"/>
              </w:rPr>
            </w:pPr>
          </w:p>
        </w:tc>
        <w:tc>
          <w:tcPr>
            <w:tcW w:w="1208" w:type="dxa"/>
          </w:tcPr>
          <w:p w14:paraId="1CB03C1B" w14:textId="77777777" w:rsidR="00854D59" w:rsidRPr="00854D59" w:rsidRDefault="00854D59" w:rsidP="00854D59">
            <w:pPr>
              <w:widowControl w:val="0"/>
              <w:tabs>
                <w:tab w:val="decimal" w:pos="910"/>
              </w:tabs>
              <w:autoSpaceDE w:val="0"/>
              <w:autoSpaceDN w:val="0"/>
              <w:adjustRightInd w:val="0"/>
              <w:jc w:val="center"/>
              <w:rPr>
                <w:snapToGrid w:val="0"/>
                <w:sz w:val="20"/>
                <w:szCs w:val="20"/>
              </w:rPr>
            </w:pPr>
          </w:p>
        </w:tc>
        <w:tc>
          <w:tcPr>
            <w:tcW w:w="1201" w:type="dxa"/>
            <w:tcBorders>
              <w:top w:val="single" w:sz="6" w:space="0" w:color="auto"/>
            </w:tcBorders>
          </w:tcPr>
          <w:p w14:paraId="2FFE9A1F" w14:textId="77777777" w:rsidR="00854D59" w:rsidRPr="00854D59" w:rsidRDefault="00854D59" w:rsidP="00854D59">
            <w:pPr>
              <w:widowControl w:val="0"/>
              <w:tabs>
                <w:tab w:val="decimal" w:pos="860"/>
              </w:tabs>
              <w:autoSpaceDE w:val="0"/>
              <w:autoSpaceDN w:val="0"/>
              <w:adjustRightInd w:val="0"/>
              <w:jc w:val="right"/>
              <w:rPr>
                <w:snapToGrid w:val="0"/>
                <w:sz w:val="20"/>
                <w:szCs w:val="20"/>
              </w:rPr>
            </w:pPr>
            <w:r w:rsidRPr="00854D59">
              <w:rPr>
                <w:snapToGrid w:val="0"/>
                <w:sz w:val="20"/>
                <w:szCs w:val="20"/>
              </w:rPr>
              <w:t>(14,029)</w:t>
            </w:r>
          </w:p>
        </w:tc>
        <w:tc>
          <w:tcPr>
            <w:tcW w:w="1208" w:type="dxa"/>
            <w:tcBorders>
              <w:top w:val="single" w:sz="6" w:space="0" w:color="auto"/>
            </w:tcBorders>
          </w:tcPr>
          <w:p w14:paraId="556B6795" w14:textId="77777777" w:rsidR="00854D59" w:rsidRPr="00854D59" w:rsidRDefault="00854D59" w:rsidP="00854D59">
            <w:pPr>
              <w:widowControl w:val="0"/>
              <w:tabs>
                <w:tab w:val="decimal" w:pos="907"/>
              </w:tabs>
              <w:autoSpaceDE w:val="0"/>
              <w:autoSpaceDN w:val="0"/>
              <w:adjustRightInd w:val="0"/>
              <w:jc w:val="right"/>
              <w:rPr>
                <w:snapToGrid w:val="0"/>
                <w:sz w:val="20"/>
                <w:szCs w:val="20"/>
              </w:rPr>
            </w:pPr>
            <w:r w:rsidRPr="00854D59">
              <w:rPr>
                <w:snapToGrid w:val="0"/>
                <w:sz w:val="20"/>
                <w:szCs w:val="20"/>
              </w:rPr>
              <w:t>(18,746)</w:t>
            </w:r>
          </w:p>
        </w:tc>
      </w:tr>
      <w:tr w:rsidR="00854D59" w:rsidRPr="00854D59" w14:paraId="619BDE45" w14:textId="77777777" w:rsidTr="00BB18E9">
        <w:trPr>
          <w:gridAfter w:val="1"/>
          <w:wAfter w:w="7" w:type="dxa"/>
          <w:trHeight w:val="276"/>
        </w:trPr>
        <w:tc>
          <w:tcPr>
            <w:tcW w:w="237" w:type="dxa"/>
          </w:tcPr>
          <w:p w14:paraId="6928042C" w14:textId="77777777" w:rsidR="00854D59" w:rsidRPr="00854D59" w:rsidRDefault="00854D59" w:rsidP="00854D59">
            <w:pPr>
              <w:widowControl w:val="0"/>
              <w:autoSpaceDE w:val="0"/>
              <w:autoSpaceDN w:val="0"/>
              <w:adjustRightInd w:val="0"/>
              <w:jc w:val="right"/>
              <w:rPr>
                <w:snapToGrid w:val="0"/>
                <w:sz w:val="20"/>
                <w:szCs w:val="20"/>
              </w:rPr>
            </w:pPr>
          </w:p>
        </w:tc>
        <w:tc>
          <w:tcPr>
            <w:tcW w:w="4383" w:type="dxa"/>
            <w:gridSpan w:val="2"/>
          </w:tcPr>
          <w:p w14:paraId="3F34F75B" w14:textId="77777777" w:rsidR="00854D59" w:rsidRPr="00854D59" w:rsidRDefault="00854D59" w:rsidP="00854D59">
            <w:pPr>
              <w:widowControl w:val="0"/>
              <w:autoSpaceDE w:val="0"/>
              <w:autoSpaceDN w:val="0"/>
              <w:adjustRightInd w:val="0"/>
              <w:rPr>
                <w:snapToGrid w:val="0"/>
                <w:sz w:val="20"/>
                <w:szCs w:val="20"/>
              </w:rPr>
            </w:pPr>
            <w:r w:rsidRPr="00854D59">
              <w:rPr>
                <w:snapToGrid w:val="0"/>
                <w:sz w:val="20"/>
                <w:szCs w:val="20"/>
              </w:rPr>
              <w:t>Other income (expense), net</w:t>
            </w:r>
          </w:p>
        </w:tc>
        <w:tc>
          <w:tcPr>
            <w:tcW w:w="478" w:type="dxa"/>
          </w:tcPr>
          <w:p w14:paraId="6E02430F" w14:textId="77777777" w:rsidR="00854D59" w:rsidRPr="00854D59" w:rsidRDefault="00854D59" w:rsidP="00854D59">
            <w:pPr>
              <w:widowControl w:val="0"/>
              <w:autoSpaceDE w:val="0"/>
              <w:autoSpaceDN w:val="0"/>
              <w:adjustRightInd w:val="0"/>
              <w:jc w:val="right"/>
              <w:rPr>
                <w:snapToGrid w:val="0"/>
                <w:sz w:val="20"/>
                <w:szCs w:val="20"/>
              </w:rPr>
            </w:pPr>
          </w:p>
        </w:tc>
        <w:tc>
          <w:tcPr>
            <w:tcW w:w="1208" w:type="dxa"/>
          </w:tcPr>
          <w:p w14:paraId="67D390F4" w14:textId="77777777" w:rsidR="00854D59" w:rsidRPr="00854D59" w:rsidRDefault="00854D59" w:rsidP="00854D59">
            <w:pPr>
              <w:widowControl w:val="0"/>
              <w:tabs>
                <w:tab w:val="decimal" w:pos="960"/>
              </w:tabs>
              <w:autoSpaceDE w:val="0"/>
              <w:autoSpaceDN w:val="0"/>
              <w:adjustRightInd w:val="0"/>
              <w:rPr>
                <w:snapToGrid w:val="0"/>
                <w:sz w:val="20"/>
                <w:szCs w:val="20"/>
              </w:rPr>
            </w:pPr>
          </w:p>
        </w:tc>
        <w:tc>
          <w:tcPr>
            <w:tcW w:w="1208" w:type="dxa"/>
          </w:tcPr>
          <w:p w14:paraId="3A6CE03F" w14:textId="77777777" w:rsidR="00854D59" w:rsidRPr="00854D59" w:rsidRDefault="00854D59" w:rsidP="00854D59">
            <w:pPr>
              <w:widowControl w:val="0"/>
              <w:tabs>
                <w:tab w:val="decimal" w:pos="910"/>
              </w:tabs>
              <w:autoSpaceDE w:val="0"/>
              <w:autoSpaceDN w:val="0"/>
              <w:adjustRightInd w:val="0"/>
              <w:rPr>
                <w:snapToGrid w:val="0"/>
                <w:sz w:val="20"/>
                <w:szCs w:val="20"/>
              </w:rPr>
            </w:pPr>
          </w:p>
        </w:tc>
        <w:tc>
          <w:tcPr>
            <w:tcW w:w="1201" w:type="dxa"/>
          </w:tcPr>
          <w:p w14:paraId="7DE3912C" w14:textId="77777777" w:rsidR="00854D59" w:rsidRPr="00854D59" w:rsidRDefault="00854D59" w:rsidP="00854D59">
            <w:pPr>
              <w:widowControl w:val="0"/>
              <w:tabs>
                <w:tab w:val="decimal" w:pos="860"/>
              </w:tabs>
              <w:autoSpaceDE w:val="0"/>
              <w:autoSpaceDN w:val="0"/>
              <w:adjustRightInd w:val="0"/>
              <w:jc w:val="right"/>
              <w:rPr>
                <w:snapToGrid w:val="0"/>
                <w:sz w:val="20"/>
                <w:szCs w:val="20"/>
              </w:rPr>
            </w:pPr>
            <w:r w:rsidRPr="00854D59">
              <w:rPr>
                <w:snapToGrid w:val="0"/>
                <w:sz w:val="20"/>
                <w:szCs w:val="20"/>
              </w:rPr>
              <w:t>7</w:t>
            </w:r>
          </w:p>
        </w:tc>
        <w:tc>
          <w:tcPr>
            <w:tcW w:w="1208" w:type="dxa"/>
          </w:tcPr>
          <w:p w14:paraId="1E453F58" w14:textId="77777777" w:rsidR="00854D59" w:rsidRPr="00854D59" w:rsidRDefault="00854D59" w:rsidP="00854D59">
            <w:pPr>
              <w:widowControl w:val="0"/>
              <w:tabs>
                <w:tab w:val="decimal" w:pos="907"/>
              </w:tabs>
              <w:autoSpaceDE w:val="0"/>
              <w:autoSpaceDN w:val="0"/>
              <w:adjustRightInd w:val="0"/>
              <w:jc w:val="right"/>
              <w:rPr>
                <w:snapToGrid w:val="0"/>
                <w:sz w:val="20"/>
                <w:szCs w:val="20"/>
              </w:rPr>
            </w:pPr>
            <w:r w:rsidRPr="00854D59">
              <w:rPr>
                <w:snapToGrid w:val="0"/>
                <w:sz w:val="20"/>
                <w:szCs w:val="20"/>
              </w:rPr>
              <w:t>176</w:t>
            </w:r>
          </w:p>
        </w:tc>
      </w:tr>
      <w:tr w:rsidR="00854D59" w:rsidRPr="00854D59" w14:paraId="285D1118" w14:textId="77777777" w:rsidTr="00BB18E9">
        <w:trPr>
          <w:gridAfter w:val="1"/>
          <w:wAfter w:w="7" w:type="dxa"/>
          <w:trHeight w:val="276"/>
        </w:trPr>
        <w:tc>
          <w:tcPr>
            <w:tcW w:w="237" w:type="dxa"/>
          </w:tcPr>
          <w:p w14:paraId="33AAEBF6" w14:textId="77777777" w:rsidR="00854D59" w:rsidRPr="00854D59" w:rsidRDefault="00854D59" w:rsidP="00854D59">
            <w:pPr>
              <w:widowControl w:val="0"/>
              <w:autoSpaceDE w:val="0"/>
              <w:autoSpaceDN w:val="0"/>
              <w:adjustRightInd w:val="0"/>
              <w:jc w:val="right"/>
              <w:rPr>
                <w:snapToGrid w:val="0"/>
                <w:sz w:val="20"/>
                <w:szCs w:val="20"/>
              </w:rPr>
            </w:pPr>
          </w:p>
        </w:tc>
        <w:tc>
          <w:tcPr>
            <w:tcW w:w="1462" w:type="dxa"/>
          </w:tcPr>
          <w:p w14:paraId="3F2B0F9D" w14:textId="77777777" w:rsidR="00854D59" w:rsidRPr="00854D59" w:rsidRDefault="00854D59" w:rsidP="00854D59">
            <w:pPr>
              <w:widowControl w:val="0"/>
              <w:autoSpaceDE w:val="0"/>
              <w:autoSpaceDN w:val="0"/>
              <w:adjustRightInd w:val="0"/>
              <w:jc w:val="right"/>
              <w:rPr>
                <w:snapToGrid w:val="0"/>
                <w:sz w:val="20"/>
                <w:szCs w:val="20"/>
              </w:rPr>
            </w:pPr>
          </w:p>
        </w:tc>
        <w:tc>
          <w:tcPr>
            <w:tcW w:w="2921" w:type="dxa"/>
          </w:tcPr>
          <w:p w14:paraId="7202CC4E" w14:textId="77777777" w:rsidR="00854D59" w:rsidRPr="00854D59" w:rsidRDefault="00854D59" w:rsidP="00854D59">
            <w:pPr>
              <w:widowControl w:val="0"/>
              <w:autoSpaceDE w:val="0"/>
              <w:autoSpaceDN w:val="0"/>
              <w:adjustRightInd w:val="0"/>
              <w:jc w:val="right"/>
              <w:rPr>
                <w:snapToGrid w:val="0"/>
                <w:sz w:val="20"/>
                <w:szCs w:val="20"/>
              </w:rPr>
            </w:pPr>
          </w:p>
        </w:tc>
        <w:tc>
          <w:tcPr>
            <w:tcW w:w="478" w:type="dxa"/>
          </w:tcPr>
          <w:p w14:paraId="7064B71B" w14:textId="77777777" w:rsidR="00854D59" w:rsidRPr="00854D59" w:rsidRDefault="00854D59" w:rsidP="00854D59">
            <w:pPr>
              <w:widowControl w:val="0"/>
              <w:autoSpaceDE w:val="0"/>
              <w:autoSpaceDN w:val="0"/>
              <w:adjustRightInd w:val="0"/>
              <w:jc w:val="right"/>
              <w:rPr>
                <w:snapToGrid w:val="0"/>
                <w:sz w:val="20"/>
                <w:szCs w:val="20"/>
              </w:rPr>
            </w:pPr>
          </w:p>
        </w:tc>
        <w:tc>
          <w:tcPr>
            <w:tcW w:w="1208" w:type="dxa"/>
          </w:tcPr>
          <w:p w14:paraId="62D180DD" w14:textId="77777777" w:rsidR="00854D59" w:rsidRPr="00854D59" w:rsidRDefault="00854D59" w:rsidP="00854D59">
            <w:pPr>
              <w:widowControl w:val="0"/>
              <w:tabs>
                <w:tab w:val="decimal" w:pos="960"/>
              </w:tabs>
              <w:autoSpaceDE w:val="0"/>
              <w:autoSpaceDN w:val="0"/>
              <w:adjustRightInd w:val="0"/>
              <w:rPr>
                <w:snapToGrid w:val="0"/>
                <w:sz w:val="20"/>
                <w:szCs w:val="20"/>
              </w:rPr>
            </w:pPr>
          </w:p>
        </w:tc>
        <w:tc>
          <w:tcPr>
            <w:tcW w:w="1208" w:type="dxa"/>
          </w:tcPr>
          <w:p w14:paraId="1A499A72" w14:textId="77777777" w:rsidR="00854D59" w:rsidRPr="00854D59" w:rsidRDefault="00854D59" w:rsidP="00854D59">
            <w:pPr>
              <w:widowControl w:val="0"/>
              <w:tabs>
                <w:tab w:val="decimal" w:pos="910"/>
              </w:tabs>
              <w:autoSpaceDE w:val="0"/>
              <w:autoSpaceDN w:val="0"/>
              <w:adjustRightInd w:val="0"/>
              <w:rPr>
                <w:snapToGrid w:val="0"/>
                <w:sz w:val="20"/>
                <w:szCs w:val="20"/>
              </w:rPr>
            </w:pPr>
          </w:p>
        </w:tc>
        <w:tc>
          <w:tcPr>
            <w:tcW w:w="1201" w:type="dxa"/>
            <w:tcBorders>
              <w:top w:val="single" w:sz="6" w:space="0" w:color="auto"/>
            </w:tcBorders>
          </w:tcPr>
          <w:p w14:paraId="14B6BA12" w14:textId="77777777" w:rsidR="00854D59" w:rsidRPr="00854D59" w:rsidRDefault="00854D59" w:rsidP="00854D59">
            <w:pPr>
              <w:widowControl w:val="0"/>
              <w:tabs>
                <w:tab w:val="decimal" w:pos="860"/>
              </w:tabs>
              <w:autoSpaceDE w:val="0"/>
              <w:autoSpaceDN w:val="0"/>
              <w:adjustRightInd w:val="0"/>
              <w:jc w:val="both"/>
              <w:rPr>
                <w:snapToGrid w:val="0"/>
                <w:sz w:val="20"/>
                <w:szCs w:val="20"/>
              </w:rPr>
            </w:pPr>
          </w:p>
        </w:tc>
        <w:tc>
          <w:tcPr>
            <w:tcW w:w="1208" w:type="dxa"/>
            <w:tcBorders>
              <w:top w:val="single" w:sz="6" w:space="0" w:color="auto"/>
            </w:tcBorders>
          </w:tcPr>
          <w:p w14:paraId="410CEFEC" w14:textId="77777777" w:rsidR="00854D59" w:rsidRPr="00854D59" w:rsidRDefault="00854D59" w:rsidP="00854D59">
            <w:pPr>
              <w:widowControl w:val="0"/>
              <w:tabs>
                <w:tab w:val="decimal" w:pos="907"/>
              </w:tabs>
              <w:autoSpaceDE w:val="0"/>
              <w:autoSpaceDN w:val="0"/>
              <w:adjustRightInd w:val="0"/>
              <w:jc w:val="both"/>
              <w:rPr>
                <w:snapToGrid w:val="0"/>
                <w:sz w:val="20"/>
                <w:szCs w:val="20"/>
              </w:rPr>
            </w:pPr>
          </w:p>
        </w:tc>
      </w:tr>
      <w:tr w:rsidR="00854D59" w:rsidRPr="00854D59" w14:paraId="39F57CFA" w14:textId="77777777" w:rsidTr="00BB18E9">
        <w:trPr>
          <w:gridAfter w:val="1"/>
          <w:wAfter w:w="7" w:type="dxa"/>
          <w:cantSplit/>
          <w:trHeight w:val="293"/>
        </w:trPr>
        <w:tc>
          <w:tcPr>
            <w:tcW w:w="4620" w:type="dxa"/>
            <w:gridSpan w:val="3"/>
          </w:tcPr>
          <w:p w14:paraId="15658FD3" w14:textId="77777777" w:rsidR="00854D59" w:rsidRPr="00854D59" w:rsidRDefault="00854D59" w:rsidP="00854D59">
            <w:pPr>
              <w:widowControl w:val="0"/>
              <w:autoSpaceDE w:val="0"/>
              <w:autoSpaceDN w:val="0"/>
              <w:adjustRightInd w:val="0"/>
              <w:rPr>
                <w:snapToGrid w:val="0"/>
                <w:sz w:val="20"/>
                <w:szCs w:val="20"/>
              </w:rPr>
            </w:pPr>
            <w:r w:rsidRPr="00854D59">
              <w:rPr>
                <w:snapToGrid w:val="0"/>
                <w:sz w:val="20"/>
                <w:szCs w:val="20"/>
              </w:rPr>
              <w:t>Net loss</w:t>
            </w:r>
          </w:p>
        </w:tc>
        <w:tc>
          <w:tcPr>
            <w:tcW w:w="478" w:type="dxa"/>
          </w:tcPr>
          <w:p w14:paraId="744B5DC7" w14:textId="77777777" w:rsidR="00854D59" w:rsidRPr="00854D59" w:rsidRDefault="00854D59" w:rsidP="00854D59">
            <w:pPr>
              <w:widowControl w:val="0"/>
              <w:autoSpaceDE w:val="0"/>
              <w:autoSpaceDN w:val="0"/>
              <w:adjustRightInd w:val="0"/>
              <w:jc w:val="right"/>
              <w:rPr>
                <w:snapToGrid w:val="0"/>
                <w:sz w:val="20"/>
                <w:szCs w:val="20"/>
              </w:rPr>
            </w:pPr>
          </w:p>
        </w:tc>
        <w:tc>
          <w:tcPr>
            <w:tcW w:w="1208" w:type="dxa"/>
          </w:tcPr>
          <w:p w14:paraId="0A598A1E" w14:textId="77777777" w:rsidR="00854D59" w:rsidRPr="00854D59" w:rsidRDefault="00854D59" w:rsidP="00854D59">
            <w:pPr>
              <w:widowControl w:val="0"/>
              <w:tabs>
                <w:tab w:val="left" w:pos="150"/>
                <w:tab w:val="decimal" w:pos="960"/>
              </w:tabs>
              <w:autoSpaceDE w:val="0"/>
              <w:autoSpaceDN w:val="0"/>
              <w:adjustRightInd w:val="0"/>
              <w:rPr>
                <w:snapToGrid w:val="0"/>
                <w:sz w:val="20"/>
                <w:szCs w:val="20"/>
              </w:rPr>
            </w:pPr>
          </w:p>
        </w:tc>
        <w:tc>
          <w:tcPr>
            <w:tcW w:w="1208" w:type="dxa"/>
          </w:tcPr>
          <w:p w14:paraId="281446E4" w14:textId="77777777" w:rsidR="00854D59" w:rsidRPr="00854D59" w:rsidRDefault="00854D59" w:rsidP="00854D59">
            <w:pPr>
              <w:widowControl w:val="0"/>
              <w:tabs>
                <w:tab w:val="left" w:pos="100"/>
                <w:tab w:val="decimal" w:pos="910"/>
              </w:tabs>
              <w:autoSpaceDE w:val="0"/>
              <w:autoSpaceDN w:val="0"/>
              <w:adjustRightInd w:val="0"/>
              <w:rPr>
                <w:snapToGrid w:val="0"/>
                <w:sz w:val="20"/>
                <w:szCs w:val="20"/>
              </w:rPr>
            </w:pPr>
            <w:r w:rsidRPr="00854D59">
              <w:rPr>
                <w:snapToGrid w:val="0"/>
                <w:sz w:val="20"/>
                <w:szCs w:val="20"/>
              </w:rPr>
              <w:tab/>
            </w:r>
          </w:p>
        </w:tc>
        <w:tc>
          <w:tcPr>
            <w:tcW w:w="1201" w:type="dxa"/>
            <w:tcBorders>
              <w:bottom w:val="double" w:sz="6" w:space="0" w:color="auto"/>
            </w:tcBorders>
          </w:tcPr>
          <w:p w14:paraId="2CF04FD4" w14:textId="77777777" w:rsidR="00854D59" w:rsidRPr="00854D59" w:rsidRDefault="00854D59" w:rsidP="00854D59">
            <w:pPr>
              <w:widowControl w:val="0"/>
              <w:tabs>
                <w:tab w:val="left" w:pos="50"/>
                <w:tab w:val="decimal" w:pos="860"/>
              </w:tabs>
              <w:autoSpaceDE w:val="0"/>
              <w:autoSpaceDN w:val="0"/>
              <w:adjustRightInd w:val="0"/>
              <w:jc w:val="right"/>
              <w:rPr>
                <w:snapToGrid w:val="0"/>
                <w:sz w:val="20"/>
                <w:szCs w:val="20"/>
              </w:rPr>
            </w:pPr>
            <w:r w:rsidRPr="00854D59">
              <w:rPr>
                <w:snapToGrid w:val="0"/>
                <w:sz w:val="20"/>
                <w:szCs w:val="20"/>
              </w:rPr>
              <w:tab/>
              <w:t>$</w:t>
            </w:r>
            <w:r w:rsidRPr="00854D59">
              <w:rPr>
                <w:snapToGrid w:val="0"/>
                <w:sz w:val="20"/>
                <w:szCs w:val="20"/>
              </w:rPr>
              <w:tab/>
              <w:t>(14,021)</w:t>
            </w:r>
          </w:p>
        </w:tc>
        <w:tc>
          <w:tcPr>
            <w:tcW w:w="1208" w:type="dxa"/>
            <w:tcBorders>
              <w:bottom w:val="double" w:sz="6" w:space="0" w:color="auto"/>
            </w:tcBorders>
          </w:tcPr>
          <w:p w14:paraId="1A3337EF" w14:textId="77777777" w:rsidR="00854D59" w:rsidRPr="00854D59" w:rsidRDefault="00854D59" w:rsidP="00854D59">
            <w:pPr>
              <w:widowControl w:val="0"/>
              <w:tabs>
                <w:tab w:val="left" w:pos="97"/>
                <w:tab w:val="decimal" w:pos="907"/>
              </w:tabs>
              <w:autoSpaceDE w:val="0"/>
              <w:autoSpaceDN w:val="0"/>
              <w:adjustRightInd w:val="0"/>
              <w:jc w:val="right"/>
              <w:rPr>
                <w:snapToGrid w:val="0"/>
                <w:sz w:val="20"/>
                <w:szCs w:val="20"/>
              </w:rPr>
            </w:pPr>
            <w:r w:rsidRPr="00854D59">
              <w:rPr>
                <w:snapToGrid w:val="0"/>
                <w:sz w:val="20"/>
                <w:szCs w:val="20"/>
              </w:rPr>
              <w:tab/>
              <w:t>$</w:t>
            </w:r>
            <w:r w:rsidRPr="00854D59">
              <w:rPr>
                <w:snapToGrid w:val="0"/>
                <w:sz w:val="20"/>
                <w:szCs w:val="20"/>
              </w:rPr>
              <w:tab/>
              <w:t>(18,570)</w:t>
            </w:r>
          </w:p>
        </w:tc>
      </w:tr>
      <w:tr w:rsidR="00854D59" w:rsidRPr="00854D59" w14:paraId="7E047288" w14:textId="77777777" w:rsidTr="00BB18E9">
        <w:trPr>
          <w:gridAfter w:val="1"/>
          <w:wAfter w:w="7" w:type="dxa"/>
          <w:trHeight w:val="293"/>
        </w:trPr>
        <w:tc>
          <w:tcPr>
            <w:tcW w:w="237" w:type="dxa"/>
          </w:tcPr>
          <w:p w14:paraId="19C862A8" w14:textId="77777777" w:rsidR="00854D59" w:rsidRPr="00854D59" w:rsidRDefault="00854D59" w:rsidP="00854D59">
            <w:pPr>
              <w:widowControl w:val="0"/>
              <w:autoSpaceDE w:val="0"/>
              <w:autoSpaceDN w:val="0"/>
              <w:adjustRightInd w:val="0"/>
              <w:jc w:val="right"/>
              <w:rPr>
                <w:snapToGrid w:val="0"/>
                <w:sz w:val="20"/>
                <w:szCs w:val="20"/>
              </w:rPr>
            </w:pPr>
          </w:p>
        </w:tc>
        <w:tc>
          <w:tcPr>
            <w:tcW w:w="1462" w:type="dxa"/>
          </w:tcPr>
          <w:p w14:paraId="377D86B9" w14:textId="77777777" w:rsidR="00854D59" w:rsidRPr="00854D59" w:rsidRDefault="00854D59" w:rsidP="00854D59">
            <w:pPr>
              <w:widowControl w:val="0"/>
              <w:autoSpaceDE w:val="0"/>
              <w:autoSpaceDN w:val="0"/>
              <w:adjustRightInd w:val="0"/>
              <w:jc w:val="right"/>
              <w:rPr>
                <w:snapToGrid w:val="0"/>
                <w:sz w:val="20"/>
                <w:szCs w:val="20"/>
              </w:rPr>
            </w:pPr>
          </w:p>
        </w:tc>
        <w:tc>
          <w:tcPr>
            <w:tcW w:w="2921" w:type="dxa"/>
          </w:tcPr>
          <w:p w14:paraId="65A629D1" w14:textId="77777777" w:rsidR="00854D59" w:rsidRPr="00854D59" w:rsidRDefault="00854D59" w:rsidP="00854D59">
            <w:pPr>
              <w:widowControl w:val="0"/>
              <w:autoSpaceDE w:val="0"/>
              <w:autoSpaceDN w:val="0"/>
              <w:adjustRightInd w:val="0"/>
              <w:jc w:val="right"/>
              <w:rPr>
                <w:snapToGrid w:val="0"/>
                <w:sz w:val="20"/>
                <w:szCs w:val="20"/>
              </w:rPr>
            </w:pPr>
          </w:p>
        </w:tc>
        <w:tc>
          <w:tcPr>
            <w:tcW w:w="478" w:type="dxa"/>
          </w:tcPr>
          <w:p w14:paraId="329F2320" w14:textId="77777777" w:rsidR="00854D59" w:rsidRPr="00854D59" w:rsidRDefault="00854D59" w:rsidP="00854D59">
            <w:pPr>
              <w:widowControl w:val="0"/>
              <w:autoSpaceDE w:val="0"/>
              <w:autoSpaceDN w:val="0"/>
              <w:adjustRightInd w:val="0"/>
              <w:jc w:val="right"/>
              <w:rPr>
                <w:snapToGrid w:val="0"/>
                <w:sz w:val="20"/>
                <w:szCs w:val="20"/>
              </w:rPr>
            </w:pPr>
          </w:p>
        </w:tc>
        <w:tc>
          <w:tcPr>
            <w:tcW w:w="1208" w:type="dxa"/>
          </w:tcPr>
          <w:p w14:paraId="1E134131" w14:textId="77777777" w:rsidR="00854D59" w:rsidRPr="00854D59" w:rsidRDefault="00854D59" w:rsidP="00854D59">
            <w:pPr>
              <w:widowControl w:val="0"/>
              <w:autoSpaceDE w:val="0"/>
              <w:autoSpaceDN w:val="0"/>
              <w:adjustRightInd w:val="0"/>
              <w:jc w:val="center"/>
              <w:rPr>
                <w:snapToGrid w:val="0"/>
                <w:sz w:val="20"/>
                <w:szCs w:val="20"/>
              </w:rPr>
            </w:pPr>
          </w:p>
        </w:tc>
        <w:tc>
          <w:tcPr>
            <w:tcW w:w="1208" w:type="dxa"/>
          </w:tcPr>
          <w:p w14:paraId="63B8C1FA" w14:textId="77777777" w:rsidR="00854D59" w:rsidRPr="00854D59" w:rsidRDefault="00854D59" w:rsidP="00854D59">
            <w:pPr>
              <w:widowControl w:val="0"/>
              <w:autoSpaceDE w:val="0"/>
              <w:autoSpaceDN w:val="0"/>
              <w:adjustRightInd w:val="0"/>
              <w:jc w:val="center"/>
              <w:rPr>
                <w:snapToGrid w:val="0"/>
                <w:sz w:val="20"/>
                <w:szCs w:val="20"/>
              </w:rPr>
            </w:pPr>
          </w:p>
        </w:tc>
        <w:tc>
          <w:tcPr>
            <w:tcW w:w="1201" w:type="dxa"/>
          </w:tcPr>
          <w:p w14:paraId="41F6711B" w14:textId="77777777" w:rsidR="00854D59" w:rsidRPr="00854D59" w:rsidRDefault="00854D59" w:rsidP="00854D59">
            <w:pPr>
              <w:widowControl w:val="0"/>
              <w:autoSpaceDE w:val="0"/>
              <w:autoSpaceDN w:val="0"/>
              <w:adjustRightInd w:val="0"/>
              <w:jc w:val="both"/>
              <w:rPr>
                <w:snapToGrid w:val="0"/>
                <w:sz w:val="20"/>
                <w:szCs w:val="20"/>
              </w:rPr>
            </w:pPr>
          </w:p>
        </w:tc>
        <w:tc>
          <w:tcPr>
            <w:tcW w:w="1208" w:type="dxa"/>
          </w:tcPr>
          <w:p w14:paraId="265DF81F" w14:textId="77777777" w:rsidR="00854D59" w:rsidRPr="00854D59" w:rsidRDefault="00854D59" w:rsidP="00854D59">
            <w:pPr>
              <w:widowControl w:val="0"/>
              <w:autoSpaceDE w:val="0"/>
              <w:autoSpaceDN w:val="0"/>
              <w:adjustRightInd w:val="0"/>
              <w:jc w:val="both"/>
              <w:rPr>
                <w:snapToGrid w:val="0"/>
                <w:sz w:val="20"/>
                <w:szCs w:val="20"/>
              </w:rPr>
            </w:pPr>
          </w:p>
        </w:tc>
      </w:tr>
      <w:tr w:rsidR="00854D59" w:rsidRPr="00854D59" w14:paraId="4CDC7BE0" w14:textId="77777777" w:rsidTr="00BB18E9">
        <w:trPr>
          <w:gridAfter w:val="1"/>
          <w:wAfter w:w="7" w:type="dxa"/>
          <w:trHeight w:val="276"/>
        </w:trPr>
        <w:tc>
          <w:tcPr>
            <w:tcW w:w="4620" w:type="dxa"/>
            <w:gridSpan w:val="3"/>
          </w:tcPr>
          <w:p w14:paraId="0BAAD13B" w14:textId="77777777" w:rsidR="00854D59" w:rsidRPr="00854D59" w:rsidRDefault="00854D59" w:rsidP="00854D59">
            <w:pPr>
              <w:widowControl w:val="0"/>
              <w:autoSpaceDE w:val="0"/>
              <w:autoSpaceDN w:val="0"/>
              <w:adjustRightInd w:val="0"/>
              <w:rPr>
                <w:snapToGrid w:val="0"/>
                <w:sz w:val="20"/>
                <w:szCs w:val="20"/>
              </w:rPr>
            </w:pPr>
            <w:r w:rsidRPr="00854D59">
              <w:rPr>
                <w:snapToGrid w:val="0"/>
                <w:sz w:val="20"/>
                <w:szCs w:val="20"/>
              </w:rPr>
              <w:t>Net loss per common share</w:t>
            </w:r>
          </w:p>
        </w:tc>
        <w:tc>
          <w:tcPr>
            <w:tcW w:w="478" w:type="dxa"/>
          </w:tcPr>
          <w:p w14:paraId="332987CC" w14:textId="77777777" w:rsidR="00854D59" w:rsidRPr="00854D59" w:rsidRDefault="00854D59" w:rsidP="00854D59">
            <w:pPr>
              <w:widowControl w:val="0"/>
              <w:autoSpaceDE w:val="0"/>
              <w:autoSpaceDN w:val="0"/>
              <w:adjustRightInd w:val="0"/>
              <w:jc w:val="right"/>
              <w:rPr>
                <w:snapToGrid w:val="0"/>
                <w:sz w:val="20"/>
                <w:szCs w:val="20"/>
              </w:rPr>
            </w:pPr>
          </w:p>
        </w:tc>
        <w:tc>
          <w:tcPr>
            <w:tcW w:w="1208" w:type="dxa"/>
          </w:tcPr>
          <w:p w14:paraId="5B4B5BE6" w14:textId="77777777" w:rsidR="00854D59" w:rsidRPr="00854D59" w:rsidRDefault="00854D59" w:rsidP="00854D59">
            <w:pPr>
              <w:widowControl w:val="0"/>
              <w:tabs>
                <w:tab w:val="left" w:pos="150"/>
                <w:tab w:val="decimal" w:pos="690"/>
              </w:tabs>
              <w:autoSpaceDE w:val="0"/>
              <w:autoSpaceDN w:val="0"/>
              <w:adjustRightInd w:val="0"/>
              <w:rPr>
                <w:snapToGrid w:val="0"/>
                <w:sz w:val="20"/>
                <w:szCs w:val="20"/>
              </w:rPr>
            </w:pPr>
          </w:p>
        </w:tc>
        <w:tc>
          <w:tcPr>
            <w:tcW w:w="1208" w:type="dxa"/>
          </w:tcPr>
          <w:p w14:paraId="751168A2" w14:textId="77777777" w:rsidR="00854D59" w:rsidRPr="00854D59" w:rsidRDefault="00854D59" w:rsidP="00854D59">
            <w:pPr>
              <w:widowControl w:val="0"/>
              <w:tabs>
                <w:tab w:val="left" w:pos="100"/>
                <w:tab w:val="decimal" w:pos="640"/>
              </w:tabs>
              <w:autoSpaceDE w:val="0"/>
              <w:autoSpaceDN w:val="0"/>
              <w:adjustRightInd w:val="0"/>
              <w:rPr>
                <w:snapToGrid w:val="0"/>
                <w:sz w:val="20"/>
                <w:szCs w:val="20"/>
              </w:rPr>
            </w:pPr>
          </w:p>
        </w:tc>
        <w:tc>
          <w:tcPr>
            <w:tcW w:w="1201" w:type="dxa"/>
            <w:tcBorders>
              <w:bottom w:val="double" w:sz="4" w:space="0" w:color="auto"/>
            </w:tcBorders>
            <w:shd w:val="clear" w:color="auto" w:fill="auto"/>
          </w:tcPr>
          <w:p w14:paraId="37E80623" w14:textId="77777777" w:rsidR="00854D59" w:rsidRPr="00854D59" w:rsidRDefault="00854D59" w:rsidP="00854D59">
            <w:pPr>
              <w:widowControl w:val="0"/>
              <w:tabs>
                <w:tab w:val="left" w:pos="140"/>
                <w:tab w:val="decimal" w:pos="590"/>
              </w:tabs>
              <w:autoSpaceDE w:val="0"/>
              <w:autoSpaceDN w:val="0"/>
              <w:adjustRightInd w:val="0"/>
              <w:jc w:val="right"/>
              <w:rPr>
                <w:snapToGrid w:val="0"/>
                <w:sz w:val="20"/>
                <w:szCs w:val="20"/>
              </w:rPr>
            </w:pPr>
            <w:r w:rsidRPr="00854D59">
              <w:rPr>
                <w:snapToGrid w:val="0"/>
                <w:sz w:val="20"/>
                <w:szCs w:val="20"/>
              </w:rPr>
              <w:tab/>
              <w:t>$</w:t>
            </w:r>
            <w:r w:rsidRPr="00854D59">
              <w:rPr>
                <w:snapToGrid w:val="0"/>
                <w:sz w:val="20"/>
                <w:szCs w:val="20"/>
              </w:rPr>
              <w:tab/>
              <w:t xml:space="preserve"> </w:t>
            </w:r>
            <w:proofErr w:type="gramStart"/>
            <w:r w:rsidRPr="00854D59">
              <w:rPr>
                <w:snapToGrid w:val="0"/>
                <w:sz w:val="20"/>
                <w:szCs w:val="20"/>
              </w:rPr>
              <w:t xml:space="preserve">   (</w:t>
            </w:r>
            <w:proofErr w:type="gramEnd"/>
            <w:r w:rsidRPr="00854D59">
              <w:rPr>
                <w:snapToGrid w:val="0"/>
                <w:sz w:val="20"/>
                <w:szCs w:val="20"/>
              </w:rPr>
              <w:t>0.83)</w:t>
            </w:r>
          </w:p>
        </w:tc>
        <w:tc>
          <w:tcPr>
            <w:tcW w:w="1208" w:type="dxa"/>
            <w:tcBorders>
              <w:bottom w:val="double" w:sz="4" w:space="0" w:color="auto"/>
            </w:tcBorders>
            <w:shd w:val="clear" w:color="auto" w:fill="auto"/>
          </w:tcPr>
          <w:p w14:paraId="5B404D25" w14:textId="77777777" w:rsidR="00854D59" w:rsidRPr="00854D59" w:rsidRDefault="00854D59" w:rsidP="00854D59">
            <w:pPr>
              <w:widowControl w:val="0"/>
              <w:tabs>
                <w:tab w:val="left" w:pos="97"/>
                <w:tab w:val="decimal" w:pos="637"/>
              </w:tabs>
              <w:autoSpaceDE w:val="0"/>
              <w:autoSpaceDN w:val="0"/>
              <w:adjustRightInd w:val="0"/>
              <w:jc w:val="right"/>
              <w:rPr>
                <w:snapToGrid w:val="0"/>
                <w:sz w:val="20"/>
                <w:szCs w:val="20"/>
              </w:rPr>
            </w:pPr>
            <w:r w:rsidRPr="00854D59">
              <w:rPr>
                <w:snapToGrid w:val="0"/>
                <w:sz w:val="20"/>
                <w:szCs w:val="20"/>
              </w:rPr>
              <w:tab/>
              <w:t>$</w:t>
            </w:r>
            <w:r w:rsidRPr="00854D59">
              <w:rPr>
                <w:snapToGrid w:val="0"/>
                <w:sz w:val="20"/>
                <w:szCs w:val="20"/>
              </w:rPr>
              <w:tab/>
              <w:t>(3.04)</w:t>
            </w:r>
          </w:p>
        </w:tc>
      </w:tr>
      <w:tr w:rsidR="00854D59" w:rsidRPr="00854D59" w14:paraId="264ED1E3" w14:textId="77777777" w:rsidTr="00BB18E9">
        <w:trPr>
          <w:gridAfter w:val="1"/>
          <w:wAfter w:w="7" w:type="dxa"/>
          <w:trHeight w:val="276"/>
        </w:trPr>
        <w:tc>
          <w:tcPr>
            <w:tcW w:w="4620" w:type="dxa"/>
            <w:gridSpan w:val="3"/>
          </w:tcPr>
          <w:p w14:paraId="41892EBF" w14:textId="77777777" w:rsidR="00854D59" w:rsidRPr="00854D59" w:rsidRDefault="00854D59" w:rsidP="00854D59">
            <w:pPr>
              <w:widowControl w:val="0"/>
              <w:autoSpaceDE w:val="0"/>
              <w:autoSpaceDN w:val="0"/>
              <w:adjustRightInd w:val="0"/>
              <w:rPr>
                <w:snapToGrid w:val="0"/>
                <w:sz w:val="20"/>
                <w:szCs w:val="20"/>
              </w:rPr>
            </w:pPr>
          </w:p>
        </w:tc>
        <w:tc>
          <w:tcPr>
            <w:tcW w:w="478" w:type="dxa"/>
          </w:tcPr>
          <w:p w14:paraId="46D31E38" w14:textId="77777777" w:rsidR="00854D59" w:rsidRPr="00854D59" w:rsidRDefault="00854D59" w:rsidP="00854D59">
            <w:pPr>
              <w:widowControl w:val="0"/>
              <w:autoSpaceDE w:val="0"/>
              <w:autoSpaceDN w:val="0"/>
              <w:adjustRightInd w:val="0"/>
              <w:jc w:val="right"/>
              <w:rPr>
                <w:snapToGrid w:val="0"/>
                <w:sz w:val="20"/>
                <w:szCs w:val="20"/>
              </w:rPr>
            </w:pPr>
          </w:p>
        </w:tc>
        <w:tc>
          <w:tcPr>
            <w:tcW w:w="1208" w:type="dxa"/>
          </w:tcPr>
          <w:p w14:paraId="2C3B131A" w14:textId="77777777" w:rsidR="00854D59" w:rsidRPr="00854D59" w:rsidRDefault="00854D59" w:rsidP="00854D59">
            <w:pPr>
              <w:widowControl w:val="0"/>
              <w:tabs>
                <w:tab w:val="left" w:pos="150"/>
                <w:tab w:val="decimal" w:pos="690"/>
              </w:tabs>
              <w:autoSpaceDE w:val="0"/>
              <w:autoSpaceDN w:val="0"/>
              <w:adjustRightInd w:val="0"/>
              <w:rPr>
                <w:snapToGrid w:val="0"/>
                <w:sz w:val="20"/>
                <w:szCs w:val="20"/>
              </w:rPr>
            </w:pPr>
          </w:p>
        </w:tc>
        <w:tc>
          <w:tcPr>
            <w:tcW w:w="1208" w:type="dxa"/>
          </w:tcPr>
          <w:p w14:paraId="71588E3B" w14:textId="77777777" w:rsidR="00854D59" w:rsidRPr="00854D59" w:rsidRDefault="00854D59" w:rsidP="00854D59">
            <w:pPr>
              <w:widowControl w:val="0"/>
              <w:tabs>
                <w:tab w:val="left" w:pos="100"/>
                <w:tab w:val="decimal" w:pos="640"/>
              </w:tabs>
              <w:autoSpaceDE w:val="0"/>
              <w:autoSpaceDN w:val="0"/>
              <w:adjustRightInd w:val="0"/>
              <w:rPr>
                <w:snapToGrid w:val="0"/>
                <w:sz w:val="20"/>
                <w:szCs w:val="20"/>
              </w:rPr>
            </w:pPr>
          </w:p>
        </w:tc>
        <w:tc>
          <w:tcPr>
            <w:tcW w:w="1201" w:type="dxa"/>
          </w:tcPr>
          <w:p w14:paraId="6D5559B4" w14:textId="77777777" w:rsidR="00854D59" w:rsidRPr="00854D59" w:rsidRDefault="00854D59" w:rsidP="00854D59">
            <w:pPr>
              <w:widowControl w:val="0"/>
              <w:tabs>
                <w:tab w:val="left" w:pos="140"/>
                <w:tab w:val="decimal" w:pos="590"/>
              </w:tabs>
              <w:autoSpaceDE w:val="0"/>
              <w:autoSpaceDN w:val="0"/>
              <w:adjustRightInd w:val="0"/>
              <w:jc w:val="both"/>
              <w:rPr>
                <w:snapToGrid w:val="0"/>
                <w:sz w:val="20"/>
                <w:szCs w:val="20"/>
              </w:rPr>
            </w:pPr>
          </w:p>
        </w:tc>
        <w:tc>
          <w:tcPr>
            <w:tcW w:w="1208" w:type="dxa"/>
          </w:tcPr>
          <w:p w14:paraId="7E5F3A5C" w14:textId="77777777" w:rsidR="00854D59" w:rsidRPr="00854D59" w:rsidRDefault="00854D59" w:rsidP="00854D59">
            <w:pPr>
              <w:widowControl w:val="0"/>
              <w:tabs>
                <w:tab w:val="left" w:pos="97"/>
                <w:tab w:val="decimal" w:pos="637"/>
              </w:tabs>
              <w:autoSpaceDE w:val="0"/>
              <w:autoSpaceDN w:val="0"/>
              <w:adjustRightInd w:val="0"/>
              <w:jc w:val="both"/>
              <w:rPr>
                <w:snapToGrid w:val="0"/>
                <w:sz w:val="20"/>
                <w:szCs w:val="20"/>
              </w:rPr>
            </w:pPr>
          </w:p>
        </w:tc>
      </w:tr>
      <w:tr w:rsidR="00854D59" w:rsidRPr="00854D59" w14:paraId="7DDA5576" w14:textId="77777777" w:rsidTr="00BB18E9">
        <w:trPr>
          <w:gridAfter w:val="1"/>
          <w:wAfter w:w="7" w:type="dxa"/>
          <w:trHeight w:val="276"/>
        </w:trPr>
        <w:tc>
          <w:tcPr>
            <w:tcW w:w="4620" w:type="dxa"/>
            <w:gridSpan w:val="3"/>
          </w:tcPr>
          <w:p w14:paraId="38D6ABAF" w14:textId="77777777" w:rsidR="00854D59" w:rsidRPr="00854D59" w:rsidRDefault="00854D59" w:rsidP="00854D59">
            <w:pPr>
              <w:widowControl w:val="0"/>
              <w:autoSpaceDE w:val="0"/>
              <w:autoSpaceDN w:val="0"/>
              <w:adjustRightInd w:val="0"/>
              <w:rPr>
                <w:snapToGrid w:val="0"/>
                <w:sz w:val="20"/>
                <w:szCs w:val="20"/>
              </w:rPr>
            </w:pPr>
            <w:r w:rsidRPr="00854D59">
              <w:rPr>
                <w:snapToGrid w:val="0"/>
                <w:sz w:val="20"/>
                <w:szCs w:val="20"/>
              </w:rPr>
              <w:t>Weighted average shares outstanding</w:t>
            </w:r>
          </w:p>
        </w:tc>
        <w:tc>
          <w:tcPr>
            <w:tcW w:w="478" w:type="dxa"/>
          </w:tcPr>
          <w:p w14:paraId="1E853796" w14:textId="77777777" w:rsidR="00854D59" w:rsidRPr="00854D59" w:rsidRDefault="00854D59" w:rsidP="00854D59">
            <w:pPr>
              <w:widowControl w:val="0"/>
              <w:autoSpaceDE w:val="0"/>
              <w:autoSpaceDN w:val="0"/>
              <w:adjustRightInd w:val="0"/>
              <w:jc w:val="right"/>
              <w:rPr>
                <w:snapToGrid w:val="0"/>
                <w:sz w:val="20"/>
                <w:szCs w:val="20"/>
              </w:rPr>
            </w:pPr>
          </w:p>
        </w:tc>
        <w:tc>
          <w:tcPr>
            <w:tcW w:w="1208" w:type="dxa"/>
          </w:tcPr>
          <w:p w14:paraId="77B23541" w14:textId="77777777" w:rsidR="00854D59" w:rsidRPr="00854D59" w:rsidRDefault="00854D59" w:rsidP="00854D59">
            <w:pPr>
              <w:widowControl w:val="0"/>
              <w:tabs>
                <w:tab w:val="left" w:pos="150"/>
                <w:tab w:val="decimal" w:pos="690"/>
              </w:tabs>
              <w:autoSpaceDE w:val="0"/>
              <w:autoSpaceDN w:val="0"/>
              <w:adjustRightInd w:val="0"/>
              <w:rPr>
                <w:snapToGrid w:val="0"/>
                <w:sz w:val="20"/>
                <w:szCs w:val="20"/>
              </w:rPr>
            </w:pPr>
          </w:p>
        </w:tc>
        <w:tc>
          <w:tcPr>
            <w:tcW w:w="1208" w:type="dxa"/>
          </w:tcPr>
          <w:p w14:paraId="0AB1EE8F" w14:textId="77777777" w:rsidR="00854D59" w:rsidRPr="00854D59" w:rsidRDefault="00854D59" w:rsidP="00854D59">
            <w:pPr>
              <w:widowControl w:val="0"/>
              <w:tabs>
                <w:tab w:val="left" w:pos="100"/>
                <w:tab w:val="decimal" w:pos="640"/>
              </w:tabs>
              <w:autoSpaceDE w:val="0"/>
              <w:autoSpaceDN w:val="0"/>
              <w:adjustRightInd w:val="0"/>
              <w:rPr>
                <w:snapToGrid w:val="0"/>
                <w:sz w:val="20"/>
                <w:szCs w:val="20"/>
              </w:rPr>
            </w:pPr>
          </w:p>
        </w:tc>
        <w:tc>
          <w:tcPr>
            <w:tcW w:w="1201" w:type="dxa"/>
          </w:tcPr>
          <w:p w14:paraId="6719A5CF" w14:textId="77777777" w:rsidR="00854D59" w:rsidRPr="00854D59" w:rsidRDefault="00854D59" w:rsidP="00854D59">
            <w:pPr>
              <w:widowControl w:val="0"/>
              <w:tabs>
                <w:tab w:val="left" w:pos="140"/>
                <w:tab w:val="decimal" w:pos="856"/>
              </w:tabs>
              <w:autoSpaceDE w:val="0"/>
              <w:autoSpaceDN w:val="0"/>
              <w:adjustRightInd w:val="0"/>
              <w:jc w:val="right"/>
              <w:rPr>
                <w:snapToGrid w:val="0"/>
                <w:sz w:val="20"/>
                <w:szCs w:val="20"/>
              </w:rPr>
            </w:pPr>
            <w:r w:rsidRPr="00854D59">
              <w:rPr>
                <w:snapToGrid w:val="0"/>
                <w:sz w:val="20"/>
                <w:szCs w:val="20"/>
              </w:rPr>
              <w:tab/>
            </w:r>
            <w:r w:rsidRPr="00854D59">
              <w:rPr>
                <w:snapToGrid w:val="0"/>
                <w:sz w:val="20"/>
                <w:szCs w:val="20"/>
              </w:rPr>
              <w:tab/>
              <w:t>16,973,194</w:t>
            </w:r>
          </w:p>
        </w:tc>
        <w:tc>
          <w:tcPr>
            <w:tcW w:w="1208" w:type="dxa"/>
          </w:tcPr>
          <w:p w14:paraId="5DFAE970" w14:textId="77777777" w:rsidR="00854D59" w:rsidRPr="00854D59" w:rsidRDefault="00854D59" w:rsidP="00854D59">
            <w:pPr>
              <w:widowControl w:val="0"/>
              <w:tabs>
                <w:tab w:val="left" w:pos="97"/>
                <w:tab w:val="decimal" w:pos="908"/>
              </w:tabs>
              <w:autoSpaceDE w:val="0"/>
              <w:autoSpaceDN w:val="0"/>
              <w:adjustRightInd w:val="0"/>
              <w:jc w:val="right"/>
              <w:rPr>
                <w:snapToGrid w:val="0"/>
                <w:sz w:val="20"/>
                <w:szCs w:val="20"/>
              </w:rPr>
            </w:pPr>
            <w:r w:rsidRPr="00854D59">
              <w:rPr>
                <w:snapToGrid w:val="0"/>
                <w:sz w:val="20"/>
                <w:szCs w:val="20"/>
              </w:rPr>
              <w:tab/>
            </w:r>
            <w:r w:rsidRPr="00854D59">
              <w:rPr>
                <w:snapToGrid w:val="0"/>
                <w:sz w:val="20"/>
                <w:szCs w:val="20"/>
              </w:rPr>
              <w:tab/>
              <w:t>6,099,933</w:t>
            </w:r>
          </w:p>
        </w:tc>
      </w:tr>
    </w:tbl>
    <w:p w14:paraId="3C0D7FA9" w14:textId="77777777" w:rsidR="00854D59" w:rsidRPr="00854D59" w:rsidRDefault="00854D59" w:rsidP="00854D59">
      <w:pPr>
        <w:widowControl w:val="0"/>
        <w:autoSpaceDE w:val="0"/>
        <w:autoSpaceDN w:val="0"/>
        <w:adjustRightInd w:val="0"/>
        <w:jc w:val="both"/>
        <w:rPr>
          <w:sz w:val="20"/>
          <w:szCs w:val="20"/>
        </w:rPr>
      </w:pPr>
    </w:p>
    <w:p w14:paraId="6CE75088" w14:textId="77777777" w:rsidR="00854D59" w:rsidRPr="00854D59" w:rsidRDefault="00854D59" w:rsidP="00854D59">
      <w:pPr>
        <w:widowControl w:val="0"/>
        <w:autoSpaceDE w:val="0"/>
        <w:autoSpaceDN w:val="0"/>
        <w:adjustRightInd w:val="0"/>
        <w:jc w:val="both"/>
        <w:rPr>
          <w:sz w:val="20"/>
          <w:szCs w:val="20"/>
        </w:rPr>
      </w:pPr>
    </w:p>
    <w:tbl>
      <w:tblPr>
        <w:tblW w:w="9930" w:type="dxa"/>
        <w:tblLayout w:type="fixed"/>
        <w:tblCellMar>
          <w:left w:w="30" w:type="dxa"/>
          <w:right w:w="30" w:type="dxa"/>
        </w:tblCellMar>
        <w:tblLook w:val="0000" w:firstRow="0" w:lastRow="0" w:firstColumn="0" w:lastColumn="0" w:noHBand="0" w:noVBand="0"/>
      </w:tblPr>
      <w:tblGrid>
        <w:gridCol w:w="237"/>
        <w:gridCol w:w="1462"/>
        <w:gridCol w:w="2921"/>
        <w:gridCol w:w="478"/>
        <w:gridCol w:w="1208"/>
        <w:gridCol w:w="1208"/>
        <w:gridCol w:w="1208"/>
        <w:gridCol w:w="1208"/>
      </w:tblGrid>
      <w:tr w:rsidR="00854D59" w:rsidRPr="00854D59" w14:paraId="57053067" w14:textId="77777777" w:rsidTr="00BB18E9">
        <w:trPr>
          <w:cantSplit/>
          <w:trHeight w:val="293"/>
        </w:trPr>
        <w:tc>
          <w:tcPr>
            <w:tcW w:w="9930" w:type="dxa"/>
            <w:gridSpan w:val="8"/>
          </w:tcPr>
          <w:p w14:paraId="01095EF5" w14:textId="77777777" w:rsidR="00854D59" w:rsidRPr="00854D59" w:rsidRDefault="00854D59" w:rsidP="00854D59">
            <w:pPr>
              <w:widowControl w:val="0"/>
              <w:autoSpaceDE w:val="0"/>
              <w:autoSpaceDN w:val="0"/>
              <w:adjustRightInd w:val="0"/>
              <w:jc w:val="center"/>
              <w:rPr>
                <w:b/>
                <w:bCs/>
                <w:snapToGrid w:val="0"/>
                <w:sz w:val="20"/>
                <w:szCs w:val="20"/>
              </w:rPr>
            </w:pPr>
          </w:p>
          <w:p w14:paraId="5F8C7FB2" w14:textId="77777777" w:rsidR="00854D59" w:rsidRPr="00854D59" w:rsidRDefault="00854D59" w:rsidP="00854D59">
            <w:pPr>
              <w:widowControl w:val="0"/>
              <w:autoSpaceDE w:val="0"/>
              <w:autoSpaceDN w:val="0"/>
              <w:adjustRightInd w:val="0"/>
              <w:jc w:val="center"/>
              <w:rPr>
                <w:b/>
                <w:bCs/>
                <w:snapToGrid w:val="0"/>
                <w:sz w:val="20"/>
                <w:szCs w:val="20"/>
              </w:rPr>
            </w:pPr>
          </w:p>
          <w:p w14:paraId="2C0BAD54" w14:textId="77777777" w:rsidR="00854D59" w:rsidRPr="00854D59" w:rsidRDefault="00854D59" w:rsidP="00854D59">
            <w:pPr>
              <w:widowControl w:val="0"/>
              <w:autoSpaceDE w:val="0"/>
              <w:autoSpaceDN w:val="0"/>
              <w:adjustRightInd w:val="0"/>
              <w:jc w:val="center"/>
              <w:rPr>
                <w:snapToGrid w:val="0"/>
                <w:sz w:val="20"/>
                <w:szCs w:val="20"/>
              </w:rPr>
            </w:pPr>
            <w:r w:rsidRPr="00854D59">
              <w:rPr>
                <w:b/>
                <w:bCs/>
                <w:snapToGrid w:val="0"/>
                <w:sz w:val="20"/>
                <w:szCs w:val="20"/>
              </w:rPr>
              <w:t>Condensed Consolidated Balance Sheet Information</w:t>
            </w:r>
          </w:p>
        </w:tc>
      </w:tr>
      <w:tr w:rsidR="00854D59" w:rsidRPr="00854D59" w14:paraId="207096BC" w14:textId="77777777" w:rsidTr="00BB18E9">
        <w:trPr>
          <w:cantSplit/>
          <w:trHeight w:val="293"/>
        </w:trPr>
        <w:tc>
          <w:tcPr>
            <w:tcW w:w="9930" w:type="dxa"/>
            <w:gridSpan w:val="8"/>
          </w:tcPr>
          <w:p w14:paraId="7D1EC4CB" w14:textId="77777777" w:rsidR="00854D59" w:rsidRPr="00854D59" w:rsidRDefault="00854D59" w:rsidP="00854D59">
            <w:pPr>
              <w:widowControl w:val="0"/>
              <w:autoSpaceDE w:val="0"/>
              <w:autoSpaceDN w:val="0"/>
              <w:adjustRightInd w:val="0"/>
              <w:jc w:val="center"/>
              <w:rPr>
                <w:i/>
                <w:snapToGrid w:val="0"/>
                <w:sz w:val="20"/>
                <w:szCs w:val="20"/>
              </w:rPr>
            </w:pPr>
            <w:r w:rsidRPr="00854D59">
              <w:rPr>
                <w:bCs/>
                <w:i/>
                <w:snapToGrid w:val="0"/>
                <w:sz w:val="20"/>
                <w:szCs w:val="20"/>
              </w:rPr>
              <w:t>(amounts in thousands, except common share information)</w:t>
            </w:r>
          </w:p>
        </w:tc>
      </w:tr>
      <w:tr w:rsidR="00854D59" w:rsidRPr="00854D59" w14:paraId="188413AC" w14:textId="77777777" w:rsidTr="00BB18E9">
        <w:trPr>
          <w:trHeight w:val="276"/>
        </w:trPr>
        <w:tc>
          <w:tcPr>
            <w:tcW w:w="1699" w:type="dxa"/>
            <w:gridSpan w:val="2"/>
          </w:tcPr>
          <w:p w14:paraId="1A536EDC" w14:textId="77777777" w:rsidR="00854D59" w:rsidRPr="00854D59" w:rsidRDefault="00854D59" w:rsidP="00854D59">
            <w:pPr>
              <w:widowControl w:val="0"/>
              <w:autoSpaceDE w:val="0"/>
              <w:autoSpaceDN w:val="0"/>
              <w:adjustRightInd w:val="0"/>
              <w:rPr>
                <w:snapToGrid w:val="0"/>
                <w:sz w:val="20"/>
                <w:szCs w:val="20"/>
              </w:rPr>
            </w:pPr>
          </w:p>
        </w:tc>
        <w:tc>
          <w:tcPr>
            <w:tcW w:w="2921" w:type="dxa"/>
          </w:tcPr>
          <w:p w14:paraId="0DD0A91E" w14:textId="77777777" w:rsidR="00854D59" w:rsidRPr="00854D59" w:rsidRDefault="00854D59" w:rsidP="00854D59">
            <w:pPr>
              <w:widowControl w:val="0"/>
              <w:autoSpaceDE w:val="0"/>
              <w:autoSpaceDN w:val="0"/>
              <w:adjustRightInd w:val="0"/>
              <w:jc w:val="right"/>
              <w:rPr>
                <w:snapToGrid w:val="0"/>
                <w:sz w:val="20"/>
                <w:szCs w:val="20"/>
              </w:rPr>
            </w:pPr>
          </w:p>
        </w:tc>
        <w:tc>
          <w:tcPr>
            <w:tcW w:w="478" w:type="dxa"/>
          </w:tcPr>
          <w:p w14:paraId="18F4AA69" w14:textId="77777777" w:rsidR="00854D59" w:rsidRPr="00854D59" w:rsidRDefault="00854D59" w:rsidP="00854D59">
            <w:pPr>
              <w:widowControl w:val="0"/>
              <w:autoSpaceDE w:val="0"/>
              <w:autoSpaceDN w:val="0"/>
              <w:adjustRightInd w:val="0"/>
              <w:jc w:val="right"/>
              <w:rPr>
                <w:snapToGrid w:val="0"/>
                <w:sz w:val="20"/>
                <w:szCs w:val="20"/>
              </w:rPr>
            </w:pPr>
          </w:p>
        </w:tc>
        <w:tc>
          <w:tcPr>
            <w:tcW w:w="1208" w:type="dxa"/>
          </w:tcPr>
          <w:p w14:paraId="7D3A2EB2" w14:textId="77777777" w:rsidR="00854D59" w:rsidRPr="00854D59" w:rsidRDefault="00854D59" w:rsidP="00854D59">
            <w:pPr>
              <w:widowControl w:val="0"/>
              <w:autoSpaceDE w:val="0"/>
              <w:autoSpaceDN w:val="0"/>
              <w:adjustRightInd w:val="0"/>
              <w:jc w:val="right"/>
              <w:rPr>
                <w:snapToGrid w:val="0"/>
                <w:sz w:val="20"/>
                <w:szCs w:val="20"/>
              </w:rPr>
            </w:pPr>
          </w:p>
        </w:tc>
        <w:tc>
          <w:tcPr>
            <w:tcW w:w="1208" w:type="dxa"/>
          </w:tcPr>
          <w:p w14:paraId="3C1E577A" w14:textId="77777777" w:rsidR="00854D59" w:rsidRPr="00854D59" w:rsidRDefault="00854D59" w:rsidP="00854D59">
            <w:pPr>
              <w:widowControl w:val="0"/>
              <w:autoSpaceDE w:val="0"/>
              <w:autoSpaceDN w:val="0"/>
              <w:adjustRightInd w:val="0"/>
              <w:jc w:val="right"/>
              <w:rPr>
                <w:snapToGrid w:val="0"/>
                <w:sz w:val="20"/>
                <w:szCs w:val="20"/>
              </w:rPr>
            </w:pPr>
          </w:p>
        </w:tc>
        <w:tc>
          <w:tcPr>
            <w:tcW w:w="2416" w:type="dxa"/>
            <w:gridSpan w:val="2"/>
            <w:tcBorders>
              <w:bottom w:val="single" w:sz="4" w:space="0" w:color="auto"/>
            </w:tcBorders>
          </w:tcPr>
          <w:p w14:paraId="730EC40D" w14:textId="77777777" w:rsidR="00854D59" w:rsidRPr="00854D59" w:rsidRDefault="00854D59" w:rsidP="00854D59">
            <w:pPr>
              <w:widowControl w:val="0"/>
              <w:autoSpaceDE w:val="0"/>
              <w:autoSpaceDN w:val="0"/>
              <w:adjustRightInd w:val="0"/>
              <w:jc w:val="center"/>
              <w:rPr>
                <w:snapToGrid w:val="0"/>
                <w:sz w:val="20"/>
                <w:szCs w:val="20"/>
              </w:rPr>
            </w:pPr>
            <w:r w:rsidRPr="00854D59">
              <w:rPr>
                <w:snapToGrid w:val="0"/>
                <w:sz w:val="20"/>
                <w:szCs w:val="20"/>
              </w:rPr>
              <w:t>December 31,</w:t>
            </w:r>
          </w:p>
        </w:tc>
      </w:tr>
      <w:tr w:rsidR="00854D59" w:rsidRPr="00854D59" w14:paraId="3640DF48" w14:textId="77777777" w:rsidTr="00BB18E9">
        <w:trPr>
          <w:trHeight w:val="276"/>
        </w:trPr>
        <w:tc>
          <w:tcPr>
            <w:tcW w:w="1699" w:type="dxa"/>
            <w:gridSpan w:val="2"/>
          </w:tcPr>
          <w:p w14:paraId="1DF36529" w14:textId="77777777" w:rsidR="00854D59" w:rsidRPr="00854D59" w:rsidRDefault="00854D59" w:rsidP="00854D59">
            <w:pPr>
              <w:widowControl w:val="0"/>
              <w:autoSpaceDE w:val="0"/>
              <w:autoSpaceDN w:val="0"/>
              <w:adjustRightInd w:val="0"/>
              <w:rPr>
                <w:snapToGrid w:val="0"/>
                <w:sz w:val="20"/>
                <w:szCs w:val="20"/>
              </w:rPr>
            </w:pPr>
          </w:p>
        </w:tc>
        <w:tc>
          <w:tcPr>
            <w:tcW w:w="2921" w:type="dxa"/>
          </w:tcPr>
          <w:p w14:paraId="1D7C87CD" w14:textId="77777777" w:rsidR="00854D59" w:rsidRPr="00854D59" w:rsidRDefault="00854D59" w:rsidP="00854D59">
            <w:pPr>
              <w:widowControl w:val="0"/>
              <w:autoSpaceDE w:val="0"/>
              <w:autoSpaceDN w:val="0"/>
              <w:adjustRightInd w:val="0"/>
              <w:jc w:val="right"/>
              <w:rPr>
                <w:snapToGrid w:val="0"/>
                <w:sz w:val="20"/>
                <w:szCs w:val="20"/>
              </w:rPr>
            </w:pPr>
          </w:p>
        </w:tc>
        <w:tc>
          <w:tcPr>
            <w:tcW w:w="478" w:type="dxa"/>
          </w:tcPr>
          <w:p w14:paraId="4D7275E6" w14:textId="77777777" w:rsidR="00854D59" w:rsidRPr="00854D59" w:rsidRDefault="00854D59" w:rsidP="00854D59">
            <w:pPr>
              <w:widowControl w:val="0"/>
              <w:autoSpaceDE w:val="0"/>
              <w:autoSpaceDN w:val="0"/>
              <w:adjustRightInd w:val="0"/>
              <w:jc w:val="right"/>
              <w:rPr>
                <w:snapToGrid w:val="0"/>
                <w:sz w:val="20"/>
                <w:szCs w:val="20"/>
              </w:rPr>
            </w:pPr>
          </w:p>
        </w:tc>
        <w:tc>
          <w:tcPr>
            <w:tcW w:w="1208" w:type="dxa"/>
          </w:tcPr>
          <w:p w14:paraId="3B21DBC3" w14:textId="77777777" w:rsidR="00854D59" w:rsidRPr="00854D59" w:rsidRDefault="00854D59" w:rsidP="00854D59">
            <w:pPr>
              <w:widowControl w:val="0"/>
              <w:autoSpaceDE w:val="0"/>
              <w:autoSpaceDN w:val="0"/>
              <w:adjustRightInd w:val="0"/>
              <w:jc w:val="right"/>
              <w:rPr>
                <w:snapToGrid w:val="0"/>
                <w:sz w:val="20"/>
                <w:szCs w:val="20"/>
              </w:rPr>
            </w:pPr>
          </w:p>
        </w:tc>
        <w:tc>
          <w:tcPr>
            <w:tcW w:w="1208" w:type="dxa"/>
          </w:tcPr>
          <w:p w14:paraId="1CF88E33" w14:textId="77777777" w:rsidR="00854D59" w:rsidRPr="00854D59" w:rsidRDefault="00854D59" w:rsidP="00854D59">
            <w:pPr>
              <w:widowControl w:val="0"/>
              <w:autoSpaceDE w:val="0"/>
              <w:autoSpaceDN w:val="0"/>
              <w:adjustRightInd w:val="0"/>
              <w:jc w:val="right"/>
              <w:rPr>
                <w:snapToGrid w:val="0"/>
                <w:sz w:val="20"/>
                <w:szCs w:val="20"/>
              </w:rPr>
            </w:pPr>
          </w:p>
        </w:tc>
        <w:tc>
          <w:tcPr>
            <w:tcW w:w="1208" w:type="dxa"/>
            <w:tcBorders>
              <w:bottom w:val="single" w:sz="4" w:space="0" w:color="auto"/>
            </w:tcBorders>
          </w:tcPr>
          <w:p w14:paraId="06740383" w14:textId="77777777" w:rsidR="00854D59" w:rsidRPr="00854D59" w:rsidRDefault="00854D59" w:rsidP="00854D59">
            <w:pPr>
              <w:widowControl w:val="0"/>
              <w:autoSpaceDE w:val="0"/>
              <w:autoSpaceDN w:val="0"/>
              <w:adjustRightInd w:val="0"/>
              <w:jc w:val="center"/>
              <w:rPr>
                <w:snapToGrid w:val="0"/>
                <w:sz w:val="20"/>
                <w:szCs w:val="20"/>
              </w:rPr>
            </w:pPr>
            <w:r w:rsidRPr="00854D59">
              <w:rPr>
                <w:snapToGrid w:val="0"/>
                <w:sz w:val="20"/>
                <w:szCs w:val="20"/>
              </w:rPr>
              <w:t>2022</w:t>
            </w:r>
          </w:p>
        </w:tc>
        <w:tc>
          <w:tcPr>
            <w:tcW w:w="1208" w:type="dxa"/>
            <w:tcBorders>
              <w:bottom w:val="single" w:sz="4" w:space="0" w:color="auto"/>
            </w:tcBorders>
          </w:tcPr>
          <w:p w14:paraId="2BB768EC" w14:textId="77777777" w:rsidR="00854D59" w:rsidRPr="00854D59" w:rsidRDefault="00854D59" w:rsidP="00854D59">
            <w:pPr>
              <w:widowControl w:val="0"/>
              <w:autoSpaceDE w:val="0"/>
              <w:autoSpaceDN w:val="0"/>
              <w:adjustRightInd w:val="0"/>
              <w:jc w:val="center"/>
              <w:rPr>
                <w:snapToGrid w:val="0"/>
                <w:sz w:val="20"/>
                <w:szCs w:val="20"/>
              </w:rPr>
            </w:pPr>
            <w:r w:rsidRPr="00854D59">
              <w:rPr>
                <w:snapToGrid w:val="0"/>
                <w:sz w:val="20"/>
                <w:szCs w:val="20"/>
              </w:rPr>
              <w:t>2021</w:t>
            </w:r>
          </w:p>
        </w:tc>
      </w:tr>
      <w:tr w:rsidR="00854D59" w:rsidRPr="00854D59" w14:paraId="065694B8" w14:textId="77777777" w:rsidTr="00BB18E9">
        <w:trPr>
          <w:trHeight w:val="276"/>
        </w:trPr>
        <w:tc>
          <w:tcPr>
            <w:tcW w:w="1699" w:type="dxa"/>
            <w:gridSpan w:val="2"/>
          </w:tcPr>
          <w:p w14:paraId="71C293D0" w14:textId="77777777" w:rsidR="00854D59" w:rsidRPr="00854D59" w:rsidRDefault="00854D59" w:rsidP="00854D59">
            <w:pPr>
              <w:widowControl w:val="0"/>
              <w:autoSpaceDE w:val="0"/>
              <w:autoSpaceDN w:val="0"/>
              <w:adjustRightInd w:val="0"/>
              <w:rPr>
                <w:snapToGrid w:val="0"/>
                <w:sz w:val="20"/>
                <w:szCs w:val="20"/>
              </w:rPr>
            </w:pPr>
            <w:r w:rsidRPr="00854D59">
              <w:rPr>
                <w:snapToGrid w:val="0"/>
                <w:sz w:val="20"/>
                <w:szCs w:val="20"/>
              </w:rPr>
              <w:t>Assets:</w:t>
            </w:r>
          </w:p>
        </w:tc>
        <w:tc>
          <w:tcPr>
            <w:tcW w:w="2921" w:type="dxa"/>
          </w:tcPr>
          <w:p w14:paraId="50AD776A" w14:textId="77777777" w:rsidR="00854D59" w:rsidRPr="00854D59" w:rsidRDefault="00854D59" w:rsidP="00854D59">
            <w:pPr>
              <w:widowControl w:val="0"/>
              <w:autoSpaceDE w:val="0"/>
              <w:autoSpaceDN w:val="0"/>
              <w:adjustRightInd w:val="0"/>
              <w:jc w:val="right"/>
              <w:rPr>
                <w:snapToGrid w:val="0"/>
                <w:sz w:val="20"/>
                <w:szCs w:val="20"/>
              </w:rPr>
            </w:pPr>
          </w:p>
        </w:tc>
        <w:tc>
          <w:tcPr>
            <w:tcW w:w="478" w:type="dxa"/>
          </w:tcPr>
          <w:p w14:paraId="29CB0A3B" w14:textId="77777777" w:rsidR="00854D59" w:rsidRPr="00854D59" w:rsidRDefault="00854D59" w:rsidP="00854D59">
            <w:pPr>
              <w:widowControl w:val="0"/>
              <w:autoSpaceDE w:val="0"/>
              <w:autoSpaceDN w:val="0"/>
              <w:adjustRightInd w:val="0"/>
              <w:jc w:val="right"/>
              <w:rPr>
                <w:snapToGrid w:val="0"/>
                <w:sz w:val="20"/>
                <w:szCs w:val="20"/>
              </w:rPr>
            </w:pPr>
          </w:p>
        </w:tc>
        <w:tc>
          <w:tcPr>
            <w:tcW w:w="1208" w:type="dxa"/>
          </w:tcPr>
          <w:p w14:paraId="6D544269" w14:textId="77777777" w:rsidR="00854D59" w:rsidRPr="00854D59" w:rsidRDefault="00854D59" w:rsidP="00854D59">
            <w:pPr>
              <w:widowControl w:val="0"/>
              <w:autoSpaceDE w:val="0"/>
              <w:autoSpaceDN w:val="0"/>
              <w:adjustRightInd w:val="0"/>
              <w:jc w:val="right"/>
              <w:rPr>
                <w:snapToGrid w:val="0"/>
                <w:sz w:val="20"/>
                <w:szCs w:val="20"/>
              </w:rPr>
            </w:pPr>
          </w:p>
        </w:tc>
        <w:tc>
          <w:tcPr>
            <w:tcW w:w="1208" w:type="dxa"/>
          </w:tcPr>
          <w:p w14:paraId="5484B333" w14:textId="77777777" w:rsidR="00854D59" w:rsidRPr="00854D59" w:rsidRDefault="00854D59" w:rsidP="00854D59">
            <w:pPr>
              <w:widowControl w:val="0"/>
              <w:autoSpaceDE w:val="0"/>
              <w:autoSpaceDN w:val="0"/>
              <w:adjustRightInd w:val="0"/>
              <w:jc w:val="right"/>
              <w:rPr>
                <w:snapToGrid w:val="0"/>
                <w:sz w:val="20"/>
                <w:szCs w:val="20"/>
              </w:rPr>
            </w:pPr>
          </w:p>
        </w:tc>
        <w:tc>
          <w:tcPr>
            <w:tcW w:w="1208" w:type="dxa"/>
          </w:tcPr>
          <w:p w14:paraId="01DB8B84" w14:textId="77777777" w:rsidR="00854D59" w:rsidRPr="00854D59" w:rsidRDefault="00854D59" w:rsidP="00854D59">
            <w:pPr>
              <w:widowControl w:val="0"/>
              <w:autoSpaceDE w:val="0"/>
              <w:autoSpaceDN w:val="0"/>
              <w:adjustRightInd w:val="0"/>
              <w:jc w:val="right"/>
              <w:rPr>
                <w:snapToGrid w:val="0"/>
                <w:sz w:val="20"/>
                <w:szCs w:val="20"/>
              </w:rPr>
            </w:pPr>
          </w:p>
        </w:tc>
        <w:tc>
          <w:tcPr>
            <w:tcW w:w="1208" w:type="dxa"/>
            <w:tcBorders>
              <w:top w:val="single" w:sz="4" w:space="0" w:color="auto"/>
            </w:tcBorders>
          </w:tcPr>
          <w:p w14:paraId="5E83EE37" w14:textId="77777777" w:rsidR="00854D59" w:rsidRPr="00854D59" w:rsidRDefault="00854D59" w:rsidP="00854D59">
            <w:pPr>
              <w:widowControl w:val="0"/>
              <w:autoSpaceDE w:val="0"/>
              <w:autoSpaceDN w:val="0"/>
              <w:adjustRightInd w:val="0"/>
              <w:jc w:val="right"/>
              <w:rPr>
                <w:snapToGrid w:val="0"/>
                <w:sz w:val="20"/>
                <w:szCs w:val="20"/>
              </w:rPr>
            </w:pPr>
          </w:p>
        </w:tc>
      </w:tr>
      <w:tr w:rsidR="00854D59" w:rsidRPr="00854D59" w14:paraId="73541A49" w14:textId="77777777" w:rsidTr="00BB18E9">
        <w:trPr>
          <w:trHeight w:val="276"/>
        </w:trPr>
        <w:tc>
          <w:tcPr>
            <w:tcW w:w="237" w:type="dxa"/>
          </w:tcPr>
          <w:p w14:paraId="42940E11" w14:textId="77777777" w:rsidR="00854D59" w:rsidRPr="00854D59" w:rsidRDefault="00854D59" w:rsidP="00854D59">
            <w:pPr>
              <w:widowControl w:val="0"/>
              <w:autoSpaceDE w:val="0"/>
              <w:autoSpaceDN w:val="0"/>
              <w:adjustRightInd w:val="0"/>
              <w:jc w:val="right"/>
              <w:rPr>
                <w:snapToGrid w:val="0"/>
                <w:sz w:val="20"/>
                <w:szCs w:val="20"/>
              </w:rPr>
            </w:pPr>
          </w:p>
        </w:tc>
        <w:tc>
          <w:tcPr>
            <w:tcW w:w="4383" w:type="dxa"/>
            <w:gridSpan w:val="2"/>
          </w:tcPr>
          <w:p w14:paraId="44EC76FF" w14:textId="77777777" w:rsidR="00854D59" w:rsidRPr="00854D59" w:rsidRDefault="00854D59" w:rsidP="00854D59">
            <w:pPr>
              <w:widowControl w:val="0"/>
              <w:autoSpaceDE w:val="0"/>
              <w:autoSpaceDN w:val="0"/>
              <w:adjustRightInd w:val="0"/>
              <w:rPr>
                <w:snapToGrid w:val="0"/>
                <w:sz w:val="20"/>
                <w:szCs w:val="20"/>
              </w:rPr>
            </w:pPr>
            <w:r w:rsidRPr="00854D59">
              <w:rPr>
                <w:snapToGrid w:val="0"/>
                <w:sz w:val="20"/>
                <w:szCs w:val="20"/>
              </w:rPr>
              <w:t>Cash and cash equivalents</w:t>
            </w:r>
          </w:p>
        </w:tc>
        <w:tc>
          <w:tcPr>
            <w:tcW w:w="478" w:type="dxa"/>
          </w:tcPr>
          <w:p w14:paraId="3E9DDFCA" w14:textId="77777777" w:rsidR="00854D59" w:rsidRPr="00854D59" w:rsidRDefault="00854D59" w:rsidP="00854D59">
            <w:pPr>
              <w:widowControl w:val="0"/>
              <w:autoSpaceDE w:val="0"/>
              <w:autoSpaceDN w:val="0"/>
              <w:adjustRightInd w:val="0"/>
              <w:jc w:val="right"/>
              <w:rPr>
                <w:snapToGrid w:val="0"/>
                <w:sz w:val="20"/>
                <w:szCs w:val="20"/>
              </w:rPr>
            </w:pPr>
          </w:p>
        </w:tc>
        <w:tc>
          <w:tcPr>
            <w:tcW w:w="1208" w:type="dxa"/>
          </w:tcPr>
          <w:p w14:paraId="499F2957" w14:textId="77777777" w:rsidR="00854D59" w:rsidRPr="00854D59" w:rsidRDefault="00854D59" w:rsidP="00854D59">
            <w:pPr>
              <w:widowControl w:val="0"/>
              <w:tabs>
                <w:tab w:val="left" w:pos="150"/>
                <w:tab w:val="decimal" w:pos="960"/>
              </w:tabs>
              <w:autoSpaceDE w:val="0"/>
              <w:autoSpaceDN w:val="0"/>
              <w:adjustRightInd w:val="0"/>
              <w:rPr>
                <w:snapToGrid w:val="0"/>
                <w:sz w:val="20"/>
                <w:szCs w:val="20"/>
              </w:rPr>
            </w:pPr>
          </w:p>
        </w:tc>
        <w:tc>
          <w:tcPr>
            <w:tcW w:w="1208" w:type="dxa"/>
          </w:tcPr>
          <w:p w14:paraId="7A01CA17" w14:textId="77777777" w:rsidR="00854D59" w:rsidRPr="00854D59" w:rsidRDefault="00854D59" w:rsidP="00854D59">
            <w:pPr>
              <w:widowControl w:val="0"/>
              <w:tabs>
                <w:tab w:val="left" w:pos="180"/>
                <w:tab w:val="decimal" w:pos="910"/>
              </w:tabs>
              <w:autoSpaceDE w:val="0"/>
              <w:autoSpaceDN w:val="0"/>
              <w:adjustRightInd w:val="0"/>
              <w:rPr>
                <w:snapToGrid w:val="0"/>
                <w:sz w:val="20"/>
                <w:szCs w:val="20"/>
              </w:rPr>
            </w:pPr>
          </w:p>
        </w:tc>
        <w:tc>
          <w:tcPr>
            <w:tcW w:w="1208" w:type="dxa"/>
          </w:tcPr>
          <w:p w14:paraId="31B2CC3E" w14:textId="77777777" w:rsidR="00854D59" w:rsidRPr="00854D59" w:rsidRDefault="00854D59" w:rsidP="00854D59">
            <w:pPr>
              <w:widowControl w:val="0"/>
              <w:tabs>
                <w:tab w:val="left" w:pos="165"/>
                <w:tab w:val="decimal" w:pos="960"/>
              </w:tabs>
              <w:autoSpaceDE w:val="0"/>
              <w:autoSpaceDN w:val="0"/>
              <w:adjustRightInd w:val="0"/>
              <w:jc w:val="right"/>
              <w:rPr>
                <w:snapToGrid w:val="0"/>
                <w:sz w:val="20"/>
                <w:szCs w:val="20"/>
              </w:rPr>
            </w:pPr>
            <w:r w:rsidRPr="00854D59">
              <w:rPr>
                <w:snapToGrid w:val="0"/>
                <w:sz w:val="20"/>
                <w:szCs w:val="20"/>
              </w:rPr>
              <w:t>$</w:t>
            </w:r>
            <w:r w:rsidRPr="00854D59">
              <w:rPr>
                <w:snapToGrid w:val="0"/>
                <w:sz w:val="20"/>
                <w:szCs w:val="20"/>
              </w:rPr>
              <w:tab/>
            </w:r>
            <w:r w:rsidRPr="00854D59">
              <w:rPr>
                <w:snapToGrid w:val="0"/>
                <w:sz w:val="20"/>
                <w:szCs w:val="20"/>
              </w:rPr>
              <w:tab/>
              <w:t>27,613</w:t>
            </w:r>
          </w:p>
        </w:tc>
        <w:tc>
          <w:tcPr>
            <w:tcW w:w="1208" w:type="dxa"/>
          </w:tcPr>
          <w:p w14:paraId="335231FA" w14:textId="77777777" w:rsidR="00854D59" w:rsidRPr="00854D59" w:rsidRDefault="00854D59" w:rsidP="00854D59">
            <w:pPr>
              <w:widowControl w:val="0"/>
              <w:tabs>
                <w:tab w:val="left" w:pos="150"/>
                <w:tab w:val="decimal" w:pos="1005"/>
              </w:tabs>
              <w:autoSpaceDE w:val="0"/>
              <w:autoSpaceDN w:val="0"/>
              <w:adjustRightInd w:val="0"/>
              <w:jc w:val="right"/>
              <w:rPr>
                <w:snapToGrid w:val="0"/>
                <w:sz w:val="20"/>
                <w:szCs w:val="20"/>
              </w:rPr>
            </w:pPr>
            <w:r w:rsidRPr="00854D59">
              <w:rPr>
                <w:snapToGrid w:val="0"/>
                <w:sz w:val="20"/>
                <w:szCs w:val="20"/>
              </w:rPr>
              <w:t>$</w:t>
            </w:r>
            <w:r w:rsidRPr="00854D59">
              <w:rPr>
                <w:snapToGrid w:val="0"/>
                <w:sz w:val="20"/>
                <w:szCs w:val="20"/>
              </w:rPr>
              <w:tab/>
            </w:r>
            <w:r w:rsidRPr="00854D59">
              <w:rPr>
                <w:snapToGrid w:val="0"/>
                <w:sz w:val="20"/>
                <w:szCs w:val="20"/>
              </w:rPr>
              <w:tab/>
              <w:t>11,424</w:t>
            </w:r>
          </w:p>
        </w:tc>
      </w:tr>
      <w:tr w:rsidR="00854D59" w:rsidRPr="00854D59" w14:paraId="30DFA1DF" w14:textId="77777777" w:rsidTr="00BB18E9">
        <w:trPr>
          <w:trHeight w:val="276"/>
        </w:trPr>
        <w:tc>
          <w:tcPr>
            <w:tcW w:w="237" w:type="dxa"/>
          </w:tcPr>
          <w:p w14:paraId="7C8153E2" w14:textId="77777777" w:rsidR="00854D59" w:rsidRPr="00854D59" w:rsidRDefault="00854D59" w:rsidP="00854D59">
            <w:pPr>
              <w:widowControl w:val="0"/>
              <w:autoSpaceDE w:val="0"/>
              <w:autoSpaceDN w:val="0"/>
              <w:adjustRightInd w:val="0"/>
              <w:jc w:val="right"/>
              <w:rPr>
                <w:snapToGrid w:val="0"/>
                <w:sz w:val="20"/>
                <w:szCs w:val="20"/>
              </w:rPr>
            </w:pPr>
          </w:p>
        </w:tc>
        <w:tc>
          <w:tcPr>
            <w:tcW w:w="4383" w:type="dxa"/>
            <w:gridSpan w:val="2"/>
          </w:tcPr>
          <w:p w14:paraId="087BFE90" w14:textId="77777777" w:rsidR="00854D59" w:rsidRPr="00854D59" w:rsidRDefault="00854D59" w:rsidP="00854D59">
            <w:pPr>
              <w:widowControl w:val="0"/>
              <w:autoSpaceDE w:val="0"/>
              <w:autoSpaceDN w:val="0"/>
              <w:adjustRightInd w:val="0"/>
              <w:rPr>
                <w:snapToGrid w:val="0"/>
                <w:sz w:val="20"/>
                <w:szCs w:val="20"/>
              </w:rPr>
            </w:pPr>
            <w:r w:rsidRPr="00854D59">
              <w:rPr>
                <w:snapToGrid w:val="0"/>
                <w:sz w:val="20"/>
                <w:szCs w:val="20"/>
              </w:rPr>
              <w:t>Other current assets</w:t>
            </w:r>
          </w:p>
        </w:tc>
        <w:tc>
          <w:tcPr>
            <w:tcW w:w="478" w:type="dxa"/>
          </w:tcPr>
          <w:p w14:paraId="17E19EBA" w14:textId="77777777" w:rsidR="00854D59" w:rsidRPr="00854D59" w:rsidRDefault="00854D59" w:rsidP="00854D59">
            <w:pPr>
              <w:widowControl w:val="0"/>
              <w:autoSpaceDE w:val="0"/>
              <w:autoSpaceDN w:val="0"/>
              <w:adjustRightInd w:val="0"/>
              <w:jc w:val="right"/>
              <w:rPr>
                <w:snapToGrid w:val="0"/>
                <w:sz w:val="20"/>
                <w:szCs w:val="20"/>
              </w:rPr>
            </w:pPr>
          </w:p>
        </w:tc>
        <w:tc>
          <w:tcPr>
            <w:tcW w:w="1208" w:type="dxa"/>
          </w:tcPr>
          <w:p w14:paraId="4592F2D4" w14:textId="77777777" w:rsidR="00854D59" w:rsidRPr="00854D59" w:rsidRDefault="00854D59" w:rsidP="00854D59">
            <w:pPr>
              <w:widowControl w:val="0"/>
              <w:autoSpaceDE w:val="0"/>
              <w:autoSpaceDN w:val="0"/>
              <w:adjustRightInd w:val="0"/>
              <w:rPr>
                <w:snapToGrid w:val="0"/>
                <w:sz w:val="20"/>
                <w:szCs w:val="20"/>
              </w:rPr>
            </w:pPr>
          </w:p>
        </w:tc>
        <w:tc>
          <w:tcPr>
            <w:tcW w:w="1208" w:type="dxa"/>
          </w:tcPr>
          <w:p w14:paraId="317A7DC4" w14:textId="77777777" w:rsidR="00854D59" w:rsidRPr="00854D59" w:rsidRDefault="00854D59" w:rsidP="00854D59">
            <w:pPr>
              <w:widowControl w:val="0"/>
              <w:autoSpaceDE w:val="0"/>
              <w:autoSpaceDN w:val="0"/>
              <w:adjustRightInd w:val="0"/>
              <w:rPr>
                <w:snapToGrid w:val="0"/>
                <w:sz w:val="20"/>
                <w:szCs w:val="20"/>
              </w:rPr>
            </w:pPr>
          </w:p>
        </w:tc>
        <w:tc>
          <w:tcPr>
            <w:tcW w:w="1208" w:type="dxa"/>
            <w:tcBorders>
              <w:bottom w:val="single" w:sz="4" w:space="0" w:color="auto"/>
            </w:tcBorders>
          </w:tcPr>
          <w:p w14:paraId="43379E5F" w14:textId="77777777" w:rsidR="00854D59" w:rsidRPr="00854D59" w:rsidRDefault="00854D59" w:rsidP="00854D59">
            <w:pPr>
              <w:widowControl w:val="0"/>
              <w:tabs>
                <w:tab w:val="decimal" w:pos="960"/>
              </w:tabs>
              <w:autoSpaceDE w:val="0"/>
              <w:autoSpaceDN w:val="0"/>
              <w:adjustRightInd w:val="0"/>
              <w:jc w:val="right"/>
              <w:rPr>
                <w:snapToGrid w:val="0"/>
                <w:sz w:val="20"/>
                <w:szCs w:val="20"/>
              </w:rPr>
            </w:pPr>
            <w:r w:rsidRPr="00854D59">
              <w:rPr>
                <w:snapToGrid w:val="0"/>
                <w:sz w:val="20"/>
                <w:szCs w:val="20"/>
              </w:rPr>
              <w:t>1,326</w:t>
            </w:r>
          </w:p>
        </w:tc>
        <w:tc>
          <w:tcPr>
            <w:tcW w:w="1208" w:type="dxa"/>
            <w:tcBorders>
              <w:bottom w:val="single" w:sz="4" w:space="0" w:color="auto"/>
            </w:tcBorders>
          </w:tcPr>
          <w:p w14:paraId="47C37801" w14:textId="77777777" w:rsidR="00854D59" w:rsidRPr="00854D59" w:rsidRDefault="00854D59" w:rsidP="00854D59">
            <w:pPr>
              <w:widowControl w:val="0"/>
              <w:tabs>
                <w:tab w:val="decimal" w:pos="1005"/>
              </w:tabs>
              <w:autoSpaceDE w:val="0"/>
              <w:autoSpaceDN w:val="0"/>
              <w:adjustRightInd w:val="0"/>
              <w:jc w:val="right"/>
              <w:rPr>
                <w:snapToGrid w:val="0"/>
                <w:sz w:val="20"/>
                <w:szCs w:val="20"/>
              </w:rPr>
            </w:pPr>
            <w:r w:rsidRPr="00854D59">
              <w:rPr>
                <w:snapToGrid w:val="0"/>
                <w:sz w:val="20"/>
                <w:szCs w:val="20"/>
              </w:rPr>
              <w:t>205</w:t>
            </w:r>
          </w:p>
        </w:tc>
      </w:tr>
      <w:tr w:rsidR="00854D59" w:rsidRPr="00854D59" w14:paraId="569CE049" w14:textId="77777777" w:rsidTr="00BB18E9">
        <w:trPr>
          <w:trHeight w:val="276"/>
        </w:trPr>
        <w:tc>
          <w:tcPr>
            <w:tcW w:w="237" w:type="dxa"/>
          </w:tcPr>
          <w:p w14:paraId="0E51A3E2" w14:textId="77777777" w:rsidR="00854D59" w:rsidRPr="00854D59" w:rsidRDefault="00854D59" w:rsidP="00854D59">
            <w:pPr>
              <w:widowControl w:val="0"/>
              <w:autoSpaceDE w:val="0"/>
              <w:autoSpaceDN w:val="0"/>
              <w:adjustRightInd w:val="0"/>
              <w:jc w:val="right"/>
              <w:rPr>
                <w:snapToGrid w:val="0"/>
                <w:sz w:val="20"/>
                <w:szCs w:val="20"/>
              </w:rPr>
            </w:pPr>
          </w:p>
        </w:tc>
        <w:tc>
          <w:tcPr>
            <w:tcW w:w="4383" w:type="dxa"/>
            <w:gridSpan w:val="2"/>
          </w:tcPr>
          <w:p w14:paraId="6D08CD98" w14:textId="77777777" w:rsidR="00854D59" w:rsidRPr="00854D59" w:rsidRDefault="00854D59" w:rsidP="00854D59">
            <w:pPr>
              <w:widowControl w:val="0"/>
              <w:autoSpaceDE w:val="0"/>
              <w:autoSpaceDN w:val="0"/>
              <w:adjustRightInd w:val="0"/>
              <w:rPr>
                <w:snapToGrid w:val="0"/>
                <w:sz w:val="20"/>
                <w:szCs w:val="20"/>
              </w:rPr>
            </w:pPr>
            <w:r w:rsidRPr="00854D59">
              <w:rPr>
                <w:snapToGrid w:val="0"/>
                <w:sz w:val="20"/>
                <w:szCs w:val="20"/>
              </w:rPr>
              <w:t>Total current assets</w:t>
            </w:r>
          </w:p>
        </w:tc>
        <w:tc>
          <w:tcPr>
            <w:tcW w:w="478" w:type="dxa"/>
          </w:tcPr>
          <w:p w14:paraId="05C43EC7" w14:textId="77777777" w:rsidR="00854D59" w:rsidRPr="00854D59" w:rsidRDefault="00854D59" w:rsidP="00854D59">
            <w:pPr>
              <w:widowControl w:val="0"/>
              <w:autoSpaceDE w:val="0"/>
              <w:autoSpaceDN w:val="0"/>
              <w:adjustRightInd w:val="0"/>
              <w:jc w:val="right"/>
              <w:rPr>
                <w:snapToGrid w:val="0"/>
                <w:sz w:val="20"/>
                <w:szCs w:val="20"/>
              </w:rPr>
            </w:pPr>
          </w:p>
        </w:tc>
        <w:tc>
          <w:tcPr>
            <w:tcW w:w="1208" w:type="dxa"/>
          </w:tcPr>
          <w:p w14:paraId="54A903D3" w14:textId="77777777" w:rsidR="00854D59" w:rsidRPr="00854D59" w:rsidRDefault="00854D59" w:rsidP="00854D59">
            <w:pPr>
              <w:widowControl w:val="0"/>
              <w:autoSpaceDE w:val="0"/>
              <w:autoSpaceDN w:val="0"/>
              <w:adjustRightInd w:val="0"/>
              <w:jc w:val="right"/>
              <w:rPr>
                <w:snapToGrid w:val="0"/>
                <w:sz w:val="20"/>
                <w:szCs w:val="20"/>
              </w:rPr>
            </w:pPr>
          </w:p>
        </w:tc>
        <w:tc>
          <w:tcPr>
            <w:tcW w:w="1208" w:type="dxa"/>
          </w:tcPr>
          <w:p w14:paraId="7304A3F2" w14:textId="77777777" w:rsidR="00854D59" w:rsidRPr="00854D59" w:rsidRDefault="00854D59" w:rsidP="00854D59">
            <w:pPr>
              <w:widowControl w:val="0"/>
              <w:autoSpaceDE w:val="0"/>
              <w:autoSpaceDN w:val="0"/>
              <w:adjustRightInd w:val="0"/>
              <w:jc w:val="right"/>
              <w:rPr>
                <w:snapToGrid w:val="0"/>
                <w:sz w:val="20"/>
                <w:szCs w:val="20"/>
              </w:rPr>
            </w:pPr>
          </w:p>
        </w:tc>
        <w:tc>
          <w:tcPr>
            <w:tcW w:w="1208" w:type="dxa"/>
            <w:tcBorders>
              <w:top w:val="single" w:sz="4" w:space="0" w:color="auto"/>
            </w:tcBorders>
          </w:tcPr>
          <w:p w14:paraId="14126324" w14:textId="77777777" w:rsidR="00854D59" w:rsidRPr="00854D59" w:rsidRDefault="00854D59" w:rsidP="00854D59">
            <w:pPr>
              <w:widowControl w:val="0"/>
              <w:tabs>
                <w:tab w:val="left" w:pos="150"/>
                <w:tab w:val="decimal" w:pos="960"/>
              </w:tabs>
              <w:autoSpaceDE w:val="0"/>
              <w:autoSpaceDN w:val="0"/>
              <w:adjustRightInd w:val="0"/>
              <w:jc w:val="right"/>
              <w:rPr>
                <w:snapToGrid w:val="0"/>
                <w:sz w:val="20"/>
                <w:szCs w:val="20"/>
              </w:rPr>
            </w:pPr>
            <w:r w:rsidRPr="00854D59">
              <w:rPr>
                <w:snapToGrid w:val="0"/>
                <w:sz w:val="20"/>
                <w:szCs w:val="20"/>
              </w:rPr>
              <w:tab/>
            </w:r>
            <w:r w:rsidRPr="00854D59">
              <w:rPr>
                <w:snapToGrid w:val="0"/>
                <w:sz w:val="20"/>
                <w:szCs w:val="20"/>
              </w:rPr>
              <w:tab/>
              <w:t>28,939</w:t>
            </w:r>
          </w:p>
        </w:tc>
        <w:tc>
          <w:tcPr>
            <w:tcW w:w="1208" w:type="dxa"/>
            <w:tcBorders>
              <w:top w:val="single" w:sz="4" w:space="0" w:color="auto"/>
            </w:tcBorders>
          </w:tcPr>
          <w:p w14:paraId="20722908" w14:textId="77777777" w:rsidR="00854D59" w:rsidRPr="00854D59" w:rsidRDefault="00854D59" w:rsidP="00854D59">
            <w:pPr>
              <w:widowControl w:val="0"/>
              <w:tabs>
                <w:tab w:val="left" w:pos="195"/>
                <w:tab w:val="decimal" w:pos="1005"/>
              </w:tabs>
              <w:autoSpaceDE w:val="0"/>
              <w:autoSpaceDN w:val="0"/>
              <w:adjustRightInd w:val="0"/>
              <w:jc w:val="right"/>
              <w:rPr>
                <w:snapToGrid w:val="0"/>
                <w:sz w:val="20"/>
                <w:szCs w:val="20"/>
              </w:rPr>
            </w:pPr>
            <w:r w:rsidRPr="00854D59">
              <w:rPr>
                <w:snapToGrid w:val="0"/>
                <w:sz w:val="20"/>
                <w:szCs w:val="20"/>
              </w:rPr>
              <w:tab/>
            </w:r>
            <w:r w:rsidRPr="00854D59">
              <w:rPr>
                <w:snapToGrid w:val="0"/>
                <w:sz w:val="20"/>
                <w:szCs w:val="20"/>
              </w:rPr>
              <w:tab/>
              <w:t>11,629</w:t>
            </w:r>
          </w:p>
        </w:tc>
      </w:tr>
      <w:tr w:rsidR="00854D59" w:rsidRPr="00854D59" w14:paraId="35BF79CD" w14:textId="77777777" w:rsidTr="00BB18E9">
        <w:trPr>
          <w:trHeight w:val="276"/>
        </w:trPr>
        <w:tc>
          <w:tcPr>
            <w:tcW w:w="237" w:type="dxa"/>
          </w:tcPr>
          <w:p w14:paraId="5B553C31" w14:textId="77777777" w:rsidR="00854D59" w:rsidRPr="00854D59" w:rsidRDefault="00854D59" w:rsidP="00854D59">
            <w:pPr>
              <w:widowControl w:val="0"/>
              <w:autoSpaceDE w:val="0"/>
              <w:autoSpaceDN w:val="0"/>
              <w:adjustRightInd w:val="0"/>
              <w:jc w:val="right"/>
              <w:rPr>
                <w:snapToGrid w:val="0"/>
                <w:sz w:val="20"/>
                <w:szCs w:val="20"/>
              </w:rPr>
            </w:pPr>
          </w:p>
        </w:tc>
        <w:tc>
          <w:tcPr>
            <w:tcW w:w="4383" w:type="dxa"/>
            <w:gridSpan w:val="2"/>
          </w:tcPr>
          <w:p w14:paraId="6FF2FE50" w14:textId="77777777" w:rsidR="00854D59" w:rsidRPr="00854D59" w:rsidRDefault="00854D59" w:rsidP="00854D59">
            <w:pPr>
              <w:widowControl w:val="0"/>
              <w:autoSpaceDE w:val="0"/>
              <w:autoSpaceDN w:val="0"/>
              <w:adjustRightInd w:val="0"/>
              <w:rPr>
                <w:snapToGrid w:val="0"/>
                <w:sz w:val="20"/>
                <w:szCs w:val="20"/>
              </w:rPr>
            </w:pPr>
            <w:r w:rsidRPr="00854D59">
              <w:rPr>
                <w:snapToGrid w:val="0"/>
                <w:sz w:val="20"/>
                <w:szCs w:val="20"/>
              </w:rPr>
              <w:t>Property and other assets</w:t>
            </w:r>
          </w:p>
        </w:tc>
        <w:tc>
          <w:tcPr>
            <w:tcW w:w="478" w:type="dxa"/>
          </w:tcPr>
          <w:p w14:paraId="58132D16" w14:textId="77777777" w:rsidR="00854D59" w:rsidRPr="00854D59" w:rsidRDefault="00854D59" w:rsidP="00854D59">
            <w:pPr>
              <w:widowControl w:val="0"/>
              <w:autoSpaceDE w:val="0"/>
              <w:autoSpaceDN w:val="0"/>
              <w:adjustRightInd w:val="0"/>
              <w:jc w:val="right"/>
              <w:rPr>
                <w:snapToGrid w:val="0"/>
                <w:sz w:val="20"/>
                <w:szCs w:val="20"/>
              </w:rPr>
            </w:pPr>
          </w:p>
        </w:tc>
        <w:tc>
          <w:tcPr>
            <w:tcW w:w="1208" w:type="dxa"/>
          </w:tcPr>
          <w:p w14:paraId="72B57FBA" w14:textId="77777777" w:rsidR="00854D59" w:rsidRPr="00854D59" w:rsidRDefault="00854D59" w:rsidP="00854D59">
            <w:pPr>
              <w:widowControl w:val="0"/>
              <w:autoSpaceDE w:val="0"/>
              <w:autoSpaceDN w:val="0"/>
              <w:adjustRightInd w:val="0"/>
              <w:jc w:val="right"/>
              <w:rPr>
                <w:snapToGrid w:val="0"/>
                <w:sz w:val="20"/>
                <w:szCs w:val="20"/>
              </w:rPr>
            </w:pPr>
          </w:p>
        </w:tc>
        <w:tc>
          <w:tcPr>
            <w:tcW w:w="1208" w:type="dxa"/>
          </w:tcPr>
          <w:p w14:paraId="37F20180" w14:textId="77777777" w:rsidR="00854D59" w:rsidRPr="00854D59" w:rsidRDefault="00854D59" w:rsidP="00854D59">
            <w:pPr>
              <w:widowControl w:val="0"/>
              <w:autoSpaceDE w:val="0"/>
              <w:autoSpaceDN w:val="0"/>
              <w:adjustRightInd w:val="0"/>
              <w:jc w:val="right"/>
              <w:rPr>
                <w:snapToGrid w:val="0"/>
                <w:sz w:val="20"/>
                <w:szCs w:val="20"/>
              </w:rPr>
            </w:pPr>
          </w:p>
        </w:tc>
        <w:tc>
          <w:tcPr>
            <w:tcW w:w="1208" w:type="dxa"/>
            <w:tcBorders>
              <w:bottom w:val="single" w:sz="4" w:space="0" w:color="auto"/>
            </w:tcBorders>
          </w:tcPr>
          <w:p w14:paraId="5A3059F3" w14:textId="77777777" w:rsidR="00854D59" w:rsidRPr="00854D59" w:rsidRDefault="00854D59" w:rsidP="00854D59">
            <w:pPr>
              <w:widowControl w:val="0"/>
              <w:tabs>
                <w:tab w:val="left" w:pos="150"/>
                <w:tab w:val="decimal" w:pos="960"/>
              </w:tabs>
              <w:autoSpaceDE w:val="0"/>
              <w:autoSpaceDN w:val="0"/>
              <w:adjustRightInd w:val="0"/>
              <w:jc w:val="right"/>
              <w:rPr>
                <w:snapToGrid w:val="0"/>
                <w:sz w:val="20"/>
                <w:szCs w:val="20"/>
              </w:rPr>
            </w:pPr>
            <w:r w:rsidRPr="00854D59">
              <w:rPr>
                <w:snapToGrid w:val="0"/>
                <w:sz w:val="20"/>
                <w:szCs w:val="20"/>
              </w:rPr>
              <w:t>2,409</w:t>
            </w:r>
          </w:p>
        </w:tc>
        <w:tc>
          <w:tcPr>
            <w:tcW w:w="1208" w:type="dxa"/>
            <w:tcBorders>
              <w:bottom w:val="single" w:sz="4" w:space="0" w:color="auto"/>
            </w:tcBorders>
          </w:tcPr>
          <w:p w14:paraId="0BF79FF0" w14:textId="77777777" w:rsidR="00854D59" w:rsidRPr="00854D59" w:rsidRDefault="00854D59" w:rsidP="00854D59">
            <w:pPr>
              <w:widowControl w:val="0"/>
              <w:tabs>
                <w:tab w:val="left" w:pos="195"/>
                <w:tab w:val="decimal" w:pos="1005"/>
              </w:tabs>
              <w:autoSpaceDE w:val="0"/>
              <w:autoSpaceDN w:val="0"/>
              <w:adjustRightInd w:val="0"/>
              <w:jc w:val="right"/>
              <w:rPr>
                <w:snapToGrid w:val="0"/>
                <w:sz w:val="20"/>
                <w:szCs w:val="20"/>
              </w:rPr>
            </w:pPr>
            <w:r w:rsidRPr="00854D59">
              <w:rPr>
                <w:snapToGrid w:val="0"/>
                <w:sz w:val="20"/>
                <w:szCs w:val="20"/>
              </w:rPr>
              <w:t>168</w:t>
            </w:r>
          </w:p>
        </w:tc>
      </w:tr>
      <w:tr w:rsidR="00854D59" w:rsidRPr="00854D59" w14:paraId="60D99796" w14:textId="77777777" w:rsidTr="00BB18E9">
        <w:trPr>
          <w:trHeight w:val="276"/>
        </w:trPr>
        <w:tc>
          <w:tcPr>
            <w:tcW w:w="237" w:type="dxa"/>
          </w:tcPr>
          <w:p w14:paraId="0DB08F7B" w14:textId="77777777" w:rsidR="00854D59" w:rsidRPr="00854D59" w:rsidRDefault="00854D59" w:rsidP="00854D59">
            <w:pPr>
              <w:widowControl w:val="0"/>
              <w:autoSpaceDE w:val="0"/>
              <w:autoSpaceDN w:val="0"/>
              <w:adjustRightInd w:val="0"/>
              <w:jc w:val="right"/>
              <w:rPr>
                <w:snapToGrid w:val="0"/>
                <w:sz w:val="20"/>
                <w:szCs w:val="20"/>
              </w:rPr>
            </w:pPr>
          </w:p>
        </w:tc>
        <w:tc>
          <w:tcPr>
            <w:tcW w:w="4383" w:type="dxa"/>
            <w:gridSpan w:val="2"/>
          </w:tcPr>
          <w:p w14:paraId="497D2BA3" w14:textId="77777777" w:rsidR="00854D59" w:rsidRPr="00854D59" w:rsidRDefault="00854D59" w:rsidP="00854D59">
            <w:pPr>
              <w:widowControl w:val="0"/>
              <w:autoSpaceDE w:val="0"/>
              <w:autoSpaceDN w:val="0"/>
              <w:adjustRightInd w:val="0"/>
              <w:rPr>
                <w:snapToGrid w:val="0"/>
                <w:sz w:val="20"/>
                <w:szCs w:val="20"/>
              </w:rPr>
            </w:pPr>
            <w:r w:rsidRPr="00854D59">
              <w:rPr>
                <w:snapToGrid w:val="0"/>
                <w:sz w:val="20"/>
                <w:szCs w:val="20"/>
              </w:rPr>
              <w:t>Total assets</w:t>
            </w:r>
          </w:p>
        </w:tc>
        <w:tc>
          <w:tcPr>
            <w:tcW w:w="478" w:type="dxa"/>
          </w:tcPr>
          <w:p w14:paraId="61FFF0C4" w14:textId="77777777" w:rsidR="00854D59" w:rsidRPr="00854D59" w:rsidRDefault="00854D59" w:rsidP="00854D59">
            <w:pPr>
              <w:widowControl w:val="0"/>
              <w:autoSpaceDE w:val="0"/>
              <w:autoSpaceDN w:val="0"/>
              <w:adjustRightInd w:val="0"/>
              <w:jc w:val="right"/>
              <w:rPr>
                <w:snapToGrid w:val="0"/>
                <w:sz w:val="20"/>
                <w:szCs w:val="20"/>
              </w:rPr>
            </w:pPr>
          </w:p>
        </w:tc>
        <w:tc>
          <w:tcPr>
            <w:tcW w:w="1208" w:type="dxa"/>
          </w:tcPr>
          <w:p w14:paraId="32C48644" w14:textId="77777777" w:rsidR="00854D59" w:rsidRPr="00854D59" w:rsidRDefault="00854D59" w:rsidP="00854D59">
            <w:pPr>
              <w:widowControl w:val="0"/>
              <w:autoSpaceDE w:val="0"/>
              <w:autoSpaceDN w:val="0"/>
              <w:adjustRightInd w:val="0"/>
              <w:jc w:val="right"/>
              <w:rPr>
                <w:snapToGrid w:val="0"/>
                <w:sz w:val="20"/>
                <w:szCs w:val="20"/>
              </w:rPr>
            </w:pPr>
          </w:p>
        </w:tc>
        <w:tc>
          <w:tcPr>
            <w:tcW w:w="1208" w:type="dxa"/>
          </w:tcPr>
          <w:p w14:paraId="385FAA3B" w14:textId="77777777" w:rsidR="00854D59" w:rsidRPr="00854D59" w:rsidRDefault="00854D59" w:rsidP="00854D59">
            <w:pPr>
              <w:widowControl w:val="0"/>
              <w:autoSpaceDE w:val="0"/>
              <w:autoSpaceDN w:val="0"/>
              <w:adjustRightInd w:val="0"/>
              <w:jc w:val="right"/>
              <w:rPr>
                <w:snapToGrid w:val="0"/>
                <w:sz w:val="20"/>
                <w:szCs w:val="20"/>
              </w:rPr>
            </w:pPr>
          </w:p>
        </w:tc>
        <w:tc>
          <w:tcPr>
            <w:tcW w:w="1208" w:type="dxa"/>
            <w:tcBorders>
              <w:top w:val="single" w:sz="4" w:space="0" w:color="auto"/>
              <w:bottom w:val="double" w:sz="4" w:space="0" w:color="auto"/>
            </w:tcBorders>
          </w:tcPr>
          <w:p w14:paraId="491276DE" w14:textId="77777777" w:rsidR="00854D59" w:rsidRPr="00854D59" w:rsidRDefault="00854D59" w:rsidP="00854D59">
            <w:pPr>
              <w:widowControl w:val="0"/>
              <w:tabs>
                <w:tab w:val="left" w:pos="150"/>
                <w:tab w:val="decimal" w:pos="960"/>
              </w:tabs>
              <w:autoSpaceDE w:val="0"/>
              <w:autoSpaceDN w:val="0"/>
              <w:adjustRightInd w:val="0"/>
              <w:jc w:val="right"/>
              <w:rPr>
                <w:snapToGrid w:val="0"/>
                <w:sz w:val="20"/>
                <w:szCs w:val="20"/>
              </w:rPr>
            </w:pPr>
            <w:r w:rsidRPr="00854D59">
              <w:rPr>
                <w:snapToGrid w:val="0"/>
                <w:sz w:val="20"/>
                <w:szCs w:val="20"/>
              </w:rPr>
              <w:t xml:space="preserve">  $    31,348</w:t>
            </w:r>
          </w:p>
        </w:tc>
        <w:tc>
          <w:tcPr>
            <w:tcW w:w="1208" w:type="dxa"/>
            <w:tcBorders>
              <w:top w:val="single" w:sz="4" w:space="0" w:color="auto"/>
              <w:bottom w:val="double" w:sz="4" w:space="0" w:color="auto"/>
            </w:tcBorders>
          </w:tcPr>
          <w:p w14:paraId="64670FE4" w14:textId="77777777" w:rsidR="00854D59" w:rsidRPr="00854D59" w:rsidRDefault="00854D59" w:rsidP="00854D59">
            <w:pPr>
              <w:widowControl w:val="0"/>
              <w:tabs>
                <w:tab w:val="left" w:pos="195"/>
                <w:tab w:val="decimal" w:pos="1005"/>
              </w:tabs>
              <w:autoSpaceDE w:val="0"/>
              <w:autoSpaceDN w:val="0"/>
              <w:adjustRightInd w:val="0"/>
              <w:jc w:val="right"/>
              <w:rPr>
                <w:snapToGrid w:val="0"/>
                <w:sz w:val="20"/>
                <w:szCs w:val="20"/>
              </w:rPr>
            </w:pPr>
            <w:r w:rsidRPr="00854D59">
              <w:rPr>
                <w:snapToGrid w:val="0"/>
                <w:sz w:val="20"/>
                <w:szCs w:val="20"/>
              </w:rPr>
              <w:t>$     11,797</w:t>
            </w:r>
          </w:p>
        </w:tc>
      </w:tr>
      <w:tr w:rsidR="00854D59" w:rsidRPr="00854D59" w14:paraId="28FCF797" w14:textId="77777777" w:rsidTr="00BB18E9">
        <w:trPr>
          <w:trHeight w:val="276"/>
        </w:trPr>
        <w:tc>
          <w:tcPr>
            <w:tcW w:w="237" w:type="dxa"/>
          </w:tcPr>
          <w:p w14:paraId="169935B4" w14:textId="77777777" w:rsidR="00854D59" w:rsidRPr="00854D59" w:rsidRDefault="00854D59" w:rsidP="00854D59">
            <w:pPr>
              <w:widowControl w:val="0"/>
              <w:autoSpaceDE w:val="0"/>
              <w:autoSpaceDN w:val="0"/>
              <w:adjustRightInd w:val="0"/>
              <w:jc w:val="right"/>
              <w:rPr>
                <w:snapToGrid w:val="0"/>
                <w:sz w:val="20"/>
                <w:szCs w:val="20"/>
              </w:rPr>
            </w:pPr>
          </w:p>
        </w:tc>
        <w:tc>
          <w:tcPr>
            <w:tcW w:w="1462" w:type="dxa"/>
          </w:tcPr>
          <w:p w14:paraId="0EADF690" w14:textId="77777777" w:rsidR="00854D59" w:rsidRPr="00854D59" w:rsidRDefault="00854D59" w:rsidP="00854D59">
            <w:pPr>
              <w:widowControl w:val="0"/>
              <w:autoSpaceDE w:val="0"/>
              <w:autoSpaceDN w:val="0"/>
              <w:adjustRightInd w:val="0"/>
              <w:jc w:val="right"/>
              <w:rPr>
                <w:snapToGrid w:val="0"/>
                <w:sz w:val="20"/>
                <w:szCs w:val="20"/>
              </w:rPr>
            </w:pPr>
          </w:p>
        </w:tc>
        <w:tc>
          <w:tcPr>
            <w:tcW w:w="2921" w:type="dxa"/>
          </w:tcPr>
          <w:p w14:paraId="42D8A052" w14:textId="77777777" w:rsidR="00854D59" w:rsidRPr="00854D59" w:rsidRDefault="00854D59" w:rsidP="00854D59">
            <w:pPr>
              <w:widowControl w:val="0"/>
              <w:autoSpaceDE w:val="0"/>
              <w:autoSpaceDN w:val="0"/>
              <w:adjustRightInd w:val="0"/>
              <w:jc w:val="right"/>
              <w:rPr>
                <w:snapToGrid w:val="0"/>
                <w:sz w:val="20"/>
                <w:szCs w:val="20"/>
              </w:rPr>
            </w:pPr>
          </w:p>
        </w:tc>
        <w:tc>
          <w:tcPr>
            <w:tcW w:w="478" w:type="dxa"/>
          </w:tcPr>
          <w:p w14:paraId="0B8B3180" w14:textId="77777777" w:rsidR="00854D59" w:rsidRPr="00854D59" w:rsidRDefault="00854D59" w:rsidP="00854D59">
            <w:pPr>
              <w:widowControl w:val="0"/>
              <w:autoSpaceDE w:val="0"/>
              <w:autoSpaceDN w:val="0"/>
              <w:adjustRightInd w:val="0"/>
              <w:jc w:val="right"/>
              <w:rPr>
                <w:snapToGrid w:val="0"/>
                <w:sz w:val="20"/>
                <w:szCs w:val="20"/>
              </w:rPr>
            </w:pPr>
          </w:p>
        </w:tc>
        <w:tc>
          <w:tcPr>
            <w:tcW w:w="1208" w:type="dxa"/>
          </w:tcPr>
          <w:p w14:paraId="75F6A874" w14:textId="77777777" w:rsidR="00854D59" w:rsidRPr="00854D59" w:rsidRDefault="00854D59" w:rsidP="00854D59">
            <w:pPr>
              <w:widowControl w:val="0"/>
              <w:autoSpaceDE w:val="0"/>
              <w:autoSpaceDN w:val="0"/>
              <w:adjustRightInd w:val="0"/>
              <w:jc w:val="right"/>
              <w:rPr>
                <w:snapToGrid w:val="0"/>
                <w:sz w:val="20"/>
                <w:szCs w:val="20"/>
              </w:rPr>
            </w:pPr>
          </w:p>
        </w:tc>
        <w:tc>
          <w:tcPr>
            <w:tcW w:w="1208" w:type="dxa"/>
          </w:tcPr>
          <w:p w14:paraId="12A969BF" w14:textId="77777777" w:rsidR="00854D59" w:rsidRPr="00854D59" w:rsidRDefault="00854D59" w:rsidP="00854D59">
            <w:pPr>
              <w:widowControl w:val="0"/>
              <w:autoSpaceDE w:val="0"/>
              <w:autoSpaceDN w:val="0"/>
              <w:adjustRightInd w:val="0"/>
              <w:jc w:val="right"/>
              <w:rPr>
                <w:snapToGrid w:val="0"/>
                <w:sz w:val="20"/>
                <w:szCs w:val="20"/>
              </w:rPr>
            </w:pPr>
          </w:p>
        </w:tc>
        <w:tc>
          <w:tcPr>
            <w:tcW w:w="1208" w:type="dxa"/>
            <w:tcBorders>
              <w:top w:val="double" w:sz="4" w:space="0" w:color="auto"/>
            </w:tcBorders>
          </w:tcPr>
          <w:p w14:paraId="084A84C1" w14:textId="77777777" w:rsidR="00854D59" w:rsidRPr="00854D59" w:rsidRDefault="00854D59" w:rsidP="00854D59">
            <w:pPr>
              <w:widowControl w:val="0"/>
              <w:autoSpaceDE w:val="0"/>
              <w:autoSpaceDN w:val="0"/>
              <w:adjustRightInd w:val="0"/>
              <w:jc w:val="right"/>
              <w:rPr>
                <w:snapToGrid w:val="0"/>
                <w:sz w:val="20"/>
                <w:szCs w:val="20"/>
              </w:rPr>
            </w:pPr>
          </w:p>
        </w:tc>
        <w:tc>
          <w:tcPr>
            <w:tcW w:w="1208" w:type="dxa"/>
            <w:tcBorders>
              <w:top w:val="double" w:sz="4" w:space="0" w:color="auto"/>
            </w:tcBorders>
          </w:tcPr>
          <w:p w14:paraId="2DD394B7" w14:textId="77777777" w:rsidR="00854D59" w:rsidRPr="00854D59" w:rsidRDefault="00854D59" w:rsidP="00854D59">
            <w:pPr>
              <w:widowControl w:val="0"/>
              <w:autoSpaceDE w:val="0"/>
              <w:autoSpaceDN w:val="0"/>
              <w:adjustRightInd w:val="0"/>
              <w:jc w:val="right"/>
              <w:rPr>
                <w:snapToGrid w:val="0"/>
                <w:sz w:val="20"/>
                <w:szCs w:val="20"/>
              </w:rPr>
            </w:pPr>
          </w:p>
        </w:tc>
      </w:tr>
      <w:tr w:rsidR="00854D59" w:rsidRPr="00854D59" w14:paraId="3F717FA7" w14:textId="77777777" w:rsidTr="00BB18E9">
        <w:trPr>
          <w:trHeight w:val="276"/>
        </w:trPr>
        <w:tc>
          <w:tcPr>
            <w:tcW w:w="4620" w:type="dxa"/>
            <w:gridSpan w:val="3"/>
          </w:tcPr>
          <w:p w14:paraId="0BB31DCC" w14:textId="77777777" w:rsidR="00854D59" w:rsidRPr="00854D59" w:rsidRDefault="00854D59" w:rsidP="00854D59">
            <w:pPr>
              <w:widowControl w:val="0"/>
              <w:autoSpaceDE w:val="0"/>
              <w:autoSpaceDN w:val="0"/>
              <w:adjustRightInd w:val="0"/>
              <w:rPr>
                <w:snapToGrid w:val="0"/>
                <w:sz w:val="20"/>
                <w:szCs w:val="20"/>
              </w:rPr>
            </w:pPr>
            <w:r w:rsidRPr="00854D59">
              <w:rPr>
                <w:snapToGrid w:val="0"/>
                <w:sz w:val="20"/>
                <w:szCs w:val="20"/>
              </w:rPr>
              <w:t>Liabilities and stockholders’ equity</w:t>
            </w:r>
          </w:p>
        </w:tc>
        <w:tc>
          <w:tcPr>
            <w:tcW w:w="478" w:type="dxa"/>
          </w:tcPr>
          <w:p w14:paraId="718AC897" w14:textId="77777777" w:rsidR="00854D59" w:rsidRPr="00854D59" w:rsidRDefault="00854D59" w:rsidP="00854D59">
            <w:pPr>
              <w:widowControl w:val="0"/>
              <w:autoSpaceDE w:val="0"/>
              <w:autoSpaceDN w:val="0"/>
              <w:adjustRightInd w:val="0"/>
              <w:jc w:val="right"/>
              <w:rPr>
                <w:snapToGrid w:val="0"/>
                <w:sz w:val="20"/>
                <w:szCs w:val="20"/>
              </w:rPr>
            </w:pPr>
          </w:p>
        </w:tc>
        <w:tc>
          <w:tcPr>
            <w:tcW w:w="1208" w:type="dxa"/>
          </w:tcPr>
          <w:p w14:paraId="743E2C82" w14:textId="77777777" w:rsidR="00854D59" w:rsidRPr="00854D59" w:rsidRDefault="00854D59" w:rsidP="00854D59">
            <w:pPr>
              <w:widowControl w:val="0"/>
              <w:autoSpaceDE w:val="0"/>
              <w:autoSpaceDN w:val="0"/>
              <w:adjustRightInd w:val="0"/>
              <w:jc w:val="right"/>
              <w:rPr>
                <w:snapToGrid w:val="0"/>
                <w:sz w:val="20"/>
                <w:szCs w:val="20"/>
              </w:rPr>
            </w:pPr>
          </w:p>
        </w:tc>
        <w:tc>
          <w:tcPr>
            <w:tcW w:w="1208" w:type="dxa"/>
          </w:tcPr>
          <w:p w14:paraId="103E678C" w14:textId="77777777" w:rsidR="00854D59" w:rsidRPr="00854D59" w:rsidRDefault="00854D59" w:rsidP="00854D59">
            <w:pPr>
              <w:widowControl w:val="0"/>
              <w:autoSpaceDE w:val="0"/>
              <w:autoSpaceDN w:val="0"/>
              <w:adjustRightInd w:val="0"/>
              <w:jc w:val="right"/>
              <w:rPr>
                <w:snapToGrid w:val="0"/>
                <w:sz w:val="20"/>
                <w:szCs w:val="20"/>
              </w:rPr>
            </w:pPr>
          </w:p>
        </w:tc>
        <w:tc>
          <w:tcPr>
            <w:tcW w:w="1208" w:type="dxa"/>
          </w:tcPr>
          <w:p w14:paraId="45172420" w14:textId="77777777" w:rsidR="00854D59" w:rsidRPr="00854D59" w:rsidRDefault="00854D59" w:rsidP="00854D59">
            <w:pPr>
              <w:widowControl w:val="0"/>
              <w:autoSpaceDE w:val="0"/>
              <w:autoSpaceDN w:val="0"/>
              <w:adjustRightInd w:val="0"/>
              <w:jc w:val="right"/>
              <w:rPr>
                <w:snapToGrid w:val="0"/>
                <w:sz w:val="20"/>
                <w:szCs w:val="20"/>
              </w:rPr>
            </w:pPr>
          </w:p>
        </w:tc>
        <w:tc>
          <w:tcPr>
            <w:tcW w:w="1208" w:type="dxa"/>
          </w:tcPr>
          <w:p w14:paraId="23D1B74B" w14:textId="77777777" w:rsidR="00854D59" w:rsidRPr="00854D59" w:rsidRDefault="00854D59" w:rsidP="00854D59">
            <w:pPr>
              <w:widowControl w:val="0"/>
              <w:autoSpaceDE w:val="0"/>
              <w:autoSpaceDN w:val="0"/>
              <w:adjustRightInd w:val="0"/>
              <w:jc w:val="right"/>
              <w:rPr>
                <w:snapToGrid w:val="0"/>
                <w:sz w:val="20"/>
                <w:szCs w:val="20"/>
              </w:rPr>
            </w:pPr>
          </w:p>
        </w:tc>
      </w:tr>
      <w:tr w:rsidR="00854D59" w:rsidRPr="00854D59" w14:paraId="2ABCE8D8" w14:textId="77777777" w:rsidTr="00BB18E9">
        <w:trPr>
          <w:trHeight w:val="276"/>
        </w:trPr>
        <w:tc>
          <w:tcPr>
            <w:tcW w:w="237" w:type="dxa"/>
          </w:tcPr>
          <w:p w14:paraId="003B077B" w14:textId="77777777" w:rsidR="00854D59" w:rsidRPr="00854D59" w:rsidRDefault="00854D59" w:rsidP="00854D59">
            <w:pPr>
              <w:widowControl w:val="0"/>
              <w:autoSpaceDE w:val="0"/>
              <w:autoSpaceDN w:val="0"/>
              <w:adjustRightInd w:val="0"/>
              <w:jc w:val="right"/>
              <w:rPr>
                <w:snapToGrid w:val="0"/>
                <w:sz w:val="20"/>
                <w:szCs w:val="20"/>
              </w:rPr>
            </w:pPr>
          </w:p>
        </w:tc>
        <w:tc>
          <w:tcPr>
            <w:tcW w:w="4383" w:type="dxa"/>
            <w:gridSpan w:val="2"/>
          </w:tcPr>
          <w:p w14:paraId="739ABD0B" w14:textId="77777777" w:rsidR="00854D59" w:rsidRPr="00854D59" w:rsidRDefault="00854D59" w:rsidP="00854D59">
            <w:pPr>
              <w:widowControl w:val="0"/>
              <w:autoSpaceDE w:val="0"/>
              <w:autoSpaceDN w:val="0"/>
              <w:adjustRightInd w:val="0"/>
              <w:rPr>
                <w:snapToGrid w:val="0"/>
                <w:sz w:val="20"/>
                <w:szCs w:val="20"/>
              </w:rPr>
            </w:pPr>
            <w:r w:rsidRPr="00854D59">
              <w:rPr>
                <w:snapToGrid w:val="0"/>
                <w:sz w:val="20"/>
                <w:szCs w:val="20"/>
              </w:rPr>
              <w:t>Total liabilities</w:t>
            </w:r>
          </w:p>
        </w:tc>
        <w:tc>
          <w:tcPr>
            <w:tcW w:w="478" w:type="dxa"/>
          </w:tcPr>
          <w:p w14:paraId="12533427" w14:textId="77777777" w:rsidR="00854D59" w:rsidRPr="00854D59" w:rsidRDefault="00854D59" w:rsidP="00854D59">
            <w:pPr>
              <w:widowControl w:val="0"/>
              <w:autoSpaceDE w:val="0"/>
              <w:autoSpaceDN w:val="0"/>
              <w:adjustRightInd w:val="0"/>
              <w:jc w:val="right"/>
              <w:rPr>
                <w:snapToGrid w:val="0"/>
                <w:sz w:val="20"/>
                <w:szCs w:val="20"/>
              </w:rPr>
            </w:pPr>
          </w:p>
        </w:tc>
        <w:tc>
          <w:tcPr>
            <w:tcW w:w="1208" w:type="dxa"/>
          </w:tcPr>
          <w:p w14:paraId="1D048646" w14:textId="77777777" w:rsidR="00854D59" w:rsidRPr="00854D59" w:rsidRDefault="00854D59" w:rsidP="00854D59">
            <w:pPr>
              <w:widowControl w:val="0"/>
              <w:autoSpaceDE w:val="0"/>
              <w:autoSpaceDN w:val="0"/>
              <w:adjustRightInd w:val="0"/>
              <w:jc w:val="right"/>
              <w:rPr>
                <w:snapToGrid w:val="0"/>
                <w:sz w:val="20"/>
                <w:szCs w:val="20"/>
              </w:rPr>
            </w:pPr>
          </w:p>
        </w:tc>
        <w:tc>
          <w:tcPr>
            <w:tcW w:w="1208" w:type="dxa"/>
          </w:tcPr>
          <w:p w14:paraId="519FF78E" w14:textId="77777777" w:rsidR="00854D59" w:rsidRPr="00854D59" w:rsidRDefault="00854D59" w:rsidP="00854D59">
            <w:pPr>
              <w:widowControl w:val="0"/>
              <w:autoSpaceDE w:val="0"/>
              <w:autoSpaceDN w:val="0"/>
              <w:adjustRightInd w:val="0"/>
              <w:jc w:val="right"/>
              <w:rPr>
                <w:snapToGrid w:val="0"/>
                <w:sz w:val="20"/>
                <w:szCs w:val="20"/>
              </w:rPr>
            </w:pPr>
          </w:p>
        </w:tc>
        <w:tc>
          <w:tcPr>
            <w:tcW w:w="1208" w:type="dxa"/>
          </w:tcPr>
          <w:p w14:paraId="00E8F169" w14:textId="77777777" w:rsidR="00854D59" w:rsidRPr="00854D59" w:rsidRDefault="00854D59" w:rsidP="00854D59">
            <w:pPr>
              <w:widowControl w:val="0"/>
              <w:tabs>
                <w:tab w:val="left" w:pos="150"/>
                <w:tab w:val="decimal" w:pos="960"/>
              </w:tabs>
              <w:autoSpaceDE w:val="0"/>
              <w:autoSpaceDN w:val="0"/>
              <w:adjustRightInd w:val="0"/>
              <w:jc w:val="right"/>
              <w:rPr>
                <w:snapToGrid w:val="0"/>
                <w:sz w:val="20"/>
                <w:szCs w:val="20"/>
              </w:rPr>
            </w:pPr>
            <w:r w:rsidRPr="00854D59">
              <w:rPr>
                <w:snapToGrid w:val="0"/>
                <w:sz w:val="20"/>
                <w:szCs w:val="20"/>
              </w:rPr>
              <w:t>$</w:t>
            </w:r>
            <w:r w:rsidRPr="00854D59">
              <w:rPr>
                <w:snapToGrid w:val="0"/>
                <w:sz w:val="20"/>
                <w:szCs w:val="20"/>
              </w:rPr>
              <w:tab/>
            </w:r>
            <w:r w:rsidRPr="00854D59">
              <w:rPr>
                <w:snapToGrid w:val="0"/>
                <w:sz w:val="20"/>
                <w:szCs w:val="20"/>
              </w:rPr>
              <w:tab/>
              <w:t>4,748</w:t>
            </w:r>
          </w:p>
        </w:tc>
        <w:tc>
          <w:tcPr>
            <w:tcW w:w="1208" w:type="dxa"/>
          </w:tcPr>
          <w:p w14:paraId="0381EF10" w14:textId="77777777" w:rsidR="00854D59" w:rsidRPr="00854D59" w:rsidRDefault="00854D59" w:rsidP="00854D59">
            <w:pPr>
              <w:widowControl w:val="0"/>
              <w:tabs>
                <w:tab w:val="left" w:pos="165"/>
                <w:tab w:val="decimal" w:pos="1005"/>
              </w:tabs>
              <w:autoSpaceDE w:val="0"/>
              <w:autoSpaceDN w:val="0"/>
              <w:adjustRightInd w:val="0"/>
              <w:jc w:val="right"/>
              <w:rPr>
                <w:snapToGrid w:val="0"/>
                <w:sz w:val="20"/>
                <w:szCs w:val="20"/>
              </w:rPr>
            </w:pPr>
            <w:r w:rsidRPr="00854D59">
              <w:rPr>
                <w:snapToGrid w:val="0"/>
                <w:sz w:val="20"/>
                <w:szCs w:val="20"/>
              </w:rPr>
              <w:t>$</w:t>
            </w:r>
            <w:r w:rsidRPr="00854D59">
              <w:rPr>
                <w:snapToGrid w:val="0"/>
                <w:sz w:val="20"/>
                <w:szCs w:val="20"/>
              </w:rPr>
              <w:tab/>
            </w:r>
            <w:r w:rsidRPr="00854D59">
              <w:rPr>
                <w:snapToGrid w:val="0"/>
                <w:sz w:val="20"/>
                <w:szCs w:val="20"/>
              </w:rPr>
              <w:tab/>
              <w:t>7,435</w:t>
            </w:r>
          </w:p>
        </w:tc>
      </w:tr>
      <w:tr w:rsidR="00854D59" w:rsidRPr="00854D59" w14:paraId="02AC09D9" w14:textId="77777777" w:rsidTr="00BB18E9">
        <w:trPr>
          <w:trHeight w:val="276"/>
        </w:trPr>
        <w:tc>
          <w:tcPr>
            <w:tcW w:w="237" w:type="dxa"/>
          </w:tcPr>
          <w:p w14:paraId="2C3D7601" w14:textId="77777777" w:rsidR="00854D59" w:rsidRPr="00854D59" w:rsidRDefault="00854D59" w:rsidP="00854D59">
            <w:pPr>
              <w:widowControl w:val="0"/>
              <w:autoSpaceDE w:val="0"/>
              <w:autoSpaceDN w:val="0"/>
              <w:adjustRightInd w:val="0"/>
              <w:jc w:val="right"/>
              <w:rPr>
                <w:snapToGrid w:val="0"/>
                <w:sz w:val="20"/>
                <w:szCs w:val="20"/>
              </w:rPr>
            </w:pPr>
          </w:p>
        </w:tc>
        <w:tc>
          <w:tcPr>
            <w:tcW w:w="4383" w:type="dxa"/>
            <w:gridSpan w:val="2"/>
          </w:tcPr>
          <w:p w14:paraId="4CE4BC26" w14:textId="77777777" w:rsidR="00854D59" w:rsidRPr="00854D59" w:rsidRDefault="00854D59" w:rsidP="00854D59">
            <w:pPr>
              <w:widowControl w:val="0"/>
              <w:autoSpaceDE w:val="0"/>
              <w:autoSpaceDN w:val="0"/>
              <w:adjustRightInd w:val="0"/>
              <w:rPr>
                <w:snapToGrid w:val="0"/>
                <w:sz w:val="20"/>
                <w:szCs w:val="20"/>
              </w:rPr>
            </w:pPr>
            <w:r w:rsidRPr="00854D59">
              <w:rPr>
                <w:snapToGrid w:val="0"/>
                <w:sz w:val="20"/>
                <w:szCs w:val="20"/>
              </w:rPr>
              <w:t>Stockholders’ equity</w:t>
            </w:r>
          </w:p>
        </w:tc>
        <w:tc>
          <w:tcPr>
            <w:tcW w:w="478" w:type="dxa"/>
          </w:tcPr>
          <w:p w14:paraId="7E12CD56" w14:textId="77777777" w:rsidR="00854D59" w:rsidRPr="00854D59" w:rsidRDefault="00854D59" w:rsidP="00854D59">
            <w:pPr>
              <w:widowControl w:val="0"/>
              <w:autoSpaceDE w:val="0"/>
              <w:autoSpaceDN w:val="0"/>
              <w:adjustRightInd w:val="0"/>
              <w:jc w:val="right"/>
              <w:rPr>
                <w:snapToGrid w:val="0"/>
                <w:sz w:val="20"/>
                <w:szCs w:val="20"/>
              </w:rPr>
            </w:pPr>
          </w:p>
        </w:tc>
        <w:tc>
          <w:tcPr>
            <w:tcW w:w="1208" w:type="dxa"/>
          </w:tcPr>
          <w:p w14:paraId="325C685C" w14:textId="77777777" w:rsidR="00854D59" w:rsidRPr="00854D59" w:rsidRDefault="00854D59" w:rsidP="00854D59">
            <w:pPr>
              <w:widowControl w:val="0"/>
              <w:autoSpaceDE w:val="0"/>
              <w:autoSpaceDN w:val="0"/>
              <w:adjustRightInd w:val="0"/>
              <w:jc w:val="right"/>
              <w:rPr>
                <w:snapToGrid w:val="0"/>
                <w:sz w:val="20"/>
                <w:szCs w:val="20"/>
              </w:rPr>
            </w:pPr>
          </w:p>
        </w:tc>
        <w:tc>
          <w:tcPr>
            <w:tcW w:w="1208" w:type="dxa"/>
          </w:tcPr>
          <w:p w14:paraId="1E1C5EAD" w14:textId="77777777" w:rsidR="00854D59" w:rsidRPr="00854D59" w:rsidRDefault="00854D59" w:rsidP="00854D59">
            <w:pPr>
              <w:widowControl w:val="0"/>
              <w:autoSpaceDE w:val="0"/>
              <w:autoSpaceDN w:val="0"/>
              <w:adjustRightInd w:val="0"/>
              <w:jc w:val="right"/>
              <w:rPr>
                <w:snapToGrid w:val="0"/>
                <w:sz w:val="20"/>
                <w:szCs w:val="20"/>
              </w:rPr>
            </w:pPr>
          </w:p>
        </w:tc>
        <w:tc>
          <w:tcPr>
            <w:tcW w:w="1208" w:type="dxa"/>
            <w:tcBorders>
              <w:bottom w:val="single" w:sz="4" w:space="0" w:color="auto"/>
            </w:tcBorders>
          </w:tcPr>
          <w:p w14:paraId="4168D0BD" w14:textId="77777777" w:rsidR="00854D59" w:rsidRPr="00854D59" w:rsidRDefault="00854D59" w:rsidP="00854D59">
            <w:pPr>
              <w:widowControl w:val="0"/>
              <w:tabs>
                <w:tab w:val="decimal" w:pos="960"/>
              </w:tabs>
              <w:autoSpaceDE w:val="0"/>
              <w:autoSpaceDN w:val="0"/>
              <w:adjustRightInd w:val="0"/>
              <w:jc w:val="right"/>
              <w:rPr>
                <w:snapToGrid w:val="0"/>
                <w:sz w:val="20"/>
                <w:szCs w:val="20"/>
              </w:rPr>
            </w:pPr>
            <w:r w:rsidRPr="00854D59">
              <w:rPr>
                <w:snapToGrid w:val="0"/>
                <w:sz w:val="20"/>
                <w:szCs w:val="20"/>
              </w:rPr>
              <w:t>26,600</w:t>
            </w:r>
          </w:p>
        </w:tc>
        <w:tc>
          <w:tcPr>
            <w:tcW w:w="1208" w:type="dxa"/>
            <w:tcBorders>
              <w:bottom w:val="single" w:sz="4" w:space="0" w:color="auto"/>
            </w:tcBorders>
          </w:tcPr>
          <w:p w14:paraId="6D1CBDD8" w14:textId="77777777" w:rsidR="00854D59" w:rsidRPr="00854D59" w:rsidRDefault="00854D59" w:rsidP="00854D59">
            <w:pPr>
              <w:widowControl w:val="0"/>
              <w:tabs>
                <w:tab w:val="decimal" w:pos="1005"/>
              </w:tabs>
              <w:autoSpaceDE w:val="0"/>
              <w:autoSpaceDN w:val="0"/>
              <w:adjustRightInd w:val="0"/>
              <w:jc w:val="right"/>
              <w:rPr>
                <w:snapToGrid w:val="0"/>
                <w:sz w:val="20"/>
                <w:szCs w:val="20"/>
              </w:rPr>
            </w:pPr>
            <w:r w:rsidRPr="00854D59">
              <w:rPr>
                <w:snapToGrid w:val="0"/>
                <w:sz w:val="20"/>
                <w:szCs w:val="20"/>
              </w:rPr>
              <w:t>4,362</w:t>
            </w:r>
          </w:p>
        </w:tc>
      </w:tr>
      <w:tr w:rsidR="00854D59" w:rsidRPr="00854D59" w14:paraId="27157AC6" w14:textId="77777777" w:rsidTr="00BB18E9">
        <w:trPr>
          <w:trHeight w:val="276"/>
        </w:trPr>
        <w:tc>
          <w:tcPr>
            <w:tcW w:w="237" w:type="dxa"/>
          </w:tcPr>
          <w:p w14:paraId="1D027F69" w14:textId="77777777" w:rsidR="00854D59" w:rsidRPr="00854D59" w:rsidRDefault="00854D59" w:rsidP="00854D59">
            <w:pPr>
              <w:widowControl w:val="0"/>
              <w:autoSpaceDE w:val="0"/>
              <w:autoSpaceDN w:val="0"/>
              <w:adjustRightInd w:val="0"/>
              <w:jc w:val="right"/>
              <w:rPr>
                <w:snapToGrid w:val="0"/>
                <w:sz w:val="20"/>
                <w:szCs w:val="20"/>
              </w:rPr>
            </w:pPr>
          </w:p>
        </w:tc>
        <w:tc>
          <w:tcPr>
            <w:tcW w:w="6069" w:type="dxa"/>
            <w:gridSpan w:val="4"/>
          </w:tcPr>
          <w:p w14:paraId="03DE8DC2" w14:textId="77777777" w:rsidR="00854D59" w:rsidRPr="00854D59" w:rsidRDefault="00854D59" w:rsidP="00854D59">
            <w:pPr>
              <w:widowControl w:val="0"/>
              <w:autoSpaceDE w:val="0"/>
              <w:autoSpaceDN w:val="0"/>
              <w:adjustRightInd w:val="0"/>
              <w:rPr>
                <w:snapToGrid w:val="0"/>
                <w:sz w:val="20"/>
                <w:szCs w:val="20"/>
              </w:rPr>
            </w:pPr>
            <w:r w:rsidRPr="00854D59">
              <w:rPr>
                <w:snapToGrid w:val="0"/>
                <w:sz w:val="20"/>
                <w:szCs w:val="20"/>
              </w:rPr>
              <w:t>Total liabilities and stockholders’ equity</w:t>
            </w:r>
          </w:p>
        </w:tc>
        <w:tc>
          <w:tcPr>
            <w:tcW w:w="1208" w:type="dxa"/>
          </w:tcPr>
          <w:p w14:paraId="0BF0EED9" w14:textId="77777777" w:rsidR="00854D59" w:rsidRPr="00854D59" w:rsidRDefault="00854D59" w:rsidP="00854D59">
            <w:pPr>
              <w:widowControl w:val="0"/>
              <w:autoSpaceDE w:val="0"/>
              <w:autoSpaceDN w:val="0"/>
              <w:adjustRightInd w:val="0"/>
              <w:jc w:val="right"/>
              <w:rPr>
                <w:snapToGrid w:val="0"/>
                <w:sz w:val="20"/>
                <w:szCs w:val="20"/>
              </w:rPr>
            </w:pPr>
          </w:p>
        </w:tc>
        <w:tc>
          <w:tcPr>
            <w:tcW w:w="1208" w:type="dxa"/>
            <w:tcBorders>
              <w:top w:val="single" w:sz="4" w:space="0" w:color="auto"/>
              <w:bottom w:val="double" w:sz="4" w:space="0" w:color="auto"/>
            </w:tcBorders>
          </w:tcPr>
          <w:p w14:paraId="3507A41E" w14:textId="77777777" w:rsidR="00854D59" w:rsidRPr="00854D59" w:rsidRDefault="00854D59" w:rsidP="00854D59">
            <w:pPr>
              <w:widowControl w:val="0"/>
              <w:tabs>
                <w:tab w:val="left" w:pos="165"/>
                <w:tab w:val="decimal" w:pos="960"/>
              </w:tabs>
              <w:autoSpaceDE w:val="0"/>
              <w:autoSpaceDN w:val="0"/>
              <w:adjustRightInd w:val="0"/>
              <w:jc w:val="right"/>
              <w:rPr>
                <w:snapToGrid w:val="0"/>
                <w:sz w:val="20"/>
                <w:szCs w:val="20"/>
              </w:rPr>
            </w:pPr>
            <w:r w:rsidRPr="00854D59">
              <w:rPr>
                <w:snapToGrid w:val="0"/>
                <w:sz w:val="20"/>
                <w:szCs w:val="20"/>
              </w:rPr>
              <w:t>$</w:t>
            </w:r>
            <w:r w:rsidRPr="00854D59">
              <w:rPr>
                <w:snapToGrid w:val="0"/>
                <w:sz w:val="20"/>
                <w:szCs w:val="20"/>
              </w:rPr>
              <w:tab/>
            </w:r>
            <w:r w:rsidRPr="00854D59">
              <w:rPr>
                <w:snapToGrid w:val="0"/>
                <w:sz w:val="20"/>
                <w:szCs w:val="20"/>
              </w:rPr>
              <w:tab/>
              <w:t>31,348</w:t>
            </w:r>
          </w:p>
        </w:tc>
        <w:tc>
          <w:tcPr>
            <w:tcW w:w="1208" w:type="dxa"/>
            <w:tcBorders>
              <w:top w:val="single" w:sz="4" w:space="0" w:color="auto"/>
              <w:bottom w:val="double" w:sz="4" w:space="0" w:color="auto"/>
            </w:tcBorders>
          </w:tcPr>
          <w:p w14:paraId="012FEFF7" w14:textId="77777777" w:rsidR="00854D59" w:rsidRPr="00854D59" w:rsidRDefault="00854D59" w:rsidP="00854D59">
            <w:pPr>
              <w:widowControl w:val="0"/>
              <w:tabs>
                <w:tab w:val="left" w:pos="105"/>
                <w:tab w:val="decimal" w:pos="1005"/>
              </w:tabs>
              <w:autoSpaceDE w:val="0"/>
              <w:autoSpaceDN w:val="0"/>
              <w:adjustRightInd w:val="0"/>
              <w:jc w:val="right"/>
              <w:rPr>
                <w:snapToGrid w:val="0"/>
                <w:sz w:val="20"/>
                <w:szCs w:val="20"/>
              </w:rPr>
            </w:pPr>
            <w:r w:rsidRPr="00854D59">
              <w:rPr>
                <w:snapToGrid w:val="0"/>
                <w:sz w:val="20"/>
                <w:szCs w:val="20"/>
              </w:rPr>
              <w:t>$</w:t>
            </w:r>
            <w:r w:rsidRPr="00854D59">
              <w:rPr>
                <w:snapToGrid w:val="0"/>
                <w:sz w:val="20"/>
                <w:szCs w:val="20"/>
              </w:rPr>
              <w:tab/>
              <w:t>11,797</w:t>
            </w:r>
          </w:p>
        </w:tc>
      </w:tr>
      <w:tr w:rsidR="00854D59" w:rsidRPr="00854D59" w14:paraId="456A1979" w14:textId="77777777" w:rsidTr="00BB18E9">
        <w:trPr>
          <w:trHeight w:val="276"/>
        </w:trPr>
        <w:tc>
          <w:tcPr>
            <w:tcW w:w="237" w:type="dxa"/>
          </w:tcPr>
          <w:p w14:paraId="7E13BF91" w14:textId="77777777" w:rsidR="00854D59" w:rsidRPr="00854D59" w:rsidRDefault="00854D59" w:rsidP="00854D59">
            <w:pPr>
              <w:widowControl w:val="0"/>
              <w:autoSpaceDE w:val="0"/>
              <w:autoSpaceDN w:val="0"/>
              <w:adjustRightInd w:val="0"/>
              <w:jc w:val="right"/>
              <w:rPr>
                <w:snapToGrid w:val="0"/>
                <w:sz w:val="20"/>
                <w:szCs w:val="20"/>
              </w:rPr>
            </w:pPr>
          </w:p>
        </w:tc>
        <w:tc>
          <w:tcPr>
            <w:tcW w:w="4383" w:type="dxa"/>
            <w:gridSpan w:val="2"/>
          </w:tcPr>
          <w:p w14:paraId="56A90783" w14:textId="77777777" w:rsidR="00854D59" w:rsidRPr="00854D59" w:rsidRDefault="00854D59" w:rsidP="00854D59">
            <w:pPr>
              <w:widowControl w:val="0"/>
              <w:autoSpaceDE w:val="0"/>
              <w:autoSpaceDN w:val="0"/>
              <w:adjustRightInd w:val="0"/>
              <w:rPr>
                <w:snapToGrid w:val="0"/>
                <w:sz w:val="20"/>
                <w:szCs w:val="20"/>
              </w:rPr>
            </w:pPr>
          </w:p>
        </w:tc>
        <w:tc>
          <w:tcPr>
            <w:tcW w:w="478" w:type="dxa"/>
          </w:tcPr>
          <w:p w14:paraId="2D920921" w14:textId="77777777" w:rsidR="00854D59" w:rsidRPr="00854D59" w:rsidRDefault="00854D59" w:rsidP="00854D59">
            <w:pPr>
              <w:widowControl w:val="0"/>
              <w:autoSpaceDE w:val="0"/>
              <w:autoSpaceDN w:val="0"/>
              <w:adjustRightInd w:val="0"/>
              <w:jc w:val="right"/>
              <w:rPr>
                <w:snapToGrid w:val="0"/>
                <w:sz w:val="20"/>
                <w:szCs w:val="20"/>
              </w:rPr>
            </w:pPr>
          </w:p>
        </w:tc>
        <w:tc>
          <w:tcPr>
            <w:tcW w:w="1208" w:type="dxa"/>
          </w:tcPr>
          <w:p w14:paraId="5674F6FA" w14:textId="77777777" w:rsidR="00854D59" w:rsidRPr="00854D59" w:rsidRDefault="00854D59" w:rsidP="00854D59">
            <w:pPr>
              <w:widowControl w:val="0"/>
              <w:autoSpaceDE w:val="0"/>
              <w:autoSpaceDN w:val="0"/>
              <w:adjustRightInd w:val="0"/>
              <w:jc w:val="right"/>
              <w:rPr>
                <w:snapToGrid w:val="0"/>
                <w:sz w:val="20"/>
                <w:szCs w:val="20"/>
              </w:rPr>
            </w:pPr>
          </w:p>
        </w:tc>
        <w:tc>
          <w:tcPr>
            <w:tcW w:w="1208" w:type="dxa"/>
          </w:tcPr>
          <w:p w14:paraId="6033B34E" w14:textId="77777777" w:rsidR="00854D59" w:rsidRPr="00854D59" w:rsidRDefault="00854D59" w:rsidP="00854D59">
            <w:pPr>
              <w:widowControl w:val="0"/>
              <w:autoSpaceDE w:val="0"/>
              <w:autoSpaceDN w:val="0"/>
              <w:adjustRightInd w:val="0"/>
              <w:jc w:val="right"/>
              <w:rPr>
                <w:snapToGrid w:val="0"/>
                <w:sz w:val="20"/>
                <w:szCs w:val="20"/>
              </w:rPr>
            </w:pPr>
          </w:p>
        </w:tc>
        <w:tc>
          <w:tcPr>
            <w:tcW w:w="1208" w:type="dxa"/>
          </w:tcPr>
          <w:p w14:paraId="3A72930D" w14:textId="77777777" w:rsidR="00854D59" w:rsidRPr="00854D59" w:rsidRDefault="00854D59" w:rsidP="00854D59">
            <w:pPr>
              <w:widowControl w:val="0"/>
              <w:autoSpaceDE w:val="0"/>
              <w:autoSpaceDN w:val="0"/>
              <w:adjustRightInd w:val="0"/>
              <w:jc w:val="right"/>
              <w:rPr>
                <w:snapToGrid w:val="0"/>
                <w:sz w:val="20"/>
                <w:szCs w:val="20"/>
              </w:rPr>
            </w:pPr>
          </w:p>
        </w:tc>
        <w:tc>
          <w:tcPr>
            <w:tcW w:w="1208" w:type="dxa"/>
          </w:tcPr>
          <w:p w14:paraId="588019C9" w14:textId="77777777" w:rsidR="00854D59" w:rsidRPr="00854D59" w:rsidRDefault="00854D59" w:rsidP="00854D59">
            <w:pPr>
              <w:widowControl w:val="0"/>
              <w:autoSpaceDE w:val="0"/>
              <w:autoSpaceDN w:val="0"/>
              <w:adjustRightInd w:val="0"/>
              <w:jc w:val="right"/>
              <w:rPr>
                <w:snapToGrid w:val="0"/>
                <w:sz w:val="20"/>
                <w:szCs w:val="20"/>
              </w:rPr>
            </w:pPr>
          </w:p>
        </w:tc>
      </w:tr>
      <w:tr w:rsidR="00854D59" w:rsidRPr="00854D59" w14:paraId="472A3E72" w14:textId="77777777" w:rsidTr="00BB18E9">
        <w:trPr>
          <w:trHeight w:val="276"/>
        </w:trPr>
        <w:tc>
          <w:tcPr>
            <w:tcW w:w="237" w:type="dxa"/>
          </w:tcPr>
          <w:p w14:paraId="12600E8D" w14:textId="77777777" w:rsidR="00854D59" w:rsidRPr="00854D59" w:rsidRDefault="00854D59" w:rsidP="00854D59">
            <w:pPr>
              <w:widowControl w:val="0"/>
              <w:autoSpaceDE w:val="0"/>
              <w:autoSpaceDN w:val="0"/>
              <w:adjustRightInd w:val="0"/>
              <w:jc w:val="right"/>
              <w:rPr>
                <w:snapToGrid w:val="0"/>
                <w:sz w:val="20"/>
                <w:szCs w:val="20"/>
              </w:rPr>
            </w:pPr>
          </w:p>
        </w:tc>
        <w:tc>
          <w:tcPr>
            <w:tcW w:w="4383" w:type="dxa"/>
            <w:gridSpan w:val="2"/>
          </w:tcPr>
          <w:p w14:paraId="0A1AF7AA" w14:textId="77777777" w:rsidR="00854D59" w:rsidRPr="00854D59" w:rsidRDefault="00854D59" w:rsidP="00854D59">
            <w:pPr>
              <w:widowControl w:val="0"/>
              <w:autoSpaceDE w:val="0"/>
              <w:autoSpaceDN w:val="0"/>
              <w:adjustRightInd w:val="0"/>
              <w:rPr>
                <w:snapToGrid w:val="0"/>
                <w:sz w:val="20"/>
                <w:szCs w:val="20"/>
              </w:rPr>
            </w:pPr>
            <w:r w:rsidRPr="00854D59">
              <w:rPr>
                <w:snapToGrid w:val="0"/>
                <w:sz w:val="20"/>
                <w:szCs w:val="20"/>
              </w:rPr>
              <w:t>Common Shares Outstanding</w:t>
            </w:r>
          </w:p>
        </w:tc>
        <w:tc>
          <w:tcPr>
            <w:tcW w:w="478" w:type="dxa"/>
          </w:tcPr>
          <w:p w14:paraId="479BF053" w14:textId="77777777" w:rsidR="00854D59" w:rsidRPr="00854D59" w:rsidRDefault="00854D59" w:rsidP="00854D59">
            <w:pPr>
              <w:widowControl w:val="0"/>
              <w:autoSpaceDE w:val="0"/>
              <w:autoSpaceDN w:val="0"/>
              <w:adjustRightInd w:val="0"/>
              <w:jc w:val="right"/>
              <w:rPr>
                <w:snapToGrid w:val="0"/>
                <w:sz w:val="20"/>
                <w:szCs w:val="20"/>
              </w:rPr>
            </w:pPr>
          </w:p>
        </w:tc>
        <w:tc>
          <w:tcPr>
            <w:tcW w:w="1208" w:type="dxa"/>
          </w:tcPr>
          <w:p w14:paraId="445F8980" w14:textId="77777777" w:rsidR="00854D59" w:rsidRPr="00854D59" w:rsidRDefault="00854D59" w:rsidP="00854D59">
            <w:pPr>
              <w:widowControl w:val="0"/>
              <w:autoSpaceDE w:val="0"/>
              <w:autoSpaceDN w:val="0"/>
              <w:adjustRightInd w:val="0"/>
              <w:jc w:val="right"/>
              <w:rPr>
                <w:snapToGrid w:val="0"/>
                <w:sz w:val="20"/>
                <w:szCs w:val="20"/>
              </w:rPr>
            </w:pPr>
          </w:p>
        </w:tc>
        <w:tc>
          <w:tcPr>
            <w:tcW w:w="1208" w:type="dxa"/>
          </w:tcPr>
          <w:p w14:paraId="202ADC2D" w14:textId="77777777" w:rsidR="00854D59" w:rsidRPr="00854D59" w:rsidRDefault="00854D59" w:rsidP="00854D59">
            <w:pPr>
              <w:widowControl w:val="0"/>
              <w:autoSpaceDE w:val="0"/>
              <w:autoSpaceDN w:val="0"/>
              <w:adjustRightInd w:val="0"/>
              <w:jc w:val="right"/>
              <w:rPr>
                <w:snapToGrid w:val="0"/>
                <w:sz w:val="20"/>
                <w:szCs w:val="20"/>
              </w:rPr>
            </w:pPr>
          </w:p>
        </w:tc>
        <w:tc>
          <w:tcPr>
            <w:tcW w:w="1208" w:type="dxa"/>
          </w:tcPr>
          <w:p w14:paraId="274D7AAC" w14:textId="77777777" w:rsidR="00854D59" w:rsidRPr="00854D59" w:rsidRDefault="00854D59" w:rsidP="00854D59">
            <w:pPr>
              <w:widowControl w:val="0"/>
              <w:tabs>
                <w:tab w:val="left" w:pos="150"/>
                <w:tab w:val="decimal" w:pos="960"/>
              </w:tabs>
              <w:autoSpaceDE w:val="0"/>
              <w:autoSpaceDN w:val="0"/>
              <w:adjustRightInd w:val="0"/>
              <w:jc w:val="right"/>
              <w:rPr>
                <w:snapToGrid w:val="0"/>
                <w:sz w:val="20"/>
                <w:szCs w:val="20"/>
              </w:rPr>
            </w:pPr>
            <w:r w:rsidRPr="00854D59">
              <w:rPr>
                <w:snapToGrid w:val="0"/>
                <w:sz w:val="20"/>
                <w:szCs w:val="20"/>
              </w:rPr>
              <w:tab/>
            </w:r>
            <w:r w:rsidRPr="00854D59">
              <w:rPr>
                <w:snapToGrid w:val="0"/>
                <w:sz w:val="20"/>
                <w:szCs w:val="20"/>
              </w:rPr>
              <w:tab/>
              <w:t>26,334,953</w:t>
            </w:r>
          </w:p>
        </w:tc>
        <w:tc>
          <w:tcPr>
            <w:tcW w:w="1208" w:type="dxa"/>
          </w:tcPr>
          <w:p w14:paraId="6267E788" w14:textId="77777777" w:rsidR="00854D59" w:rsidRPr="00854D59" w:rsidRDefault="00854D59" w:rsidP="00854D59">
            <w:pPr>
              <w:widowControl w:val="0"/>
              <w:tabs>
                <w:tab w:val="left" w:pos="165"/>
                <w:tab w:val="decimal" w:pos="1005"/>
              </w:tabs>
              <w:autoSpaceDE w:val="0"/>
              <w:autoSpaceDN w:val="0"/>
              <w:adjustRightInd w:val="0"/>
              <w:jc w:val="right"/>
              <w:rPr>
                <w:snapToGrid w:val="0"/>
                <w:sz w:val="20"/>
                <w:szCs w:val="20"/>
              </w:rPr>
            </w:pPr>
            <w:r w:rsidRPr="00854D59">
              <w:rPr>
                <w:snapToGrid w:val="0"/>
                <w:sz w:val="20"/>
                <w:szCs w:val="20"/>
              </w:rPr>
              <w:tab/>
            </w:r>
            <w:r w:rsidRPr="00854D59">
              <w:rPr>
                <w:snapToGrid w:val="0"/>
                <w:sz w:val="20"/>
                <w:szCs w:val="20"/>
              </w:rPr>
              <w:tab/>
              <w:t>6,381,541</w:t>
            </w:r>
          </w:p>
        </w:tc>
      </w:tr>
    </w:tbl>
    <w:p w14:paraId="3AAA86C9" w14:textId="77777777" w:rsidR="00854D59" w:rsidRPr="00854D59" w:rsidRDefault="00854D59" w:rsidP="00854D59">
      <w:pPr>
        <w:widowControl w:val="0"/>
        <w:autoSpaceDE w:val="0"/>
        <w:autoSpaceDN w:val="0"/>
        <w:adjustRightInd w:val="0"/>
        <w:jc w:val="both"/>
        <w:rPr>
          <w:sz w:val="20"/>
          <w:szCs w:val="20"/>
        </w:rPr>
      </w:pPr>
    </w:p>
    <w:p w14:paraId="2B519A86" w14:textId="2381A9CF" w:rsidR="004B3179" w:rsidRPr="008D7E3A" w:rsidRDefault="004B3179" w:rsidP="008D7E3A"/>
    <w:sectPr w:rsidR="004B3179" w:rsidRPr="008D7E3A" w:rsidSect="00F9336E">
      <w:headerReference w:type="first" r:id="rId23"/>
      <w:footerReference w:type="first" r:id="rId24"/>
      <w:pgSz w:w="12240" w:h="15840" w:code="1"/>
      <w:pgMar w:top="1440" w:right="1296" w:bottom="1008" w:left="1296" w:header="547" w:footer="70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9B194C" w14:textId="77777777" w:rsidR="00B2632B" w:rsidRDefault="00B2632B" w:rsidP="004422FB">
      <w:r>
        <w:separator/>
      </w:r>
    </w:p>
  </w:endnote>
  <w:endnote w:type="continuationSeparator" w:id="0">
    <w:p w14:paraId="4B5E4126" w14:textId="77777777" w:rsidR="00B2632B" w:rsidRDefault="00B2632B" w:rsidP="004422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G Times (WN)">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B9915" w14:textId="6B1DAD01" w:rsidR="004422FB" w:rsidRDefault="00A7489D" w:rsidP="00A7489D">
    <w:pPr>
      <w:pStyle w:val="Footer"/>
      <w:jc w:val="center"/>
    </w:pPr>
    <w:r>
      <w:fldChar w:fldCharType="begin"/>
    </w:r>
    <w:r>
      <w:instrText xml:space="preserve"> PAGE   \* MERGEFORMAT </w:instrText>
    </w:r>
    <w:r>
      <w:fldChar w:fldCharType="separate"/>
    </w:r>
    <w:r w:rsidR="00D46FAD">
      <w:rPr>
        <w:noProof/>
      </w:rPr>
      <w:t>3</w:t>
    </w:r>
    <w:r>
      <w:rPr>
        <w:noProof/>
      </w:rPr>
      <w:fldChar w:fldCharType="end"/>
    </w:r>
  </w:p>
  <w:p w14:paraId="22F65163" w14:textId="77777777" w:rsidR="008A5F28" w:rsidRDefault="008A5F28" w:rsidP="004422FB">
    <w:pPr>
      <w:pStyle w:val="Footer"/>
    </w:pPr>
  </w:p>
  <w:p w14:paraId="00D1A497" w14:textId="3F13EF94" w:rsidR="004422FB" w:rsidRDefault="004422FB" w:rsidP="008A5F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09D51" w14:textId="0335F94B" w:rsidR="00854D59" w:rsidRPr="00AA6838" w:rsidRDefault="00854D59" w:rsidP="00AA6838">
    <w:pPr>
      <w:pStyle w:val="Footer"/>
      <w:jc w:val="center"/>
      <w:rPr>
        <w:b/>
      </w:rPr>
    </w:pPr>
    <w:r>
      <w:rPr>
        <w:b/>
      </w:rPr>
      <w:t>MORE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D664A" w14:textId="77777777" w:rsidR="00854D59" w:rsidRPr="00AA6838" w:rsidRDefault="00854D59" w:rsidP="00AA6838">
    <w:pPr>
      <w:pStyle w:val="Footer"/>
      <w:jc w:val="center"/>
      <w:rPr>
        <w:b/>
      </w:rPr>
    </w:pPr>
    <w:r>
      <w:rPr>
        <w:b/>
      </w:rPr>
      <w:t>MORE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A196C" w14:textId="77777777" w:rsidR="00DF5BEA" w:rsidRDefault="00854D59" w:rsidP="00472920">
    <w:pPr>
      <w:pStyle w:val="Footer"/>
      <w:jc w:val="center"/>
      <w:rPr>
        <w:b/>
      </w:rPr>
    </w:pPr>
    <w:r>
      <w:rPr>
        <w:b/>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A9E6BA" w14:textId="77777777" w:rsidR="00B2632B" w:rsidRDefault="00B2632B" w:rsidP="004422FB">
      <w:r>
        <w:separator/>
      </w:r>
    </w:p>
  </w:footnote>
  <w:footnote w:type="continuationSeparator" w:id="0">
    <w:p w14:paraId="556023FE" w14:textId="77777777" w:rsidR="00B2632B" w:rsidRDefault="00B2632B" w:rsidP="004422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09D51" w14:textId="0335F94B" w:rsidR="00854D59" w:rsidRDefault="00854D59">
    <w:pPr>
      <w:pStyle w:val="Header"/>
    </w:pPr>
    <w:r w:rsidRPr="004F39CB">
      <w:rPr>
        <w:noProof/>
      </w:rPr>
      <w:drawing>
        <wp:inline distT="0" distB="0" distL="0" distR="0" wp14:anchorId="69EEEABE" wp14:editId="0DB06700">
          <wp:extent cx="1892878" cy="501875"/>
          <wp:effectExtent l="19050" t="0" r="0" b="0"/>
          <wp:docPr id="4" name="Picture 1" descr="C:\Users\mreynolds\Desktop\GeoVax_logo_hi-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reynolds\Desktop\GeoVax_logo_hi-res.jpg"/>
                  <pic:cNvPicPr>
                    <a:picLocks noChangeAspect="1" noChangeArrowheads="1"/>
                  </pic:cNvPicPr>
                </pic:nvPicPr>
                <pic:blipFill>
                  <a:blip r:embed="rId1"/>
                  <a:srcRect/>
                  <a:stretch>
                    <a:fillRect/>
                  </a:stretch>
                </pic:blipFill>
                <pic:spPr bwMode="auto">
                  <a:xfrm>
                    <a:off x="0" y="0"/>
                    <a:ext cx="1894226" cy="502232"/>
                  </a:xfrm>
                  <a:prstGeom prst="rect">
                    <a:avLst/>
                  </a:prstGeom>
                  <a:noFill/>
                  <a:ln w="9525">
                    <a:noFill/>
                    <a:miter lim="800000"/>
                    <a:headEnd/>
                    <a:tailEnd/>
                  </a:ln>
                </pic:spPr>
              </pic:pic>
            </a:graphicData>
          </a:graphic>
        </wp:inline>
      </w:drawing>
    </w:r>
    <w:r>
      <w:t xml:space="preserve">                                                                               </w:t>
    </w:r>
    <w:r w:rsidRPr="00854D59">
      <w:rPr>
        <w:b/>
        <w:bCs/>
      </w:rPr>
      <w:t>Exhibit 99.1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170F0" w14:textId="77777777" w:rsidR="00DF5BEA" w:rsidRPr="00472920" w:rsidRDefault="00854D59" w:rsidP="00472920">
    <w:pPr>
      <w:pStyle w:val="Head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823EF7"/>
    <w:multiLevelType w:val="hybridMultilevel"/>
    <w:tmpl w:val="0582C1DE"/>
    <w:lvl w:ilvl="0" w:tplc="BBF2C682">
      <w:start w:val="10"/>
      <w:numFmt w:val="bullet"/>
      <w:lvlText w:val=""/>
      <w:lvlJc w:val="left"/>
      <w:pPr>
        <w:ind w:left="504" w:hanging="360"/>
      </w:pPr>
      <w:rPr>
        <w:rFonts w:ascii="Symbol" w:eastAsia="Times New Roman" w:hAnsi="Symbol" w:cs="Times New Roman"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1" w15:restartNumberingAfterBreak="0">
    <w:nsid w:val="6DA94E45"/>
    <w:multiLevelType w:val="hybridMultilevel"/>
    <w:tmpl w:val="B1E8AD8E"/>
    <w:lvl w:ilvl="0" w:tplc="04090001">
      <w:start w:val="1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54977875">
    <w:abstractNumId w:val="0"/>
  </w:num>
  <w:num w:numId="2" w16cid:durableId="18451963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WDocIDLayout" w:val="1"/>
    <w:docVar w:name="SWDocIDLocation" w:val="4096"/>
  </w:docVars>
  <w:rsids>
    <w:rsidRoot w:val="004B3179"/>
    <w:rsid w:val="00001E52"/>
    <w:rsid w:val="000520F7"/>
    <w:rsid w:val="000871C8"/>
    <w:rsid w:val="00087359"/>
    <w:rsid w:val="00096511"/>
    <w:rsid w:val="000E6508"/>
    <w:rsid w:val="00134BBC"/>
    <w:rsid w:val="00144D4F"/>
    <w:rsid w:val="00153CF3"/>
    <w:rsid w:val="00172B54"/>
    <w:rsid w:val="00186A50"/>
    <w:rsid w:val="001A687F"/>
    <w:rsid w:val="001D3520"/>
    <w:rsid w:val="002049D0"/>
    <w:rsid w:val="00220F69"/>
    <w:rsid w:val="00241DEF"/>
    <w:rsid w:val="00246139"/>
    <w:rsid w:val="00277674"/>
    <w:rsid w:val="00296BF7"/>
    <w:rsid w:val="002E7A44"/>
    <w:rsid w:val="002F020C"/>
    <w:rsid w:val="002F47BC"/>
    <w:rsid w:val="00304DE8"/>
    <w:rsid w:val="0036369E"/>
    <w:rsid w:val="003643C1"/>
    <w:rsid w:val="00376DEC"/>
    <w:rsid w:val="003B3474"/>
    <w:rsid w:val="003B670F"/>
    <w:rsid w:val="003F3DEB"/>
    <w:rsid w:val="00401F33"/>
    <w:rsid w:val="00404B0F"/>
    <w:rsid w:val="00414E31"/>
    <w:rsid w:val="004422FB"/>
    <w:rsid w:val="004433D8"/>
    <w:rsid w:val="004562CE"/>
    <w:rsid w:val="004641B9"/>
    <w:rsid w:val="00494777"/>
    <w:rsid w:val="004B3179"/>
    <w:rsid w:val="004C2859"/>
    <w:rsid w:val="004D4E0A"/>
    <w:rsid w:val="004F383B"/>
    <w:rsid w:val="00552D47"/>
    <w:rsid w:val="00583D37"/>
    <w:rsid w:val="005A1F60"/>
    <w:rsid w:val="006131D7"/>
    <w:rsid w:val="00652DCC"/>
    <w:rsid w:val="00677F25"/>
    <w:rsid w:val="00691E45"/>
    <w:rsid w:val="006959EC"/>
    <w:rsid w:val="006A30B4"/>
    <w:rsid w:val="006B4011"/>
    <w:rsid w:val="006C4831"/>
    <w:rsid w:val="006E7AA3"/>
    <w:rsid w:val="007150B5"/>
    <w:rsid w:val="00716A75"/>
    <w:rsid w:val="00734084"/>
    <w:rsid w:val="00766EB9"/>
    <w:rsid w:val="007B1C14"/>
    <w:rsid w:val="007B5113"/>
    <w:rsid w:val="007C095B"/>
    <w:rsid w:val="007E3D57"/>
    <w:rsid w:val="00833F99"/>
    <w:rsid w:val="00846F5B"/>
    <w:rsid w:val="00854D59"/>
    <w:rsid w:val="0089446A"/>
    <w:rsid w:val="008A3A73"/>
    <w:rsid w:val="008A45B8"/>
    <w:rsid w:val="008A5F28"/>
    <w:rsid w:val="008B7616"/>
    <w:rsid w:val="008D7E3A"/>
    <w:rsid w:val="008E4E77"/>
    <w:rsid w:val="00903941"/>
    <w:rsid w:val="00922B4A"/>
    <w:rsid w:val="00922FCF"/>
    <w:rsid w:val="0095070C"/>
    <w:rsid w:val="00995863"/>
    <w:rsid w:val="009B15B2"/>
    <w:rsid w:val="009F16FD"/>
    <w:rsid w:val="009F32C7"/>
    <w:rsid w:val="009F7B30"/>
    <w:rsid w:val="00A213F5"/>
    <w:rsid w:val="00A30573"/>
    <w:rsid w:val="00A7343F"/>
    <w:rsid w:val="00A7489D"/>
    <w:rsid w:val="00A7711D"/>
    <w:rsid w:val="00AA2DDC"/>
    <w:rsid w:val="00AA3D35"/>
    <w:rsid w:val="00B02C57"/>
    <w:rsid w:val="00B2632B"/>
    <w:rsid w:val="00B44E7B"/>
    <w:rsid w:val="00B4616E"/>
    <w:rsid w:val="00B4673C"/>
    <w:rsid w:val="00B51502"/>
    <w:rsid w:val="00B61191"/>
    <w:rsid w:val="00B66B45"/>
    <w:rsid w:val="00BB7014"/>
    <w:rsid w:val="00BC0F2B"/>
    <w:rsid w:val="00BC6263"/>
    <w:rsid w:val="00BC6551"/>
    <w:rsid w:val="00BF415F"/>
    <w:rsid w:val="00C36B57"/>
    <w:rsid w:val="00C528BC"/>
    <w:rsid w:val="00C53991"/>
    <w:rsid w:val="00C77462"/>
    <w:rsid w:val="00C815CE"/>
    <w:rsid w:val="00C936D4"/>
    <w:rsid w:val="00CB1EAA"/>
    <w:rsid w:val="00CB3D5C"/>
    <w:rsid w:val="00CC52F4"/>
    <w:rsid w:val="00CD55C2"/>
    <w:rsid w:val="00CE3919"/>
    <w:rsid w:val="00CE3B4D"/>
    <w:rsid w:val="00D03053"/>
    <w:rsid w:val="00D128D7"/>
    <w:rsid w:val="00D17971"/>
    <w:rsid w:val="00D46FAD"/>
    <w:rsid w:val="00D60567"/>
    <w:rsid w:val="00D74319"/>
    <w:rsid w:val="00D95C48"/>
    <w:rsid w:val="00DE728B"/>
    <w:rsid w:val="00E115D3"/>
    <w:rsid w:val="00E633E7"/>
    <w:rsid w:val="00EB5CF9"/>
    <w:rsid w:val="00EC3F8A"/>
    <w:rsid w:val="00F073F4"/>
    <w:rsid w:val="00F100FC"/>
    <w:rsid w:val="00F13A9C"/>
    <w:rsid w:val="00F228DB"/>
    <w:rsid w:val="00F27385"/>
    <w:rsid w:val="00F404C4"/>
    <w:rsid w:val="00F470EC"/>
    <w:rsid w:val="00F53643"/>
    <w:rsid w:val="00F65C64"/>
    <w:rsid w:val="00F737D0"/>
    <w:rsid w:val="00F958BB"/>
    <w:rsid w:val="00FD1599"/>
    <w:rsid w:val="00FD74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5574FEA4"/>
  <w15:docId w15:val="{A58224E9-FEC6-4772-B1B7-DCE99921C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b/>
      <w:bCs/>
      <w:kern w:val="36"/>
      <w:sz w:val="48"/>
      <w:szCs w:val="48"/>
    </w:rPr>
  </w:style>
  <w:style w:type="paragraph" w:styleId="Heading2">
    <w:name w:val="heading 2"/>
    <w:basedOn w:val="Normal"/>
    <w:next w:val="Normal"/>
    <w:qFormat/>
    <w:rsid w:val="00EF7B96"/>
    <w:pPr>
      <w:keepNext/>
      <w:spacing w:before="240" w:after="60"/>
      <w:outlineLvl w:val="1"/>
    </w:pPr>
    <w:rPr>
      <w:b/>
      <w:bCs/>
      <w:iCs/>
      <w:sz w:val="36"/>
      <w:szCs w:val="36"/>
    </w:rPr>
  </w:style>
  <w:style w:type="paragraph" w:styleId="Heading3">
    <w:name w:val="heading 3"/>
    <w:basedOn w:val="Normal"/>
    <w:next w:val="Normal"/>
    <w:qFormat/>
    <w:rsid w:val="00EF7B96"/>
    <w:pPr>
      <w:keepNext/>
      <w:spacing w:before="240" w:after="60"/>
      <w:outlineLvl w:val="2"/>
    </w:pPr>
    <w:rPr>
      <w:b/>
      <w:bCs/>
      <w:sz w:val="28"/>
      <w:szCs w:val="28"/>
    </w:rPr>
  </w:style>
  <w:style w:type="paragraph" w:styleId="Heading4">
    <w:name w:val="heading 4"/>
    <w:basedOn w:val="Normal"/>
    <w:next w:val="Normal"/>
    <w:qFormat/>
    <w:rsid w:val="00EF7B96"/>
    <w:pPr>
      <w:keepNext/>
      <w:spacing w:before="240" w:after="60"/>
      <w:outlineLvl w:val="3"/>
    </w:pPr>
    <w:rPr>
      <w:b/>
      <w:bCs/>
    </w:rPr>
  </w:style>
  <w:style w:type="paragraph" w:styleId="Heading5">
    <w:name w:val="heading 5"/>
    <w:basedOn w:val="Normal"/>
    <w:next w:val="Normal"/>
    <w:qFormat/>
    <w:rsid w:val="00EF7B96"/>
    <w:pPr>
      <w:spacing w:before="240" w:after="60"/>
      <w:outlineLvl w:val="4"/>
    </w:pPr>
    <w:rPr>
      <w:b/>
      <w:bCs/>
      <w:iCs/>
      <w:sz w:val="20"/>
      <w:szCs w:val="20"/>
    </w:rPr>
  </w:style>
  <w:style w:type="paragraph" w:styleId="Heading6">
    <w:name w:val="heading 6"/>
    <w:basedOn w:val="Normal"/>
    <w:next w:val="Normal"/>
    <w:qFormat/>
    <w:rsid w:val="00EF7B96"/>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finTable">
    <w:name w:val="finTable"/>
    <w:basedOn w:val="TableNormal"/>
    <w:tblPr/>
  </w:style>
  <w:style w:type="paragraph" w:styleId="BalloonText">
    <w:name w:val="Balloon Text"/>
    <w:basedOn w:val="Normal"/>
    <w:link w:val="BalloonTextChar"/>
    <w:uiPriority w:val="99"/>
    <w:semiHidden/>
    <w:unhideWhenUsed/>
    <w:rsid w:val="00766E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6EB9"/>
    <w:rPr>
      <w:rFonts w:ascii="Segoe UI" w:hAnsi="Segoe UI" w:cs="Segoe UI"/>
      <w:sz w:val="18"/>
      <w:szCs w:val="18"/>
    </w:rPr>
  </w:style>
  <w:style w:type="paragraph" w:styleId="ListParagraph">
    <w:name w:val="List Paragraph"/>
    <w:basedOn w:val="Normal"/>
    <w:uiPriority w:val="34"/>
    <w:qFormat/>
    <w:rsid w:val="003B670F"/>
    <w:pPr>
      <w:ind w:left="720"/>
      <w:contextualSpacing/>
    </w:pPr>
  </w:style>
  <w:style w:type="character" w:styleId="Emphasis">
    <w:name w:val="Emphasis"/>
    <w:basedOn w:val="DefaultParagraphFont"/>
    <w:uiPriority w:val="20"/>
    <w:qFormat/>
    <w:rsid w:val="00CB1EAA"/>
    <w:rPr>
      <w:i/>
      <w:iCs/>
    </w:rPr>
  </w:style>
  <w:style w:type="table" w:styleId="TableGrid">
    <w:name w:val="Table Grid"/>
    <w:basedOn w:val="TableNormal"/>
    <w:uiPriority w:val="59"/>
    <w:rsid w:val="00D128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422FB"/>
    <w:pPr>
      <w:tabs>
        <w:tab w:val="center" w:pos="4680"/>
        <w:tab w:val="right" w:pos="9360"/>
      </w:tabs>
    </w:pPr>
  </w:style>
  <w:style w:type="character" w:customStyle="1" w:styleId="HeaderChar">
    <w:name w:val="Header Char"/>
    <w:basedOn w:val="DefaultParagraphFont"/>
    <w:link w:val="Header"/>
    <w:uiPriority w:val="99"/>
    <w:rsid w:val="004422FB"/>
    <w:rPr>
      <w:sz w:val="24"/>
      <w:szCs w:val="24"/>
    </w:rPr>
  </w:style>
  <w:style w:type="paragraph" w:styleId="Footer">
    <w:name w:val="footer"/>
    <w:basedOn w:val="Normal"/>
    <w:link w:val="FooterChar"/>
    <w:uiPriority w:val="99"/>
    <w:unhideWhenUsed/>
    <w:rsid w:val="004422FB"/>
    <w:pPr>
      <w:tabs>
        <w:tab w:val="center" w:pos="4680"/>
        <w:tab w:val="right" w:pos="9360"/>
      </w:tabs>
    </w:pPr>
  </w:style>
  <w:style w:type="character" w:customStyle="1" w:styleId="FooterChar">
    <w:name w:val="Footer Char"/>
    <w:basedOn w:val="DefaultParagraphFont"/>
    <w:link w:val="Footer"/>
    <w:uiPriority w:val="99"/>
    <w:rsid w:val="004422FB"/>
    <w:rPr>
      <w:sz w:val="24"/>
      <w:szCs w:val="24"/>
    </w:rPr>
  </w:style>
  <w:style w:type="character" w:styleId="Hyperlink">
    <w:name w:val="Hyperlink"/>
    <w:basedOn w:val="DefaultParagraphFont"/>
    <w:uiPriority w:val="99"/>
    <w:unhideWhenUsed/>
    <w:rsid w:val="00F100FC"/>
    <w:rPr>
      <w:color w:val="0563C1" w:themeColor="hyperlink"/>
      <w:u w:val="single"/>
    </w:rPr>
  </w:style>
  <w:style w:type="character" w:customStyle="1" w:styleId="UnresolvedMention1">
    <w:name w:val="Unresolved Mention1"/>
    <w:basedOn w:val="DefaultParagraphFont"/>
    <w:uiPriority w:val="99"/>
    <w:semiHidden/>
    <w:unhideWhenUsed/>
    <w:rsid w:val="00F100FC"/>
    <w:rPr>
      <w:color w:val="605E5C"/>
      <w:shd w:val="clear" w:color="auto" w:fill="E1DFDD"/>
    </w:rPr>
  </w:style>
  <w:style w:type="paragraph" w:styleId="FootnoteText">
    <w:name w:val="footnote text"/>
    <w:basedOn w:val="Normal"/>
    <w:link w:val="FootnoteTextChar"/>
    <w:uiPriority w:val="99"/>
    <w:semiHidden/>
    <w:unhideWhenUsed/>
    <w:rsid w:val="00C36B57"/>
    <w:rPr>
      <w:sz w:val="20"/>
      <w:szCs w:val="20"/>
    </w:rPr>
  </w:style>
  <w:style w:type="character" w:customStyle="1" w:styleId="FootnoteTextChar">
    <w:name w:val="Footnote Text Char"/>
    <w:basedOn w:val="DefaultParagraphFont"/>
    <w:link w:val="FootnoteText"/>
    <w:uiPriority w:val="99"/>
    <w:semiHidden/>
    <w:rsid w:val="00C36B57"/>
  </w:style>
  <w:style w:type="character" w:styleId="FootnoteReference">
    <w:name w:val="footnote reference"/>
    <w:basedOn w:val="DefaultParagraphFont"/>
    <w:uiPriority w:val="99"/>
    <w:semiHidden/>
    <w:unhideWhenUsed/>
    <w:rsid w:val="00C36B57"/>
    <w:rPr>
      <w:vertAlign w:val="superscript"/>
    </w:rPr>
  </w:style>
  <w:style w:type="paragraph" w:styleId="Revision">
    <w:name w:val="Revision"/>
    <w:hidden/>
    <w:uiPriority w:val="99"/>
    <w:semiHidden/>
    <w:rsid w:val="00995863"/>
    <w:rPr>
      <w:sz w:val="24"/>
      <w:szCs w:val="24"/>
    </w:rPr>
  </w:style>
  <w:style w:type="character" w:styleId="UnresolvedMention">
    <w:name w:val="Unresolved Mention"/>
    <w:basedOn w:val="DefaultParagraphFont"/>
    <w:uiPriority w:val="99"/>
    <w:semiHidden/>
    <w:unhideWhenUsed/>
    <w:rsid w:val="00186A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9154986">
      <w:bodyDiv w:val="1"/>
      <w:marLeft w:val="0"/>
      <w:marRight w:val="0"/>
      <w:marTop w:val="0"/>
      <w:marBottom w:val="0"/>
      <w:divBdr>
        <w:top w:val="none" w:sz="0" w:space="0" w:color="auto"/>
        <w:left w:val="none" w:sz="0" w:space="0" w:color="auto"/>
        <w:bottom w:val="none" w:sz="0" w:space="0" w:color="auto"/>
        <w:right w:val="none" w:sz="0" w:space="0" w:color="auto"/>
      </w:divBdr>
    </w:div>
    <w:div w:id="1718511874">
      <w:bodyDiv w:val="1"/>
      <w:marLeft w:val="0"/>
      <w:marRight w:val="0"/>
      <w:marTop w:val="0"/>
      <w:marBottom w:val="0"/>
      <w:divBdr>
        <w:top w:val="none" w:sz="0" w:space="0" w:color="auto"/>
        <w:left w:val="none" w:sz="0" w:space="0" w:color="auto"/>
        <w:bottom w:val="none" w:sz="0" w:space="0" w:color="auto"/>
        <w:right w:val="none" w:sz="0" w:space="0" w:color="auto"/>
      </w:divBdr>
      <w:divsChild>
        <w:div w:id="1721703616">
          <w:marLeft w:val="144"/>
          <w:marRight w:val="144"/>
          <w:marTop w:val="60"/>
          <w:marBottom w:val="60"/>
          <w:divBdr>
            <w:top w:val="none" w:sz="0" w:space="0" w:color="auto"/>
            <w:left w:val="none" w:sz="0" w:space="0" w:color="auto"/>
            <w:bottom w:val="none" w:sz="0" w:space="0" w:color="auto"/>
            <w:right w:val="none" w:sz="0" w:space="0" w:color="auto"/>
          </w:divBdr>
        </w:div>
        <w:div w:id="89159179">
          <w:marLeft w:val="144"/>
          <w:marRight w:val="144"/>
          <w:marTop w:val="60"/>
          <w:marBottom w:val="6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cell.com/iscience/fulltext/S2589-0042(22)01017-3" TargetMode="External"/><Relationship Id="rId18" Type="http://schemas.openxmlformats.org/officeDocument/2006/relationships/hyperlink" Target="https://event.choruscall.com/mediaframe/webcast.html?webcastid=AJsUZGX4"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thelancet.com/journals/lanmic/article/PIIS2666-5247(22)00027-1/fulltext" TargetMode="External"/><Relationship Id="rId17" Type="http://schemas.openxmlformats.org/officeDocument/2006/relationships/hyperlink" Target="https://www.nature.com/articles/s41541-022-00512-x.epdf?sharing_token=RKsRg1uOvxVsKu3dN4RA2NRgN0jAjWel9jnR3ZoTv0P9bN2wjhu3Baaet1A7e10MRzGFlFQnohjX2KBIiUnzNI_DV_aAVrWTqQF9BlXTN-8Tecx5oOZiv5GvE6gXbQisMzPBXMavQwPzNe59ovHXHYMJhXGjK5UKDmLferFJqIw%3D"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medrxiv.org/content/10.1101/2022.07.26.22277958v2"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linicaltrials.gov/ct2/show/NCT04639466?term=COH04S1&amp;draw=2&amp;rank=2"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s://www.ncbi.nlm.nih.gov/pmc/articles/PMC2072046/" TargetMode="External"/><Relationship Id="rId23" Type="http://schemas.openxmlformats.org/officeDocument/2006/relationships/header" Target="header2.xml"/><Relationship Id="rId10" Type="http://schemas.openxmlformats.org/officeDocument/2006/relationships/hyperlink" Target="https://www.clinicaltrials.gov/ct2/show/NCT04977024?term=COH04S1&amp;draw=2&amp;rank=1" TargetMode="External"/><Relationship Id="rId19" Type="http://schemas.openxmlformats.org/officeDocument/2006/relationships/hyperlink" Target="mailto:govx@cg.capital" TargetMode="External"/><Relationship Id="rId4" Type="http://schemas.openxmlformats.org/officeDocument/2006/relationships/settings" Target="settings.xml"/><Relationship Id="rId9" Type="http://schemas.openxmlformats.org/officeDocument/2006/relationships/hyperlink" Target="https://beta.clinicaltrials.gov/study/NCT03754933?distance=50&amp;cond=NCT03754933&amp;rank=1" TargetMode="External"/><Relationship Id="rId14" Type="http://schemas.openxmlformats.org/officeDocument/2006/relationships/hyperlink" Target="https://www.nejm.org/doi/full/10.1056/NEJMra2206573" TargetMode="External"/><Relationship Id="rId22"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EA7C02-9BF1-4243-A166-296F0E007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3407</Words>
  <Characters>19422</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govx20200928_8k.htm</vt:lpstr>
    </vt:vector>
  </TitlesOfParts>
  <Company/>
  <LinksUpToDate>false</LinksUpToDate>
  <CharactersWithSpaces>22784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govx20200928_8k.htm</dc:title>
  <dc:creator>Mark Reynolds</dc:creator>
  <cp:lastModifiedBy>Susan Reuland</cp:lastModifiedBy>
  <cp:revision>2</cp:revision>
  <cp:lastPrinted>2022-05-03T12:55:00Z</cp:lastPrinted>
  <dcterms:created xsi:type="dcterms:W3CDTF">2023-03-24T13:46:00Z</dcterms:created>
  <dcterms:modified xsi:type="dcterms:W3CDTF">2023-03-24T13:46:00Z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WBD (US) 54725070v1</vt:lpwstr>
  </property>
</Properties>
</file>