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7F32E9"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207BDF34" w:rsidR="008D7E3A" w:rsidRDefault="008D7E3A" w:rsidP="008D7E3A">
      <w:pPr>
        <w:ind w:left="144" w:right="144"/>
        <w:jc w:val="center"/>
        <w:rPr>
          <w:sz w:val="20"/>
          <w:szCs w:val="20"/>
        </w:rPr>
      </w:pPr>
      <w:r>
        <w:rPr>
          <w:b/>
          <w:bCs/>
          <w:sz w:val="20"/>
          <w:szCs w:val="20"/>
        </w:rPr>
        <w:t>Date of report (Date of earliest event reported):  </w:t>
      </w:r>
      <w:r w:rsidR="00BD027C">
        <w:rPr>
          <w:b/>
          <w:bCs/>
          <w:sz w:val="20"/>
          <w:szCs w:val="20"/>
        </w:rPr>
        <w:t>August</w:t>
      </w:r>
      <w:r w:rsidR="004D4E0A">
        <w:rPr>
          <w:b/>
          <w:bCs/>
          <w:sz w:val="20"/>
          <w:szCs w:val="20"/>
        </w:rPr>
        <w:t xml:space="preserve"> </w:t>
      </w:r>
      <w:r w:rsidR="00BD027C">
        <w:rPr>
          <w:b/>
          <w:bCs/>
          <w:sz w:val="20"/>
          <w:szCs w:val="20"/>
        </w:rPr>
        <w:t>6</w:t>
      </w:r>
      <w:r>
        <w:rPr>
          <w:b/>
          <w:bCs/>
          <w:sz w:val="20"/>
          <w:szCs w:val="20"/>
        </w:rPr>
        <w:t>, 202</w:t>
      </w:r>
      <w:r w:rsidR="005A5B22">
        <w:rPr>
          <w:b/>
          <w:bCs/>
          <w:sz w:val="20"/>
          <w:szCs w:val="20"/>
        </w:rPr>
        <w:t>4</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7F32E9"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06EB8D1A" w14:textId="68ACC2AE" w:rsidR="003F3DEB" w:rsidRPr="003F3DEB" w:rsidRDefault="008D7E3A" w:rsidP="003F3DEB">
      <w:pPr>
        <w:ind w:left="144" w:right="144"/>
        <w:rPr>
          <w:sz w:val="20"/>
          <w:szCs w:val="20"/>
        </w:rPr>
      </w:pPr>
      <w:r>
        <w:rPr>
          <w:sz w:val="20"/>
          <w:szCs w:val="20"/>
        </w:rPr>
        <w:br w:type="page"/>
      </w:r>
      <w:r w:rsidR="003F3DEB" w:rsidRPr="00C36B57">
        <w:rPr>
          <w:b/>
          <w:sz w:val="20"/>
          <w:szCs w:val="20"/>
        </w:rPr>
        <w:lastRenderedPageBreak/>
        <w:t>Forward-Looking Statements</w:t>
      </w:r>
    </w:p>
    <w:p w14:paraId="1590C75C" w14:textId="77777777" w:rsidR="003F3DEB" w:rsidRDefault="003F3DEB" w:rsidP="003F3DEB">
      <w:pPr>
        <w:ind w:left="144" w:right="144"/>
        <w:jc w:val="both"/>
        <w:rPr>
          <w:sz w:val="20"/>
          <w:szCs w:val="20"/>
        </w:rPr>
      </w:pPr>
    </w:p>
    <w:p w14:paraId="6E3CCEA3" w14:textId="77777777" w:rsidR="003F3DEB" w:rsidRDefault="003F3DEB" w:rsidP="003F3DEB">
      <w:pPr>
        <w:ind w:left="144" w:right="144"/>
        <w:jc w:val="both"/>
        <w:rPr>
          <w:sz w:val="20"/>
          <w:szCs w:val="20"/>
        </w:rPr>
      </w:pPr>
      <w:r>
        <w:rPr>
          <w:sz w:val="20"/>
          <w:szCs w:val="20"/>
        </w:rPr>
        <w:t>This Current Report on Form 8-K and other reports filed by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357A8194" w14:textId="062B9709" w:rsidR="003F3DEB" w:rsidRDefault="003F3DEB" w:rsidP="00241DEF">
      <w:pPr>
        <w:ind w:right="144"/>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3F3DEB" w14:paraId="5220B9A4" w14:textId="77777777" w:rsidTr="00272EA7">
        <w:tc>
          <w:tcPr>
            <w:tcW w:w="1260" w:type="dxa"/>
            <w:tcMar>
              <w:top w:w="5" w:type="dxa"/>
              <w:left w:w="5" w:type="dxa"/>
              <w:bottom w:w="5" w:type="dxa"/>
              <w:right w:w="5" w:type="dxa"/>
            </w:tcMar>
            <w:hideMark/>
          </w:tcPr>
          <w:p w14:paraId="37C9D000" w14:textId="77777777" w:rsidR="003F3DEB" w:rsidRDefault="003F3DEB" w:rsidP="00272EA7">
            <w:pPr>
              <w:rPr>
                <w:color w:val="000000"/>
                <w:sz w:val="20"/>
                <w:szCs w:val="20"/>
              </w:rPr>
            </w:pPr>
            <w:r>
              <w:rPr>
                <w:b/>
                <w:bCs/>
                <w:color w:val="000000"/>
                <w:sz w:val="20"/>
                <w:szCs w:val="20"/>
              </w:rPr>
              <w:t xml:space="preserve">Item 2.02 </w:t>
            </w:r>
          </w:p>
        </w:tc>
        <w:tc>
          <w:tcPr>
            <w:tcW w:w="0" w:type="auto"/>
            <w:tcMar>
              <w:top w:w="5" w:type="dxa"/>
              <w:left w:w="5" w:type="dxa"/>
              <w:bottom w:w="5" w:type="dxa"/>
              <w:right w:w="5" w:type="dxa"/>
            </w:tcMar>
            <w:hideMark/>
          </w:tcPr>
          <w:p w14:paraId="543D638B" w14:textId="77777777" w:rsidR="003F3DEB" w:rsidRDefault="003F3DEB" w:rsidP="00272EA7">
            <w:pPr>
              <w:rPr>
                <w:color w:val="000000"/>
                <w:sz w:val="20"/>
                <w:szCs w:val="20"/>
              </w:rPr>
            </w:pPr>
            <w:r>
              <w:rPr>
                <w:b/>
                <w:bCs/>
                <w:color w:val="000000"/>
                <w:sz w:val="20"/>
                <w:szCs w:val="20"/>
              </w:rPr>
              <w:t>Results of Operations and Financial Condition.</w:t>
            </w:r>
          </w:p>
        </w:tc>
      </w:tr>
    </w:tbl>
    <w:p w14:paraId="4C7EA2DE" w14:textId="77777777" w:rsidR="003F3DEB" w:rsidRDefault="003F3DEB" w:rsidP="003F3DEB">
      <w:pPr>
        <w:ind w:left="144" w:right="144"/>
        <w:rPr>
          <w:sz w:val="20"/>
          <w:szCs w:val="20"/>
        </w:rPr>
      </w:pPr>
      <w:r>
        <w:rPr>
          <w:b/>
          <w:bCs/>
          <w:i/>
          <w:iCs/>
          <w:sz w:val="20"/>
          <w:szCs w:val="20"/>
        </w:rPr>
        <w:t> </w:t>
      </w:r>
      <w:r>
        <w:rPr>
          <w:sz w:val="20"/>
          <w:szCs w:val="20"/>
        </w:rPr>
        <w:t> </w:t>
      </w:r>
    </w:p>
    <w:p w14:paraId="313AF3C5" w14:textId="2EE56FB6" w:rsidR="003F3DEB" w:rsidRDefault="003F3DEB" w:rsidP="003F3DEB">
      <w:pPr>
        <w:ind w:left="144" w:right="144"/>
        <w:jc w:val="both"/>
        <w:rPr>
          <w:sz w:val="20"/>
          <w:szCs w:val="20"/>
        </w:rPr>
      </w:pPr>
      <w:r>
        <w:rPr>
          <w:bCs/>
          <w:sz w:val="20"/>
          <w:szCs w:val="20"/>
        </w:rPr>
        <w:t xml:space="preserve">On </w:t>
      </w:r>
      <w:r w:rsidR="00BD027C">
        <w:rPr>
          <w:bCs/>
          <w:sz w:val="20"/>
          <w:szCs w:val="20"/>
        </w:rPr>
        <w:t>August</w:t>
      </w:r>
      <w:r>
        <w:rPr>
          <w:bCs/>
          <w:sz w:val="20"/>
          <w:szCs w:val="20"/>
        </w:rPr>
        <w:t xml:space="preserve"> </w:t>
      </w:r>
      <w:r w:rsidR="00BD027C">
        <w:rPr>
          <w:bCs/>
          <w:sz w:val="20"/>
          <w:szCs w:val="20"/>
        </w:rPr>
        <w:t>6</w:t>
      </w:r>
      <w:r>
        <w:rPr>
          <w:bCs/>
          <w:sz w:val="20"/>
          <w:szCs w:val="20"/>
        </w:rPr>
        <w:t>, 202</w:t>
      </w:r>
      <w:r w:rsidR="005A5B22">
        <w:rPr>
          <w:bCs/>
          <w:sz w:val="20"/>
          <w:szCs w:val="20"/>
        </w:rPr>
        <w:t>4</w:t>
      </w:r>
      <w:r>
        <w:rPr>
          <w:bCs/>
          <w:sz w:val="20"/>
          <w:szCs w:val="20"/>
        </w:rPr>
        <w:t xml:space="preserve">, </w:t>
      </w:r>
      <w:r w:rsidR="00EC3F8A">
        <w:rPr>
          <w:bCs/>
          <w:sz w:val="20"/>
          <w:szCs w:val="20"/>
        </w:rPr>
        <w:t xml:space="preserve">GeoVax Labs, Inc. (the “Company”) </w:t>
      </w:r>
      <w:r>
        <w:rPr>
          <w:bCs/>
          <w:sz w:val="20"/>
          <w:szCs w:val="20"/>
        </w:rPr>
        <w:t xml:space="preserve">issued a press release reporting </w:t>
      </w:r>
      <w:r w:rsidR="00EC3F8A">
        <w:rPr>
          <w:bCs/>
          <w:sz w:val="20"/>
          <w:szCs w:val="20"/>
        </w:rPr>
        <w:t xml:space="preserve">its </w:t>
      </w:r>
      <w:r>
        <w:rPr>
          <w:bCs/>
          <w:sz w:val="20"/>
          <w:szCs w:val="20"/>
        </w:rPr>
        <w:t xml:space="preserve">results of operations for the </w:t>
      </w:r>
      <w:r w:rsidR="00516CAC">
        <w:rPr>
          <w:bCs/>
          <w:sz w:val="20"/>
          <w:szCs w:val="20"/>
        </w:rPr>
        <w:t>quarter</w:t>
      </w:r>
      <w:r>
        <w:rPr>
          <w:bCs/>
          <w:sz w:val="20"/>
          <w:szCs w:val="20"/>
        </w:rPr>
        <w:t xml:space="preserve"> ended </w:t>
      </w:r>
      <w:r w:rsidR="00BD027C">
        <w:rPr>
          <w:bCs/>
          <w:sz w:val="20"/>
          <w:szCs w:val="20"/>
        </w:rPr>
        <w:t>June</w:t>
      </w:r>
      <w:r w:rsidR="00F470EC">
        <w:rPr>
          <w:bCs/>
          <w:sz w:val="20"/>
          <w:szCs w:val="20"/>
        </w:rPr>
        <w:t xml:space="preserve"> 3</w:t>
      </w:r>
      <w:r w:rsidR="00BD027C">
        <w:rPr>
          <w:bCs/>
          <w:sz w:val="20"/>
          <w:szCs w:val="20"/>
        </w:rPr>
        <w:t>0</w:t>
      </w:r>
      <w:r w:rsidR="005A5B22">
        <w:rPr>
          <w:bCs/>
          <w:sz w:val="20"/>
          <w:szCs w:val="20"/>
        </w:rPr>
        <w:t>,</w:t>
      </w:r>
      <w:r>
        <w:rPr>
          <w:bCs/>
          <w:sz w:val="20"/>
          <w:szCs w:val="20"/>
        </w:rPr>
        <w:t xml:space="preserve"> 202</w:t>
      </w:r>
      <w:r w:rsidR="005A5B22">
        <w:rPr>
          <w:bCs/>
          <w:sz w:val="20"/>
          <w:szCs w:val="20"/>
        </w:rPr>
        <w:t>4</w:t>
      </w:r>
      <w:r>
        <w:rPr>
          <w:bCs/>
          <w:sz w:val="20"/>
          <w:szCs w:val="20"/>
        </w:rPr>
        <w:t>.</w:t>
      </w:r>
      <w:r>
        <w:rPr>
          <w:sz w:val="20"/>
          <w:szCs w:val="20"/>
        </w:rPr>
        <w:t xml:space="preserve"> A copy of the press release is attached as Exhibit 99.</w:t>
      </w:r>
      <w:r w:rsidR="00EC3F8A">
        <w:rPr>
          <w:sz w:val="20"/>
          <w:szCs w:val="20"/>
        </w:rPr>
        <w:t>1</w:t>
      </w:r>
      <w:r>
        <w:rPr>
          <w:sz w:val="20"/>
          <w:szCs w:val="20"/>
        </w:rPr>
        <w:t xml:space="preserve"> to this Current Report on Form 8-K</w:t>
      </w:r>
      <w:r>
        <w:rPr>
          <w:bCs/>
          <w:sz w:val="20"/>
          <w:szCs w:val="20"/>
        </w:rPr>
        <w:t>.</w:t>
      </w:r>
      <w:r>
        <w:rPr>
          <w:sz w:val="20"/>
          <w:szCs w:val="20"/>
        </w:rPr>
        <w:t xml:space="preserve"> </w:t>
      </w:r>
    </w:p>
    <w:p w14:paraId="1C41C417" w14:textId="77777777" w:rsidR="00F404C4" w:rsidRDefault="00F404C4" w:rsidP="00C36B57">
      <w:pPr>
        <w:ind w:right="144"/>
        <w:rPr>
          <w:sz w:val="20"/>
          <w:szCs w:val="20"/>
        </w:rPr>
      </w:pPr>
    </w:p>
    <w:p w14:paraId="413D330F" w14:textId="77777777" w:rsidR="00BB7014" w:rsidRDefault="00BB7014" w:rsidP="00F100FC">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8D7E3A" w14:paraId="32E025F6" w14:textId="77777777" w:rsidTr="008D7E3A">
        <w:tc>
          <w:tcPr>
            <w:tcW w:w="600" w:type="pct"/>
            <w:tcMar>
              <w:top w:w="5" w:type="dxa"/>
              <w:left w:w="5" w:type="dxa"/>
              <w:bottom w:w="5" w:type="dxa"/>
              <w:right w:w="5" w:type="dxa"/>
            </w:tcMar>
            <w:hideMark/>
          </w:tcPr>
          <w:p w14:paraId="09820083" w14:textId="77777777" w:rsidR="008D7E3A" w:rsidRDefault="008D7E3A">
            <w:pPr>
              <w:ind w:left="180"/>
              <w:rPr>
                <w:sz w:val="20"/>
                <w:szCs w:val="20"/>
              </w:rPr>
            </w:pPr>
            <w:r>
              <w:rPr>
                <w:sz w:val="20"/>
                <w:szCs w:val="20"/>
              </w:rPr>
              <w:t>99.1</w:t>
            </w:r>
          </w:p>
        </w:tc>
        <w:tc>
          <w:tcPr>
            <w:tcW w:w="4400" w:type="pct"/>
            <w:tcMar>
              <w:top w:w="5" w:type="dxa"/>
              <w:left w:w="5" w:type="dxa"/>
              <w:bottom w:w="5" w:type="dxa"/>
              <w:right w:w="5" w:type="dxa"/>
            </w:tcMar>
            <w:hideMark/>
          </w:tcPr>
          <w:p w14:paraId="5B5A50F1" w14:textId="1A2F5D49" w:rsidR="008D7E3A" w:rsidRDefault="00EC3F8A" w:rsidP="00EC3F8A">
            <w:pPr>
              <w:rPr>
                <w:sz w:val="20"/>
                <w:szCs w:val="20"/>
              </w:rPr>
            </w:pPr>
            <w:r w:rsidRPr="00B02C57">
              <w:rPr>
                <w:bCs/>
                <w:sz w:val="20"/>
                <w:szCs w:val="20"/>
              </w:rPr>
              <w:t xml:space="preserve">Press Release dated </w:t>
            </w:r>
            <w:r w:rsidR="00BD027C">
              <w:rPr>
                <w:bCs/>
                <w:sz w:val="20"/>
                <w:szCs w:val="20"/>
              </w:rPr>
              <w:t>August 6</w:t>
            </w:r>
            <w:r w:rsidRPr="00B02C57">
              <w:rPr>
                <w:bCs/>
                <w:sz w:val="20"/>
                <w:szCs w:val="20"/>
              </w:rPr>
              <w:t>, 202</w:t>
            </w:r>
            <w:r w:rsidR="005A5B22">
              <w:rPr>
                <w:bCs/>
                <w:sz w:val="20"/>
                <w:szCs w:val="20"/>
              </w:rPr>
              <w:t>4</w:t>
            </w:r>
          </w:p>
        </w:tc>
      </w:tr>
      <w:tr w:rsidR="00BC6263" w14:paraId="2D4C5F1F" w14:textId="77777777" w:rsidTr="008D7E3A">
        <w:tc>
          <w:tcPr>
            <w:tcW w:w="600" w:type="pct"/>
            <w:tcMar>
              <w:top w:w="5" w:type="dxa"/>
              <w:left w:w="5" w:type="dxa"/>
              <w:bottom w:w="5" w:type="dxa"/>
              <w:right w:w="5" w:type="dxa"/>
            </w:tcMar>
          </w:tcPr>
          <w:p w14:paraId="21AF7946" w14:textId="40C001CF" w:rsidR="00BC6263" w:rsidRDefault="00BC6263" w:rsidP="00BC6263">
            <w:pPr>
              <w:ind w:left="180"/>
              <w:rPr>
                <w:sz w:val="20"/>
                <w:szCs w:val="20"/>
              </w:rPr>
            </w:pPr>
            <w:r>
              <w:rPr>
                <w:sz w:val="20"/>
                <w:szCs w:val="20"/>
              </w:rPr>
              <w:t>104</w:t>
            </w:r>
          </w:p>
        </w:tc>
        <w:tc>
          <w:tcPr>
            <w:tcW w:w="4400" w:type="pct"/>
            <w:tcMar>
              <w:top w:w="5" w:type="dxa"/>
              <w:left w:w="5" w:type="dxa"/>
              <w:bottom w:w="5" w:type="dxa"/>
              <w:right w:w="5" w:type="dxa"/>
            </w:tcMar>
          </w:tcPr>
          <w:p w14:paraId="63CC3CFB" w14:textId="584ABFD9" w:rsidR="00BC6263" w:rsidRDefault="00BC6263" w:rsidP="00BC6263">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77777777"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6B7D0F6D" w:rsidR="008D7E3A" w:rsidRDefault="008D7E3A" w:rsidP="008D7E3A">
      <w:pPr>
        <w:ind w:left="144" w:right="144"/>
        <w:rPr>
          <w:sz w:val="20"/>
          <w:szCs w:val="20"/>
        </w:rPr>
      </w:pPr>
      <w:r>
        <w:rPr>
          <w:sz w:val="20"/>
          <w:szCs w:val="20"/>
        </w:rPr>
        <w:t xml:space="preserve">Date: </w:t>
      </w:r>
      <w:r w:rsidR="00BD027C">
        <w:rPr>
          <w:sz w:val="20"/>
          <w:szCs w:val="20"/>
        </w:rPr>
        <w:t>August</w:t>
      </w:r>
      <w:r w:rsidR="004D4E0A">
        <w:rPr>
          <w:sz w:val="20"/>
          <w:szCs w:val="20"/>
        </w:rPr>
        <w:t xml:space="preserve"> </w:t>
      </w:r>
      <w:r w:rsidR="00BD027C">
        <w:rPr>
          <w:sz w:val="20"/>
          <w:szCs w:val="20"/>
        </w:rPr>
        <w:t>7</w:t>
      </w:r>
      <w:r>
        <w:rPr>
          <w:sz w:val="20"/>
          <w:szCs w:val="20"/>
        </w:rPr>
        <w:t>, 202</w:t>
      </w:r>
      <w:r w:rsidR="005A5B22">
        <w:rPr>
          <w:sz w:val="20"/>
          <w:szCs w:val="20"/>
        </w:rPr>
        <w:t>4</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64C7463F" w14:textId="77777777" w:rsidR="007F32E9" w:rsidRDefault="007F32E9" w:rsidP="008D7E3A">
      <w:pPr>
        <w:sectPr w:rsidR="007F32E9">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144" w:footer="432" w:gutter="0"/>
          <w:cols w:space="720"/>
        </w:sectPr>
      </w:pPr>
    </w:p>
    <w:p w14:paraId="56AA040C" w14:textId="34E30859" w:rsidR="007F32E9" w:rsidRPr="00AB38A1" w:rsidRDefault="007F32E9" w:rsidP="007F32E9">
      <w:pPr>
        <w:rPr>
          <w:b/>
        </w:rPr>
      </w:pPr>
      <w:r>
        <w:rPr>
          <w:noProof/>
        </w:rPr>
        <w:lastRenderedPageBreak/>
        <mc:AlternateContent>
          <mc:Choice Requires="wps">
            <w:drawing>
              <wp:anchor distT="45720" distB="45720" distL="114300" distR="114300" simplePos="0" relativeHeight="251659264" behindDoc="1" locked="0" layoutInCell="1" allowOverlap="1" wp14:anchorId="2D24F68E" wp14:editId="59F3D196">
                <wp:simplePos x="0" y="0"/>
                <wp:positionH relativeFrom="column">
                  <wp:posOffset>5406390</wp:posOffset>
                </wp:positionH>
                <wp:positionV relativeFrom="paragraph">
                  <wp:posOffset>-88900</wp:posOffset>
                </wp:positionV>
                <wp:extent cx="10477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noFill/>
                          <a:miter lim="800000"/>
                          <a:headEnd/>
                          <a:tailEnd/>
                        </a:ln>
                      </wps:spPr>
                      <wps:txbx>
                        <w:txbxContent>
                          <w:p w14:paraId="3B0B8800" w14:textId="77777777" w:rsidR="007F32E9" w:rsidRPr="007F32E9" w:rsidRDefault="007F32E9" w:rsidP="007F32E9">
                            <w:pPr>
                              <w:rPr>
                                <w:b/>
                                <w:bCs/>
                              </w:rPr>
                            </w:pPr>
                            <w:r w:rsidRPr="007F32E9">
                              <w:rPr>
                                <w:b/>
                                <w:bCs/>
                              </w:rPr>
                              <w:t>Exhibit 99.1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4F68E" id="_x0000_t202" coordsize="21600,21600" o:spt="202" path="m,l,21600r21600,l21600,xe">
                <v:stroke joinstyle="miter"/>
                <v:path gradientshapeok="t" o:connecttype="rect"/>
              </v:shapetype>
              <v:shape id="Text Box 2" o:spid="_x0000_s1026" type="#_x0000_t202" style="position:absolute;margin-left:425.7pt;margin-top:-7pt;width:8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" stroked="f">
                <v:textbox style="mso-fit-shape-to-text:t">
                  <w:txbxContent>
                    <w:p w14:paraId="3B0B8800" w14:textId="77777777" w:rsidR="007F32E9" w:rsidRPr="007F32E9" w:rsidRDefault="007F32E9" w:rsidP="007F32E9">
                      <w:pPr>
                        <w:rPr>
                          <w:b/>
                          <w:bCs/>
                        </w:rPr>
                      </w:pPr>
                      <w:r w:rsidRPr="007F32E9">
                        <w:rPr>
                          <w:b/>
                          <w:bCs/>
                        </w:rPr>
                        <w:t>Exhibit 99.1</w:t>
                      </w:r>
                    </w:p>
                  </w:txbxContent>
                </v:textbox>
              </v:shape>
            </w:pict>
          </mc:Fallback>
        </mc:AlternateContent>
      </w:r>
    </w:p>
    <w:p w14:paraId="536A3180" w14:textId="3FF85509" w:rsidR="007F32E9" w:rsidRDefault="007F32E9" w:rsidP="007F32E9">
      <w:pPr>
        <w:jc w:val="center"/>
        <w:rPr>
          <w:b/>
          <w:color w:val="FF0000"/>
          <w:sz w:val="32"/>
          <w:szCs w:val="32"/>
        </w:rPr>
      </w:pPr>
    </w:p>
    <w:p w14:paraId="2BF9DFFB" w14:textId="527AF3CD" w:rsidR="007F32E9" w:rsidRPr="00EA3221" w:rsidRDefault="007F32E9" w:rsidP="007F32E9">
      <w:pPr>
        <w:jc w:val="center"/>
        <w:rPr>
          <w:b/>
          <w:bCs/>
          <w:color w:val="000000" w:themeColor="text1"/>
          <w:sz w:val="40"/>
          <w:szCs w:val="40"/>
        </w:rPr>
      </w:pPr>
      <w:r w:rsidRPr="00EA3221">
        <w:rPr>
          <w:b/>
          <w:bCs/>
          <w:color w:val="000000" w:themeColor="text1"/>
          <w:sz w:val="40"/>
          <w:szCs w:val="40"/>
        </w:rPr>
        <w:t xml:space="preserve">GeoVax Reports </w:t>
      </w:r>
      <w:r>
        <w:rPr>
          <w:b/>
          <w:bCs/>
          <w:color w:val="000000" w:themeColor="text1"/>
          <w:sz w:val="40"/>
          <w:szCs w:val="40"/>
        </w:rPr>
        <w:t>Second</w:t>
      </w:r>
      <w:r w:rsidRPr="00EA3221">
        <w:rPr>
          <w:b/>
          <w:bCs/>
          <w:color w:val="000000" w:themeColor="text1"/>
          <w:sz w:val="40"/>
          <w:szCs w:val="40"/>
        </w:rPr>
        <w:t xml:space="preserve"> Quarter 2024 Financial Results</w:t>
      </w:r>
    </w:p>
    <w:p w14:paraId="2C1269EA" w14:textId="60A7F126" w:rsidR="007F32E9" w:rsidRPr="00EA3221" w:rsidRDefault="007F32E9" w:rsidP="007F32E9">
      <w:pPr>
        <w:jc w:val="center"/>
        <w:rPr>
          <w:b/>
          <w:bCs/>
          <w:color w:val="000000" w:themeColor="text1"/>
          <w:sz w:val="40"/>
          <w:szCs w:val="40"/>
        </w:rPr>
      </w:pPr>
      <w:r w:rsidRPr="00EA3221">
        <w:rPr>
          <w:b/>
          <w:bCs/>
          <w:color w:val="000000" w:themeColor="text1"/>
          <w:sz w:val="40"/>
          <w:szCs w:val="40"/>
        </w:rPr>
        <w:t>and Provides Business Update</w:t>
      </w:r>
    </w:p>
    <w:p w14:paraId="597605A8" w14:textId="0B65D54A" w:rsidR="007F32E9" w:rsidRDefault="007F32E9" w:rsidP="007F32E9">
      <w:pPr>
        <w:rPr>
          <w:i/>
          <w:iCs/>
          <w:color w:val="000000" w:themeColor="text1"/>
          <w:sz w:val="22"/>
          <w:szCs w:val="22"/>
        </w:rPr>
      </w:pPr>
    </w:p>
    <w:p w14:paraId="1FC3DB18" w14:textId="67B39285" w:rsidR="007F32E9" w:rsidRPr="002877DB" w:rsidRDefault="007F32E9" w:rsidP="007F32E9">
      <w:pPr>
        <w:jc w:val="center"/>
        <w:rPr>
          <w:i/>
          <w:iCs/>
          <w:sz w:val="22"/>
          <w:szCs w:val="22"/>
        </w:rPr>
      </w:pPr>
      <w:r>
        <w:rPr>
          <w:i/>
          <w:iCs/>
          <w:color w:val="000000" w:themeColor="text1"/>
          <w:sz w:val="22"/>
          <w:szCs w:val="22"/>
        </w:rPr>
        <w:t xml:space="preserve">Awarded BARDA </w:t>
      </w:r>
      <w:r w:rsidRPr="002877DB">
        <w:rPr>
          <w:i/>
          <w:iCs/>
          <w:sz w:val="22"/>
          <w:szCs w:val="22"/>
        </w:rPr>
        <w:t xml:space="preserve">Project NextGen (PNG) contract to advance GeoVax’s multi-antigen vaccine candidate, GEO-CM04S1, into 10,000-participant randomized, comparative Phase 2b COVID-19 vaccine study </w:t>
      </w:r>
    </w:p>
    <w:p w14:paraId="37B8F220" w14:textId="77777777" w:rsidR="007F32E9" w:rsidRPr="002877DB" w:rsidRDefault="007F32E9" w:rsidP="007F32E9">
      <w:pPr>
        <w:jc w:val="center"/>
        <w:rPr>
          <w:i/>
          <w:iCs/>
          <w:sz w:val="22"/>
          <w:szCs w:val="22"/>
        </w:rPr>
      </w:pPr>
    </w:p>
    <w:p w14:paraId="4D2D7743" w14:textId="77777777" w:rsidR="007F32E9" w:rsidRPr="002877DB" w:rsidRDefault="007F32E9" w:rsidP="007F32E9">
      <w:pPr>
        <w:jc w:val="center"/>
        <w:rPr>
          <w:i/>
          <w:iCs/>
          <w:sz w:val="22"/>
          <w:szCs w:val="22"/>
        </w:rPr>
      </w:pPr>
      <w:r w:rsidRPr="002877DB">
        <w:rPr>
          <w:i/>
          <w:iCs/>
          <w:sz w:val="22"/>
          <w:szCs w:val="22"/>
        </w:rPr>
        <w:t>BARDA PNG award represents greater than $350 million in support of PNG GEO-CM04S1 clinical trial</w:t>
      </w:r>
      <w:r>
        <w:rPr>
          <w:i/>
          <w:iCs/>
          <w:sz w:val="22"/>
          <w:szCs w:val="22"/>
        </w:rPr>
        <w:t>, including direct funding of CRO partner Allucent</w:t>
      </w:r>
    </w:p>
    <w:p w14:paraId="644523AC" w14:textId="77777777" w:rsidR="007F32E9" w:rsidRPr="002877DB" w:rsidRDefault="007F32E9" w:rsidP="007F32E9">
      <w:pPr>
        <w:jc w:val="center"/>
        <w:rPr>
          <w:i/>
          <w:iCs/>
          <w:sz w:val="22"/>
          <w:szCs w:val="22"/>
        </w:rPr>
      </w:pPr>
    </w:p>
    <w:p w14:paraId="4B76719F" w14:textId="77777777" w:rsidR="007F32E9" w:rsidRDefault="007F32E9" w:rsidP="007F32E9">
      <w:pPr>
        <w:jc w:val="center"/>
        <w:rPr>
          <w:i/>
          <w:iCs/>
          <w:sz w:val="22"/>
          <w:szCs w:val="22"/>
        </w:rPr>
      </w:pPr>
      <w:r w:rsidRPr="002877DB">
        <w:rPr>
          <w:i/>
          <w:iCs/>
          <w:sz w:val="22"/>
          <w:szCs w:val="22"/>
        </w:rPr>
        <w:t>Multiple planned data readouts for GEO-CM04S1 throughout second half of 2024</w:t>
      </w:r>
    </w:p>
    <w:p w14:paraId="19F1CF6F" w14:textId="77777777" w:rsidR="007F32E9" w:rsidRDefault="007F32E9" w:rsidP="007F32E9">
      <w:pPr>
        <w:jc w:val="center"/>
        <w:rPr>
          <w:i/>
          <w:iCs/>
          <w:sz w:val="22"/>
          <w:szCs w:val="22"/>
        </w:rPr>
      </w:pPr>
      <w:r>
        <w:rPr>
          <w:i/>
          <w:iCs/>
          <w:sz w:val="22"/>
          <w:szCs w:val="22"/>
        </w:rPr>
        <w:t>Gedeptin</w:t>
      </w:r>
      <w:r w:rsidRPr="00AC66F2">
        <w:rPr>
          <w:i/>
          <w:iCs/>
          <w:sz w:val="22"/>
          <w:szCs w:val="22"/>
          <w:vertAlign w:val="superscript"/>
        </w:rPr>
        <w:t>®</w:t>
      </w:r>
      <w:r>
        <w:rPr>
          <w:i/>
          <w:iCs/>
          <w:sz w:val="22"/>
          <w:szCs w:val="22"/>
        </w:rPr>
        <w:t xml:space="preserve"> to advance into expanded Phase 2 clinical trial</w:t>
      </w:r>
      <w:r w:rsidRPr="002877DB">
        <w:rPr>
          <w:i/>
          <w:iCs/>
          <w:sz w:val="22"/>
          <w:szCs w:val="22"/>
        </w:rPr>
        <w:t xml:space="preserve"> </w:t>
      </w:r>
      <w:r>
        <w:rPr>
          <w:i/>
          <w:iCs/>
          <w:sz w:val="22"/>
          <w:szCs w:val="22"/>
        </w:rPr>
        <w:t>with activation in the first half of 2025</w:t>
      </w:r>
    </w:p>
    <w:p w14:paraId="6CAF93AA" w14:textId="77777777" w:rsidR="007F32E9" w:rsidRPr="002877DB" w:rsidRDefault="007F32E9" w:rsidP="007F32E9">
      <w:pPr>
        <w:jc w:val="center"/>
        <w:rPr>
          <w:i/>
          <w:iCs/>
          <w:sz w:val="22"/>
          <w:szCs w:val="22"/>
        </w:rPr>
      </w:pPr>
    </w:p>
    <w:p w14:paraId="26C0BF65" w14:textId="77777777" w:rsidR="007F32E9" w:rsidRPr="002877DB" w:rsidRDefault="007F32E9" w:rsidP="007F32E9">
      <w:pPr>
        <w:jc w:val="center"/>
        <w:rPr>
          <w:bCs/>
          <w:i/>
          <w:iCs/>
          <w:sz w:val="22"/>
          <w:szCs w:val="22"/>
        </w:rPr>
      </w:pPr>
      <w:r w:rsidRPr="002877DB">
        <w:rPr>
          <w:bCs/>
          <w:i/>
          <w:iCs/>
          <w:sz w:val="22"/>
          <w:szCs w:val="22"/>
        </w:rPr>
        <w:t>Company to host conference call and webcast today at 4:30 p.m. ET</w:t>
      </w:r>
      <w:r>
        <w:rPr>
          <w:bCs/>
          <w:i/>
          <w:iCs/>
          <w:sz w:val="22"/>
          <w:szCs w:val="22"/>
        </w:rPr>
        <w:t xml:space="preserve"> </w:t>
      </w:r>
    </w:p>
    <w:p w14:paraId="4B7B490D" w14:textId="77777777" w:rsidR="007F32E9" w:rsidRPr="00EA3221" w:rsidRDefault="007F32E9" w:rsidP="007F32E9">
      <w:pPr>
        <w:tabs>
          <w:tab w:val="left" w:pos="6399"/>
        </w:tabs>
        <w:rPr>
          <w:color w:val="000000" w:themeColor="text1"/>
        </w:rPr>
      </w:pPr>
    </w:p>
    <w:p w14:paraId="53AE5CE0" w14:textId="77777777" w:rsidR="007F32E9" w:rsidRPr="00EA3221" w:rsidRDefault="007F32E9" w:rsidP="007F32E9">
      <w:pPr>
        <w:jc w:val="both"/>
        <w:rPr>
          <w:color w:val="000000" w:themeColor="text1"/>
          <w:sz w:val="22"/>
          <w:szCs w:val="22"/>
        </w:rPr>
      </w:pPr>
      <w:r w:rsidRPr="00EA3221">
        <w:rPr>
          <w:b/>
          <w:bCs/>
          <w:color w:val="000000" w:themeColor="text1"/>
          <w:sz w:val="22"/>
          <w:szCs w:val="22"/>
        </w:rPr>
        <w:t xml:space="preserve">ATLANTA, GA, </w:t>
      </w:r>
      <w:r>
        <w:rPr>
          <w:b/>
          <w:bCs/>
          <w:color w:val="000000" w:themeColor="text1"/>
          <w:sz w:val="22"/>
          <w:szCs w:val="22"/>
        </w:rPr>
        <w:t>August</w:t>
      </w:r>
      <w:r w:rsidRPr="00EA3221">
        <w:rPr>
          <w:b/>
          <w:bCs/>
          <w:color w:val="000000" w:themeColor="text1"/>
          <w:sz w:val="22"/>
          <w:szCs w:val="22"/>
        </w:rPr>
        <w:t xml:space="preserve"> </w:t>
      </w:r>
      <w:r>
        <w:rPr>
          <w:b/>
          <w:bCs/>
          <w:color w:val="000000" w:themeColor="text1"/>
          <w:sz w:val="22"/>
          <w:szCs w:val="22"/>
        </w:rPr>
        <w:t>6</w:t>
      </w:r>
      <w:r w:rsidRPr="00EA3221">
        <w:rPr>
          <w:b/>
          <w:bCs/>
          <w:color w:val="000000" w:themeColor="text1"/>
          <w:sz w:val="22"/>
          <w:szCs w:val="22"/>
        </w:rPr>
        <w:t>, 2024 –</w:t>
      </w:r>
      <w:r w:rsidRPr="00EA3221">
        <w:rPr>
          <w:color w:val="000000" w:themeColor="text1"/>
          <w:sz w:val="22"/>
          <w:szCs w:val="22"/>
        </w:rPr>
        <w:t xml:space="preserve"> GeoVax Labs, Inc. (Nasdaq: GOVX), a biotechnology company developing immunotherapies and vaccines against cancers and infectious diseases, today announced financial results for the </w:t>
      </w:r>
      <w:r>
        <w:rPr>
          <w:color w:val="000000" w:themeColor="text1"/>
          <w:sz w:val="22"/>
          <w:szCs w:val="22"/>
        </w:rPr>
        <w:t xml:space="preserve">second </w:t>
      </w:r>
      <w:r w:rsidRPr="00EA3221">
        <w:rPr>
          <w:color w:val="000000" w:themeColor="text1"/>
          <w:sz w:val="22"/>
          <w:szCs w:val="22"/>
        </w:rPr>
        <w:t xml:space="preserve">quarter ended </w:t>
      </w:r>
      <w:r>
        <w:rPr>
          <w:color w:val="000000" w:themeColor="text1"/>
          <w:sz w:val="22"/>
          <w:szCs w:val="22"/>
        </w:rPr>
        <w:t>June 30</w:t>
      </w:r>
      <w:r w:rsidRPr="00EA3221">
        <w:rPr>
          <w:color w:val="000000" w:themeColor="text1"/>
          <w:sz w:val="22"/>
          <w:szCs w:val="22"/>
        </w:rPr>
        <w:t xml:space="preserve">, 2024, and provided a business update. </w:t>
      </w:r>
    </w:p>
    <w:p w14:paraId="632DDF74" w14:textId="77777777" w:rsidR="007F32E9" w:rsidRPr="00EA3221" w:rsidRDefault="007F32E9" w:rsidP="007F32E9">
      <w:pPr>
        <w:jc w:val="both"/>
        <w:rPr>
          <w:rFonts w:eastAsia="Calibri"/>
          <w:b/>
          <w:bCs/>
          <w:color w:val="000000" w:themeColor="text1"/>
          <w:kern w:val="2"/>
          <w:sz w:val="22"/>
          <w:szCs w:val="22"/>
          <w14:ligatures w14:val="standardContextual"/>
        </w:rPr>
      </w:pPr>
    </w:p>
    <w:p w14:paraId="71E25C6C" w14:textId="77777777" w:rsidR="007F32E9" w:rsidRDefault="007F32E9" w:rsidP="007F32E9">
      <w:pPr>
        <w:jc w:val="both"/>
        <w:rPr>
          <w:rFonts w:eastAsia="Calibri"/>
          <w:color w:val="000000" w:themeColor="text1"/>
          <w:kern w:val="2"/>
          <w:sz w:val="22"/>
          <w:szCs w:val="22"/>
          <w14:ligatures w14:val="standardContextual"/>
        </w:rPr>
      </w:pPr>
      <w:r w:rsidRPr="00481CD3">
        <w:rPr>
          <w:rFonts w:eastAsia="Calibri"/>
          <w:color w:val="000000" w:themeColor="text1"/>
          <w:kern w:val="2"/>
          <w:sz w:val="22"/>
          <w:szCs w:val="22"/>
          <w14:ligatures w14:val="standardContextual"/>
        </w:rPr>
        <w:t>“The first half of 2024 has been marked by significant progress</w:t>
      </w:r>
      <w:r>
        <w:rPr>
          <w:rFonts w:eastAsia="Calibri"/>
          <w:color w:val="000000" w:themeColor="text1"/>
          <w:kern w:val="2"/>
          <w:sz w:val="22"/>
          <w:szCs w:val="22"/>
          <w14:ligatures w14:val="standardContextual"/>
        </w:rPr>
        <w:t xml:space="preserve"> across our company</w:t>
      </w:r>
      <w:r w:rsidRPr="00481CD3">
        <w:rPr>
          <w:rFonts w:eastAsia="Calibri"/>
          <w:color w:val="000000" w:themeColor="text1"/>
          <w:kern w:val="2"/>
          <w:sz w:val="22"/>
          <w:szCs w:val="22"/>
          <w14:ligatures w14:val="standardContextual"/>
        </w:rPr>
        <w:t xml:space="preserve">, </w:t>
      </w:r>
      <w:r>
        <w:rPr>
          <w:rFonts w:eastAsia="Calibri"/>
          <w:color w:val="000000" w:themeColor="text1"/>
          <w:kern w:val="2"/>
          <w:sz w:val="22"/>
          <w:szCs w:val="22"/>
          <w14:ligatures w14:val="standardContextual"/>
        </w:rPr>
        <w:t xml:space="preserve">underscored </w:t>
      </w:r>
      <w:r w:rsidRPr="00481CD3">
        <w:rPr>
          <w:rFonts w:eastAsia="Calibri"/>
          <w:color w:val="000000" w:themeColor="text1"/>
          <w:kern w:val="2"/>
          <w:sz w:val="22"/>
          <w:szCs w:val="22"/>
          <w14:ligatures w14:val="standardContextual"/>
        </w:rPr>
        <w:t xml:space="preserve">by our recent </w:t>
      </w:r>
      <w:r w:rsidRPr="00333200">
        <w:rPr>
          <w:rFonts w:eastAsia="Calibri"/>
          <w:kern w:val="2"/>
          <w:sz w:val="22"/>
          <w:szCs w:val="22"/>
          <w14:ligatures w14:val="standardContextual"/>
        </w:rPr>
        <w:t xml:space="preserve">announcement of the receipt of the BARDA Project NextGen award to evaluate GEO-CM04S1, our next-generation, dual-antigen COVID-19 vaccine. Additionally, we are pleased to partner with Allucent, a global CRO, to commence the trial and advance GEO-CM04S1 into the </w:t>
      </w:r>
      <w:r>
        <w:rPr>
          <w:rFonts w:eastAsia="Calibri"/>
          <w:kern w:val="2"/>
          <w:sz w:val="22"/>
          <w:szCs w:val="22"/>
          <w14:ligatures w14:val="standardContextual"/>
        </w:rPr>
        <w:t xml:space="preserve">BARDA-funded </w:t>
      </w:r>
      <w:r w:rsidRPr="00333200">
        <w:rPr>
          <w:rFonts w:eastAsia="Calibri"/>
          <w:kern w:val="2"/>
          <w:sz w:val="22"/>
          <w:szCs w:val="22"/>
          <w14:ligatures w14:val="standardContextual"/>
        </w:rPr>
        <w:t xml:space="preserve">10,000-patient Phase 2b clinical study. With greater than $350 million secured to conduct the trial, this recognition from the U.S. government not only validates our clinical strategy, but also provides the necessary resources to more rapidly advance our mission,” stated David </w:t>
      </w:r>
      <w:r>
        <w:rPr>
          <w:rFonts w:eastAsia="Calibri"/>
          <w:color w:val="000000" w:themeColor="text1"/>
          <w:kern w:val="2"/>
          <w:sz w:val="22"/>
          <w:szCs w:val="22"/>
          <w14:ligatures w14:val="standardContextual"/>
        </w:rPr>
        <w:t xml:space="preserve">Dodd, GeoVax’s Chairman and CEO. </w:t>
      </w:r>
    </w:p>
    <w:p w14:paraId="1400A209" w14:textId="77777777" w:rsidR="007F32E9" w:rsidRDefault="007F32E9" w:rsidP="007F32E9">
      <w:pPr>
        <w:jc w:val="both"/>
        <w:rPr>
          <w:rFonts w:eastAsia="Calibri"/>
          <w:color w:val="000000" w:themeColor="text1"/>
          <w:kern w:val="2"/>
          <w:sz w:val="22"/>
          <w:szCs w:val="22"/>
          <w14:ligatures w14:val="standardContextual"/>
        </w:rPr>
      </w:pPr>
    </w:p>
    <w:p w14:paraId="7754DE0D" w14:textId="77777777" w:rsidR="007F32E9" w:rsidRPr="00481CD3" w:rsidRDefault="007F32E9" w:rsidP="007F32E9">
      <w:pPr>
        <w:jc w:val="both"/>
        <w:rPr>
          <w:rFonts w:eastAsia="Calibri"/>
          <w:color w:val="000000" w:themeColor="text1"/>
          <w:kern w:val="2"/>
          <w:sz w:val="22"/>
          <w:szCs w:val="22"/>
          <w14:ligatures w14:val="standardContextual"/>
        </w:rPr>
      </w:pPr>
      <w:r>
        <w:rPr>
          <w:rFonts w:eastAsia="Calibri"/>
          <w:color w:val="000000" w:themeColor="text1"/>
          <w:kern w:val="2"/>
          <w:sz w:val="22"/>
          <w:szCs w:val="22"/>
          <w14:ligatures w14:val="standardContextual"/>
        </w:rPr>
        <w:t>“</w:t>
      </w:r>
      <w:r w:rsidRPr="00481CD3">
        <w:rPr>
          <w:rFonts w:eastAsia="Calibri"/>
          <w:color w:val="000000" w:themeColor="text1"/>
          <w:kern w:val="2"/>
          <w:sz w:val="22"/>
          <w:szCs w:val="22"/>
          <w14:ligatures w14:val="standardContextual"/>
        </w:rPr>
        <w:t xml:space="preserve">While first-generation COVID-19 vaccines were essential during the </w:t>
      </w:r>
      <w:r>
        <w:rPr>
          <w:rFonts w:eastAsia="Calibri"/>
          <w:color w:val="000000" w:themeColor="text1"/>
          <w:kern w:val="2"/>
          <w:sz w:val="22"/>
          <w:szCs w:val="22"/>
          <w14:ligatures w14:val="standardContextual"/>
        </w:rPr>
        <w:t>early days of the pandemic</w:t>
      </w:r>
      <w:r w:rsidRPr="00481CD3">
        <w:rPr>
          <w:rFonts w:eastAsia="Calibri"/>
          <w:color w:val="000000" w:themeColor="text1"/>
          <w:kern w:val="2"/>
          <w:sz w:val="22"/>
          <w:szCs w:val="22"/>
          <w14:ligatures w14:val="standardContextual"/>
        </w:rPr>
        <w:t xml:space="preserve">, </w:t>
      </w:r>
      <w:r>
        <w:rPr>
          <w:rFonts w:eastAsia="Calibri"/>
          <w:color w:val="000000" w:themeColor="text1"/>
          <w:kern w:val="2"/>
          <w:sz w:val="22"/>
          <w:szCs w:val="22"/>
          <w14:ligatures w14:val="standardContextual"/>
        </w:rPr>
        <w:t xml:space="preserve">they require frequent updates to combat waning efficacy and durability issues now that COVID-19 has proven to be endemic. </w:t>
      </w:r>
      <w:r w:rsidRPr="00481CD3">
        <w:rPr>
          <w:rFonts w:eastAsia="Calibri"/>
          <w:color w:val="000000" w:themeColor="text1"/>
          <w:kern w:val="2"/>
          <w:sz w:val="22"/>
          <w:szCs w:val="22"/>
          <w14:ligatures w14:val="standardContextual"/>
        </w:rPr>
        <w:t>GEO-CM04S1 has demonstrated potent</w:t>
      </w:r>
      <w:r>
        <w:rPr>
          <w:rFonts w:eastAsia="Calibri"/>
          <w:color w:val="000000" w:themeColor="text1"/>
          <w:kern w:val="2"/>
          <w:sz w:val="22"/>
          <w:szCs w:val="22"/>
          <w14:ligatures w14:val="standardContextual"/>
        </w:rPr>
        <w:t>, broadly reactive, and durable antibody and T cell</w:t>
      </w:r>
      <w:r w:rsidRPr="00481CD3">
        <w:rPr>
          <w:rFonts w:eastAsia="Calibri"/>
          <w:color w:val="000000" w:themeColor="text1"/>
          <w:kern w:val="2"/>
          <w:sz w:val="22"/>
          <w:szCs w:val="22"/>
          <w14:ligatures w14:val="standardContextual"/>
        </w:rPr>
        <w:t xml:space="preserve"> immune responses</w:t>
      </w:r>
      <w:r>
        <w:rPr>
          <w:rFonts w:eastAsia="Calibri"/>
          <w:color w:val="000000" w:themeColor="text1"/>
          <w:kern w:val="2"/>
          <w:sz w:val="22"/>
          <w:szCs w:val="22"/>
          <w14:ligatures w14:val="standardContextual"/>
        </w:rPr>
        <w:t xml:space="preserve"> </w:t>
      </w:r>
      <w:r w:rsidRPr="00947EA3">
        <w:rPr>
          <w:rFonts w:eastAsia="Calibri"/>
          <w:color w:val="000000" w:themeColor="text1"/>
          <w:kern w:val="2"/>
          <w:sz w:val="22"/>
          <w:szCs w:val="22"/>
          <w14:ligatures w14:val="standardContextual"/>
        </w:rPr>
        <w:t>in individuals with both healthy and compromised immune systems. Given the growing appreciation that strong T-cell responses are critically important for both antibody recall and protection against severe disease and hospitalization, GEO-CM04S1 is particularly well-positioned as a next-generation COVID-19 vaccine</w:t>
      </w:r>
      <w:r w:rsidRPr="00481CD3">
        <w:rPr>
          <w:rFonts w:eastAsia="Calibri"/>
          <w:color w:val="000000" w:themeColor="text1"/>
          <w:kern w:val="2"/>
          <w:sz w:val="22"/>
          <w:szCs w:val="22"/>
          <w14:ligatures w14:val="standardContextual"/>
        </w:rPr>
        <w:t xml:space="preserve"> with the potential </w:t>
      </w:r>
      <w:r>
        <w:rPr>
          <w:rFonts w:eastAsia="Calibri"/>
          <w:color w:val="000000" w:themeColor="text1"/>
          <w:kern w:val="2"/>
          <w:sz w:val="22"/>
          <w:szCs w:val="22"/>
          <w14:ligatures w14:val="standardContextual"/>
        </w:rPr>
        <w:t xml:space="preserve">to greatly improve patient care,” Dodd continued. </w:t>
      </w:r>
    </w:p>
    <w:p w14:paraId="0DD78E10" w14:textId="77777777" w:rsidR="007F32E9" w:rsidRPr="00481CD3" w:rsidRDefault="007F32E9" w:rsidP="007F32E9">
      <w:pPr>
        <w:jc w:val="both"/>
        <w:rPr>
          <w:rFonts w:eastAsia="Calibri"/>
          <w:color w:val="000000" w:themeColor="text1"/>
          <w:kern w:val="2"/>
          <w:sz w:val="22"/>
          <w:szCs w:val="22"/>
          <w14:ligatures w14:val="standardContextual"/>
        </w:rPr>
      </w:pPr>
    </w:p>
    <w:p w14:paraId="2171C0AC" w14:textId="77777777" w:rsidR="007F32E9" w:rsidRDefault="007F32E9" w:rsidP="007F32E9">
      <w:pPr>
        <w:jc w:val="both"/>
        <w:rPr>
          <w:rFonts w:eastAsia="Calibri"/>
          <w:color w:val="000000" w:themeColor="text1"/>
          <w:kern w:val="2"/>
          <w:sz w:val="22"/>
          <w:szCs w:val="22"/>
          <w14:ligatures w14:val="standardContextual"/>
        </w:rPr>
      </w:pPr>
      <w:r w:rsidRPr="00481CD3">
        <w:rPr>
          <w:rFonts w:eastAsia="Calibri"/>
          <w:color w:val="000000" w:themeColor="text1"/>
          <w:kern w:val="2"/>
          <w:sz w:val="22"/>
          <w:szCs w:val="22"/>
          <w14:ligatures w14:val="standardContextual"/>
        </w:rPr>
        <w:t>“</w:t>
      </w:r>
      <w:r>
        <w:rPr>
          <w:rFonts w:eastAsia="Calibri"/>
          <w:color w:val="000000" w:themeColor="text1"/>
          <w:kern w:val="2"/>
          <w:sz w:val="22"/>
          <w:szCs w:val="22"/>
          <w14:ligatures w14:val="standardContextual"/>
        </w:rPr>
        <w:t xml:space="preserve">In addition, with support from an oncology clinical advisory committee, following a detailed review of </w:t>
      </w:r>
      <w:proofErr w:type="spellStart"/>
      <w:r>
        <w:rPr>
          <w:rFonts w:eastAsia="Calibri"/>
          <w:color w:val="000000" w:themeColor="text1"/>
          <w:kern w:val="2"/>
          <w:sz w:val="22"/>
          <w:szCs w:val="22"/>
          <w14:ligatures w14:val="standardContextual"/>
        </w:rPr>
        <w:t>Gedeptin’s</w:t>
      </w:r>
      <w:proofErr w:type="spellEnd"/>
      <w:r>
        <w:rPr>
          <w:rFonts w:eastAsia="Calibri"/>
          <w:color w:val="000000" w:themeColor="text1"/>
          <w:kern w:val="2"/>
          <w:sz w:val="22"/>
          <w:szCs w:val="22"/>
          <w14:ligatures w14:val="standardContextual"/>
        </w:rPr>
        <w:t xml:space="preserve"> safety and efficacy data, we look forward to advancing an expanded Phase 2 clinical trial evaluating Gedeptin in first-recurrence head and neck cancer patients.</w:t>
      </w:r>
      <w:r w:rsidRPr="00333200">
        <w:rPr>
          <w:rFonts w:eastAsia="Calibri"/>
          <w:kern w:val="2"/>
          <w:sz w:val="22"/>
          <w:szCs w:val="22"/>
          <w14:ligatures w14:val="standardContextual"/>
        </w:rPr>
        <w:t xml:space="preserve"> With multiple key catalysts in the </w:t>
      </w:r>
      <w:r>
        <w:rPr>
          <w:rFonts w:eastAsia="Calibri"/>
          <w:kern w:val="2"/>
          <w:sz w:val="22"/>
          <w:szCs w:val="22"/>
          <w14:ligatures w14:val="standardContextual"/>
        </w:rPr>
        <w:t>remainder of 2024</w:t>
      </w:r>
      <w:r w:rsidRPr="00333200">
        <w:rPr>
          <w:rFonts w:eastAsia="Calibri"/>
          <w:kern w:val="2"/>
          <w:sz w:val="22"/>
          <w:szCs w:val="22"/>
          <w14:ligatures w14:val="standardContextual"/>
        </w:rPr>
        <w:t>, we are</w:t>
      </w:r>
      <w:r>
        <w:rPr>
          <w:rFonts w:eastAsia="Calibri"/>
          <w:color w:val="000000" w:themeColor="text1"/>
          <w:kern w:val="2"/>
          <w:sz w:val="22"/>
          <w:szCs w:val="22"/>
          <w14:ligatures w14:val="standardContextual"/>
        </w:rPr>
        <w:t xml:space="preserve"> in a strong position to create long term value as we execute on our clinical strategy and advance our robust portfolio of assets,” Dodd concluded. </w:t>
      </w:r>
    </w:p>
    <w:p w14:paraId="23F95D8E" w14:textId="77777777" w:rsidR="007F32E9" w:rsidRPr="00EA3221" w:rsidRDefault="007F32E9" w:rsidP="007F32E9">
      <w:pPr>
        <w:jc w:val="both"/>
        <w:rPr>
          <w:rFonts w:eastAsia="Calibri"/>
          <w:b/>
          <w:bCs/>
          <w:color w:val="000000" w:themeColor="text1"/>
          <w:kern w:val="2"/>
          <w:sz w:val="22"/>
          <w:szCs w:val="22"/>
          <w14:ligatures w14:val="standardContextual"/>
        </w:rPr>
      </w:pPr>
    </w:p>
    <w:p w14:paraId="3086C69C" w14:textId="77777777" w:rsidR="007F32E9" w:rsidRPr="00EA3221" w:rsidRDefault="007F32E9" w:rsidP="007F32E9">
      <w:pPr>
        <w:jc w:val="both"/>
        <w:rPr>
          <w:rFonts w:eastAsia="Calibri"/>
          <w:b/>
          <w:bCs/>
          <w:color w:val="000000" w:themeColor="text1"/>
          <w:kern w:val="2"/>
          <w:sz w:val="22"/>
          <w:szCs w:val="22"/>
          <w14:ligatures w14:val="standardContextual"/>
        </w:rPr>
      </w:pPr>
      <w:r>
        <w:rPr>
          <w:rFonts w:eastAsia="Calibri"/>
          <w:b/>
          <w:bCs/>
          <w:color w:val="000000" w:themeColor="text1"/>
          <w:kern w:val="2"/>
          <w:sz w:val="22"/>
          <w:szCs w:val="22"/>
          <w14:ligatures w14:val="standardContextual"/>
        </w:rPr>
        <w:t>Second Quarter</w:t>
      </w:r>
      <w:r w:rsidRPr="00EA3221">
        <w:rPr>
          <w:rFonts w:eastAsia="Calibri"/>
          <w:b/>
          <w:bCs/>
          <w:color w:val="000000" w:themeColor="text1"/>
          <w:kern w:val="2"/>
          <w:sz w:val="22"/>
          <w:szCs w:val="22"/>
          <w14:ligatures w14:val="standardContextual"/>
        </w:rPr>
        <w:t xml:space="preserve"> Business Achievements</w:t>
      </w:r>
    </w:p>
    <w:p w14:paraId="3D7E2716" w14:textId="77777777" w:rsidR="007F32E9" w:rsidRPr="00EA3221" w:rsidRDefault="007F32E9" w:rsidP="007F32E9">
      <w:pPr>
        <w:rPr>
          <w:color w:val="000000" w:themeColor="text1"/>
          <w:sz w:val="22"/>
          <w:szCs w:val="22"/>
        </w:rPr>
      </w:pPr>
    </w:p>
    <w:p w14:paraId="2BAE5DB8" w14:textId="77777777" w:rsidR="007F32E9" w:rsidRPr="00EA3221" w:rsidRDefault="007F32E9" w:rsidP="007F32E9">
      <w:pPr>
        <w:shd w:val="clear" w:color="auto" w:fill="FFFFFF" w:themeFill="background1"/>
        <w:rPr>
          <w:b/>
          <w:bCs/>
          <w:color w:val="000000"/>
          <w:sz w:val="22"/>
          <w:szCs w:val="22"/>
        </w:rPr>
      </w:pPr>
      <w:r w:rsidRPr="00EA3221">
        <w:rPr>
          <w:b/>
          <w:bCs/>
          <w:color w:val="000000" w:themeColor="text1"/>
          <w:sz w:val="22"/>
          <w:szCs w:val="22"/>
        </w:rPr>
        <w:t>GEO-CM04S1</w:t>
      </w:r>
    </w:p>
    <w:p w14:paraId="5B4E36CE" w14:textId="77777777" w:rsidR="007F32E9" w:rsidRPr="00EA3221" w:rsidRDefault="007F32E9" w:rsidP="007F32E9">
      <w:pPr>
        <w:rPr>
          <w:color w:val="000000" w:themeColor="text1"/>
          <w:sz w:val="22"/>
          <w:szCs w:val="22"/>
        </w:rPr>
      </w:pPr>
    </w:p>
    <w:p w14:paraId="62996A4E" w14:textId="77777777" w:rsidR="007F32E9" w:rsidRDefault="007F32E9" w:rsidP="007F32E9">
      <w:pPr>
        <w:numPr>
          <w:ilvl w:val="0"/>
          <w:numId w:val="3"/>
        </w:numPr>
        <w:ind w:left="360"/>
        <w:jc w:val="both"/>
        <w:rPr>
          <w:color w:val="000000" w:themeColor="text1"/>
          <w:sz w:val="22"/>
          <w:szCs w:val="22"/>
        </w:rPr>
      </w:pPr>
      <w:r w:rsidRPr="006F2A74">
        <w:rPr>
          <w:b/>
          <w:bCs/>
          <w:color w:val="000000" w:themeColor="text1"/>
          <w:sz w:val="22"/>
          <w:szCs w:val="22"/>
        </w:rPr>
        <w:t>Received BARDA Project NextGen award</w:t>
      </w:r>
      <w:r w:rsidRPr="004B7727">
        <w:rPr>
          <w:color w:val="000000" w:themeColor="text1"/>
          <w:sz w:val="22"/>
          <w:szCs w:val="22"/>
        </w:rPr>
        <w:t xml:space="preserve"> through the Rapid Response Partnership Vehicle (RRPV) to advance development of GEO-CM04S1, GeoVax’s dual-antigen next-generation COVID-19 vaccine, in a Phase 2b clinical trial.  </w:t>
      </w:r>
      <w:r w:rsidRPr="000A07A7">
        <w:rPr>
          <w:color w:val="000000" w:themeColor="text1"/>
          <w:sz w:val="22"/>
          <w:szCs w:val="22"/>
        </w:rPr>
        <w:t xml:space="preserve">The direct award to GeoVax of approximately $24.3 million, which may increase </w:t>
      </w:r>
      <w:r w:rsidRPr="000A07A7">
        <w:rPr>
          <w:color w:val="000000" w:themeColor="text1"/>
          <w:sz w:val="22"/>
          <w:szCs w:val="22"/>
        </w:rPr>
        <w:lastRenderedPageBreak/>
        <w:t>to as much as $45 million, will fund the manufacturing of clinical materials and support for the Phase 2b clinical trial, including regulatory activities.</w:t>
      </w:r>
    </w:p>
    <w:p w14:paraId="32901AA3" w14:textId="77777777" w:rsidR="007F32E9" w:rsidRDefault="007F32E9" w:rsidP="007F32E9">
      <w:pPr>
        <w:numPr>
          <w:ilvl w:val="1"/>
          <w:numId w:val="3"/>
        </w:numPr>
        <w:ind w:left="720"/>
        <w:jc w:val="both"/>
        <w:rPr>
          <w:color w:val="000000" w:themeColor="text1"/>
          <w:sz w:val="22"/>
          <w:szCs w:val="22"/>
        </w:rPr>
      </w:pPr>
      <w:r w:rsidRPr="00BB14D2">
        <w:rPr>
          <w:color w:val="000000" w:themeColor="text1"/>
          <w:sz w:val="22"/>
          <w:szCs w:val="22"/>
        </w:rPr>
        <w:t>Under the agreement, GeoVax will sponsor a 10,000-participant, randomized, Phase 2b double-blinded study to compare the efficacy, safety, and immunogenicity of GEO-CM04S1 with a U.S. Food and Drug Administration</w:t>
      </w:r>
      <w:r>
        <w:rPr>
          <w:color w:val="000000" w:themeColor="text1"/>
          <w:sz w:val="22"/>
          <w:szCs w:val="22"/>
        </w:rPr>
        <w:t xml:space="preserve"> (FDA) </w:t>
      </w:r>
      <w:r w:rsidRPr="00BB14D2">
        <w:rPr>
          <w:color w:val="000000" w:themeColor="text1"/>
          <w:sz w:val="22"/>
          <w:szCs w:val="22"/>
        </w:rPr>
        <w:t>approved mRNA COVID-19 vaccine. Preparations for the study are underway, and execution of the study will be funded by BARDA under its Clinical Studies Network.</w:t>
      </w:r>
    </w:p>
    <w:p w14:paraId="5D5AB30F" w14:textId="77777777" w:rsidR="007F32E9" w:rsidRDefault="007F32E9" w:rsidP="007F32E9">
      <w:pPr>
        <w:numPr>
          <w:ilvl w:val="1"/>
          <w:numId w:val="3"/>
        </w:numPr>
        <w:ind w:left="1080"/>
        <w:jc w:val="both"/>
        <w:rPr>
          <w:color w:val="000000" w:themeColor="text1"/>
          <w:sz w:val="22"/>
          <w:szCs w:val="22"/>
        </w:rPr>
      </w:pPr>
      <w:r w:rsidRPr="004B7727">
        <w:rPr>
          <w:color w:val="000000" w:themeColor="text1"/>
          <w:sz w:val="22"/>
          <w:szCs w:val="22"/>
        </w:rPr>
        <w:t>The RRPV is a Consortium funded by the Biomedical Advanced Research and Development Authority (BARDA), part of the Administration for Strategic Preparedness and Response (ASPR) in the U.S. Department of Health and Human Services (HHS).</w:t>
      </w:r>
    </w:p>
    <w:p w14:paraId="7B942A1A" w14:textId="77777777" w:rsidR="007F32E9" w:rsidRPr="006F2A74" w:rsidRDefault="007F32E9" w:rsidP="007F32E9">
      <w:pPr>
        <w:numPr>
          <w:ilvl w:val="1"/>
          <w:numId w:val="3"/>
        </w:numPr>
        <w:ind w:left="1080"/>
        <w:jc w:val="both"/>
        <w:rPr>
          <w:color w:val="000000" w:themeColor="text1"/>
          <w:sz w:val="22"/>
          <w:szCs w:val="22"/>
        </w:rPr>
      </w:pPr>
      <w:r w:rsidRPr="00A761FF">
        <w:rPr>
          <w:color w:val="000000" w:themeColor="text1"/>
          <w:sz w:val="22"/>
          <w:szCs w:val="22"/>
        </w:rPr>
        <w:t xml:space="preserve">Funding for this award is provided under Project NextGen, a $5 billion initiative by HHS to advance a pipeline of new, innovative vaccines and therapeutics providing broader and more durable protection for COVID-19 than the first generation COVID vaccines and medicines. </w:t>
      </w:r>
    </w:p>
    <w:p w14:paraId="7E20179C" w14:textId="77777777" w:rsidR="007F32E9" w:rsidRPr="006F2A74" w:rsidRDefault="007F32E9" w:rsidP="007F32E9">
      <w:pPr>
        <w:jc w:val="both"/>
        <w:rPr>
          <w:color w:val="000000" w:themeColor="text1"/>
          <w:sz w:val="22"/>
          <w:szCs w:val="22"/>
        </w:rPr>
      </w:pPr>
    </w:p>
    <w:p w14:paraId="3036B8BA" w14:textId="77777777" w:rsidR="007F32E9" w:rsidRPr="006F2A74" w:rsidRDefault="007F32E9" w:rsidP="007F32E9">
      <w:pPr>
        <w:numPr>
          <w:ilvl w:val="0"/>
          <w:numId w:val="3"/>
        </w:numPr>
        <w:ind w:left="360"/>
        <w:jc w:val="both"/>
        <w:rPr>
          <w:color w:val="000000" w:themeColor="text1"/>
          <w:sz w:val="22"/>
          <w:szCs w:val="22"/>
        </w:rPr>
      </w:pPr>
      <w:r w:rsidRPr="006F2A74">
        <w:rPr>
          <w:b/>
          <w:bCs/>
          <w:color w:val="000000" w:themeColor="text1"/>
          <w:sz w:val="22"/>
          <w:szCs w:val="22"/>
        </w:rPr>
        <w:t xml:space="preserve">Announced </w:t>
      </w:r>
      <w:r>
        <w:rPr>
          <w:b/>
          <w:bCs/>
          <w:color w:val="000000" w:themeColor="text1"/>
          <w:sz w:val="22"/>
          <w:szCs w:val="22"/>
        </w:rPr>
        <w:t xml:space="preserve">Project NextGen CRO </w:t>
      </w:r>
      <w:r w:rsidRPr="006F2A74">
        <w:rPr>
          <w:b/>
          <w:bCs/>
          <w:color w:val="000000" w:themeColor="text1"/>
          <w:sz w:val="22"/>
          <w:szCs w:val="22"/>
        </w:rPr>
        <w:t xml:space="preserve">partnership with </w:t>
      </w:r>
      <w:r w:rsidRPr="00A761FF">
        <w:rPr>
          <w:b/>
          <w:bCs/>
          <w:color w:val="000000" w:themeColor="text1"/>
          <w:sz w:val="22"/>
          <w:szCs w:val="22"/>
        </w:rPr>
        <w:t>Allucent</w:t>
      </w:r>
      <w:r w:rsidRPr="006F2A74">
        <w:rPr>
          <w:color w:val="000000" w:themeColor="text1"/>
          <w:sz w:val="22"/>
          <w:szCs w:val="22"/>
        </w:rPr>
        <w:t xml:space="preserve">, a global clinical research organization (CRO), to conduct the </w:t>
      </w:r>
      <w:r w:rsidRPr="00A761FF">
        <w:rPr>
          <w:color w:val="000000" w:themeColor="text1"/>
          <w:sz w:val="22"/>
          <w:szCs w:val="22"/>
        </w:rPr>
        <w:t xml:space="preserve">Phase 2b clinical </w:t>
      </w:r>
      <w:r w:rsidRPr="006F2A74">
        <w:rPr>
          <w:color w:val="000000" w:themeColor="text1"/>
          <w:sz w:val="22"/>
          <w:szCs w:val="22"/>
        </w:rPr>
        <w:t>trial</w:t>
      </w:r>
      <w:r w:rsidRPr="00A761FF">
        <w:rPr>
          <w:color w:val="000000" w:themeColor="text1"/>
          <w:sz w:val="22"/>
          <w:szCs w:val="22"/>
        </w:rPr>
        <w:t xml:space="preserve"> of GEO-CM04S1</w:t>
      </w:r>
      <w:r w:rsidRPr="006F2A74">
        <w:rPr>
          <w:color w:val="000000" w:themeColor="text1"/>
          <w:sz w:val="22"/>
          <w:szCs w:val="22"/>
        </w:rPr>
        <w:t xml:space="preserve">. The combined value of the awards to GeoVax and Allucent </w:t>
      </w:r>
      <w:r>
        <w:rPr>
          <w:color w:val="000000" w:themeColor="text1"/>
          <w:sz w:val="22"/>
          <w:szCs w:val="22"/>
        </w:rPr>
        <w:t xml:space="preserve">for </w:t>
      </w:r>
      <w:r w:rsidRPr="006F2A74">
        <w:rPr>
          <w:color w:val="000000" w:themeColor="text1"/>
          <w:sz w:val="22"/>
          <w:szCs w:val="22"/>
        </w:rPr>
        <w:t>the clinical evaluation of GEO-CM04S1 is $367-388 million.</w:t>
      </w:r>
    </w:p>
    <w:p w14:paraId="3E59978E" w14:textId="77777777" w:rsidR="007F32E9" w:rsidRDefault="007F32E9" w:rsidP="007F32E9">
      <w:pPr>
        <w:jc w:val="both"/>
        <w:rPr>
          <w:color w:val="000000" w:themeColor="text1"/>
          <w:sz w:val="22"/>
          <w:szCs w:val="22"/>
        </w:rPr>
      </w:pPr>
    </w:p>
    <w:p w14:paraId="0E17F037" w14:textId="77777777" w:rsidR="007F32E9" w:rsidRPr="002877DB" w:rsidRDefault="007F32E9" w:rsidP="007F32E9">
      <w:pPr>
        <w:ind w:left="360"/>
        <w:jc w:val="both"/>
        <w:rPr>
          <w:i/>
          <w:iCs/>
          <w:color w:val="000000" w:themeColor="text1"/>
          <w:sz w:val="22"/>
          <w:szCs w:val="22"/>
        </w:rPr>
      </w:pPr>
      <w:r>
        <w:rPr>
          <w:i/>
          <w:iCs/>
          <w:color w:val="000000" w:themeColor="text1"/>
          <w:sz w:val="22"/>
          <w:szCs w:val="22"/>
        </w:rPr>
        <w:t>GeoVax’s role in this</w:t>
      </w:r>
      <w:r w:rsidRPr="002877DB">
        <w:rPr>
          <w:i/>
          <w:iCs/>
          <w:color w:val="000000" w:themeColor="text1"/>
          <w:sz w:val="22"/>
          <w:szCs w:val="22"/>
        </w:rPr>
        <w:t xml:space="preserve"> project is being funded </w:t>
      </w:r>
      <w:r>
        <w:rPr>
          <w:i/>
          <w:iCs/>
          <w:color w:val="000000" w:themeColor="text1"/>
          <w:sz w:val="22"/>
          <w:szCs w:val="22"/>
        </w:rPr>
        <w:t xml:space="preserve">in whole or in part </w:t>
      </w:r>
      <w:r w:rsidRPr="002877DB">
        <w:rPr>
          <w:i/>
          <w:iCs/>
          <w:color w:val="000000" w:themeColor="text1"/>
          <w:sz w:val="22"/>
          <w:szCs w:val="22"/>
        </w:rPr>
        <w:t>with federal funds from the Department of Health and Human Services; Administration for Strategic Preparedness and Response (ASPR); Biomedical Advanced Research and Development Authority (BARDA), under Other Transaction (OT) number: 75A50123D00005.</w:t>
      </w:r>
      <w:r>
        <w:rPr>
          <w:i/>
          <w:iCs/>
          <w:color w:val="000000" w:themeColor="text1"/>
          <w:sz w:val="22"/>
          <w:szCs w:val="22"/>
        </w:rPr>
        <w:t xml:space="preserve"> </w:t>
      </w:r>
      <w:proofErr w:type="spellStart"/>
      <w:r w:rsidRPr="002877DB">
        <w:rPr>
          <w:i/>
          <w:iCs/>
          <w:color w:val="000000" w:themeColor="text1"/>
          <w:sz w:val="22"/>
          <w:szCs w:val="22"/>
        </w:rPr>
        <w:t>Allucent’s</w:t>
      </w:r>
      <w:proofErr w:type="spellEnd"/>
      <w:r w:rsidRPr="002877DB">
        <w:rPr>
          <w:i/>
          <w:iCs/>
          <w:color w:val="000000" w:themeColor="text1"/>
          <w:sz w:val="22"/>
          <w:szCs w:val="22"/>
        </w:rPr>
        <w:t xml:space="preserve"> role in the project is being funded in whole or in part with federal funds from</w:t>
      </w:r>
      <w:r>
        <w:rPr>
          <w:i/>
          <w:iCs/>
          <w:color w:val="000000" w:themeColor="text1"/>
          <w:sz w:val="22"/>
          <w:szCs w:val="22"/>
        </w:rPr>
        <w:t xml:space="preserve"> BARDA</w:t>
      </w:r>
      <w:r w:rsidRPr="002877DB">
        <w:rPr>
          <w:i/>
          <w:iCs/>
          <w:color w:val="000000" w:themeColor="text1"/>
          <w:sz w:val="22"/>
          <w:szCs w:val="22"/>
        </w:rPr>
        <w:t xml:space="preserve"> under contract 75A50120D00016/75A50123F33005.</w:t>
      </w:r>
    </w:p>
    <w:p w14:paraId="47672859" w14:textId="77777777" w:rsidR="007F32E9" w:rsidRPr="006F2A74" w:rsidRDefault="007F32E9" w:rsidP="007F32E9">
      <w:pPr>
        <w:jc w:val="both"/>
        <w:rPr>
          <w:color w:val="000000" w:themeColor="text1"/>
          <w:sz w:val="22"/>
          <w:szCs w:val="22"/>
        </w:rPr>
      </w:pPr>
    </w:p>
    <w:p w14:paraId="5B83CB47" w14:textId="77777777" w:rsidR="007F32E9" w:rsidRDefault="007F32E9" w:rsidP="007F32E9">
      <w:pPr>
        <w:numPr>
          <w:ilvl w:val="0"/>
          <w:numId w:val="3"/>
        </w:numPr>
        <w:ind w:left="360"/>
        <w:jc w:val="both"/>
        <w:rPr>
          <w:color w:val="000000" w:themeColor="text1"/>
          <w:sz w:val="22"/>
          <w:szCs w:val="22"/>
        </w:rPr>
      </w:pPr>
      <w:r w:rsidRPr="00EA3221">
        <w:rPr>
          <w:b/>
          <w:bCs/>
          <w:color w:val="000000" w:themeColor="text1"/>
          <w:sz w:val="22"/>
          <w:szCs w:val="22"/>
        </w:rPr>
        <w:t>Presented data on GEO-CM04S1,</w:t>
      </w:r>
      <w:r w:rsidRPr="00EA3221">
        <w:rPr>
          <w:color w:val="000000" w:themeColor="text1"/>
          <w:sz w:val="22"/>
          <w:szCs w:val="22"/>
        </w:rPr>
        <w:t xml:space="preserve"> at the 24</w:t>
      </w:r>
      <w:r w:rsidRPr="00EA3221">
        <w:rPr>
          <w:color w:val="000000" w:themeColor="text1"/>
          <w:sz w:val="22"/>
          <w:szCs w:val="22"/>
          <w:vertAlign w:val="superscript"/>
        </w:rPr>
        <w:t>th</w:t>
      </w:r>
      <w:r w:rsidRPr="00EA3221">
        <w:rPr>
          <w:color w:val="000000" w:themeColor="text1"/>
          <w:sz w:val="22"/>
          <w:szCs w:val="22"/>
        </w:rPr>
        <w:t xml:space="preserve"> Annual World Vaccine Congress in April 2024. The presentation, titled “</w:t>
      </w:r>
      <w:r w:rsidRPr="00EA3221">
        <w:rPr>
          <w:i/>
          <w:iCs/>
          <w:color w:val="000000" w:themeColor="text1"/>
          <w:sz w:val="22"/>
          <w:szCs w:val="22"/>
        </w:rPr>
        <w:t xml:space="preserve">Vaccine Induction of </w:t>
      </w:r>
      <w:proofErr w:type="gramStart"/>
      <w:r w:rsidRPr="00EA3221">
        <w:rPr>
          <w:i/>
          <w:iCs/>
          <w:color w:val="000000" w:themeColor="text1"/>
          <w:sz w:val="22"/>
          <w:szCs w:val="22"/>
        </w:rPr>
        <w:t>Broadly-Specific</w:t>
      </w:r>
      <w:proofErr w:type="gramEnd"/>
      <w:r w:rsidRPr="00EA3221">
        <w:rPr>
          <w:i/>
          <w:iCs/>
          <w:color w:val="000000" w:themeColor="text1"/>
          <w:sz w:val="22"/>
          <w:szCs w:val="22"/>
        </w:rPr>
        <w:t xml:space="preserve"> Antibody and T Cell Responses to Combat SARS-CoV-2 Variation</w:t>
      </w:r>
      <w:r w:rsidRPr="00EA3221">
        <w:rPr>
          <w:color w:val="000000" w:themeColor="text1"/>
          <w:sz w:val="22"/>
          <w:szCs w:val="22"/>
        </w:rPr>
        <w:t>,” focused on GEO-CM04S1</w:t>
      </w:r>
      <w:r>
        <w:rPr>
          <w:color w:val="000000" w:themeColor="text1"/>
          <w:sz w:val="22"/>
          <w:szCs w:val="22"/>
        </w:rPr>
        <w:t xml:space="preserve">’s </w:t>
      </w:r>
      <w:r w:rsidRPr="00EA3221">
        <w:rPr>
          <w:color w:val="000000" w:themeColor="text1"/>
          <w:sz w:val="22"/>
          <w:szCs w:val="22"/>
        </w:rPr>
        <w:t>unique immune system driven mechanism</w:t>
      </w:r>
      <w:r>
        <w:rPr>
          <w:color w:val="000000" w:themeColor="text1"/>
          <w:sz w:val="22"/>
          <w:szCs w:val="22"/>
        </w:rPr>
        <w:t xml:space="preserve"> and how it can </w:t>
      </w:r>
      <w:r w:rsidRPr="00EA3221">
        <w:rPr>
          <w:color w:val="000000" w:themeColor="text1"/>
          <w:sz w:val="22"/>
          <w:szCs w:val="22"/>
        </w:rPr>
        <w:t xml:space="preserve">contribute to the broad efficacy. </w:t>
      </w:r>
      <w:r>
        <w:rPr>
          <w:color w:val="000000" w:themeColor="text1"/>
          <w:sz w:val="22"/>
          <w:szCs w:val="22"/>
        </w:rPr>
        <w:t>T</w:t>
      </w:r>
      <w:r w:rsidRPr="00EA3221">
        <w:rPr>
          <w:color w:val="000000" w:themeColor="text1"/>
          <w:sz w:val="22"/>
          <w:szCs w:val="22"/>
        </w:rPr>
        <w:t>he presentation highlighted that vaccine induced immunity protects against infections, serious disease symptoms and death against the original Wuhan variant as well as the Omicron XBB.1.5 variant, which is the basis of the currently approved mRNA booster vaccines.</w:t>
      </w:r>
    </w:p>
    <w:p w14:paraId="6A1A40AD" w14:textId="77777777" w:rsidR="007F32E9" w:rsidRPr="00EA3221" w:rsidRDefault="007F32E9" w:rsidP="007F32E9">
      <w:pPr>
        <w:rPr>
          <w:color w:val="000000" w:themeColor="text1"/>
          <w:sz w:val="22"/>
          <w:szCs w:val="22"/>
        </w:rPr>
      </w:pPr>
    </w:p>
    <w:p w14:paraId="0C301D8B" w14:textId="77777777" w:rsidR="007F32E9" w:rsidRPr="002877DB" w:rsidRDefault="007F32E9" w:rsidP="007F32E9">
      <w:pPr>
        <w:jc w:val="both"/>
        <w:rPr>
          <w:sz w:val="22"/>
          <w:szCs w:val="22"/>
        </w:rPr>
      </w:pPr>
      <w:r w:rsidRPr="002877DB">
        <w:rPr>
          <w:b/>
          <w:bCs/>
          <w:sz w:val="22"/>
          <w:szCs w:val="22"/>
        </w:rPr>
        <w:t>Gedeptin</w:t>
      </w:r>
      <w:r w:rsidRPr="002877DB">
        <w:rPr>
          <w:b/>
          <w:bCs/>
          <w:sz w:val="22"/>
          <w:szCs w:val="22"/>
          <w:vertAlign w:val="superscript"/>
        </w:rPr>
        <w:t>®</w:t>
      </w:r>
    </w:p>
    <w:p w14:paraId="2CEA182B" w14:textId="77777777" w:rsidR="007F32E9" w:rsidRPr="002877DB" w:rsidRDefault="007F32E9" w:rsidP="007F32E9">
      <w:pPr>
        <w:rPr>
          <w:sz w:val="22"/>
          <w:szCs w:val="22"/>
        </w:rPr>
      </w:pPr>
    </w:p>
    <w:p w14:paraId="2BADE5B7" w14:textId="77777777" w:rsidR="007F32E9" w:rsidRPr="002877DB" w:rsidRDefault="007F32E9" w:rsidP="007F32E9">
      <w:pPr>
        <w:numPr>
          <w:ilvl w:val="0"/>
          <w:numId w:val="3"/>
        </w:numPr>
        <w:ind w:left="360"/>
        <w:jc w:val="both"/>
        <w:rPr>
          <w:sz w:val="22"/>
          <w:szCs w:val="22"/>
        </w:rPr>
      </w:pPr>
      <w:r>
        <w:rPr>
          <w:b/>
          <w:bCs/>
          <w:sz w:val="22"/>
          <w:szCs w:val="22"/>
        </w:rPr>
        <w:t>Completed review of Gedeptin clinical results</w:t>
      </w:r>
      <w:r w:rsidRPr="0018032A">
        <w:rPr>
          <w:sz w:val="22"/>
          <w:szCs w:val="22"/>
        </w:rPr>
        <w:t>, and</w:t>
      </w:r>
      <w:r>
        <w:rPr>
          <w:b/>
          <w:bCs/>
          <w:sz w:val="22"/>
          <w:szCs w:val="22"/>
        </w:rPr>
        <w:t xml:space="preserve"> </w:t>
      </w:r>
      <w:r w:rsidRPr="00AC66F2">
        <w:rPr>
          <w:sz w:val="22"/>
          <w:szCs w:val="22"/>
        </w:rPr>
        <w:t>recently announc</w:t>
      </w:r>
      <w:r>
        <w:rPr>
          <w:sz w:val="22"/>
          <w:szCs w:val="22"/>
        </w:rPr>
        <w:t>ed</w:t>
      </w:r>
      <w:r w:rsidRPr="00AC66F2">
        <w:rPr>
          <w:sz w:val="22"/>
          <w:szCs w:val="22"/>
        </w:rPr>
        <w:t xml:space="preserve"> decision to advance Gedeptin in</w:t>
      </w:r>
      <w:r>
        <w:rPr>
          <w:sz w:val="22"/>
          <w:szCs w:val="22"/>
        </w:rPr>
        <w:t>to</w:t>
      </w:r>
      <w:r w:rsidRPr="00AC66F2">
        <w:rPr>
          <w:sz w:val="22"/>
          <w:szCs w:val="22"/>
        </w:rPr>
        <w:t xml:space="preserve"> an expanded Phase 2 clinical trial among patients with first-recurrence head and neck cancer.</w:t>
      </w:r>
      <w:r w:rsidRPr="008E6344">
        <w:rPr>
          <w:sz w:val="22"/>
          <w:szCs w:val="22"/>
        </w:rPr>
        <w:t xml:space="preserve">  The primary goal of this trial will be to establish efficacy of neoadjuvant Gedeptin therapy combined with an immune checkpoint inhibitor in squamous cell head and nec</w:t>
      </w:r>
      <w:r>
        <w:rPr>
          <w:sz w:val="22"/>
          <w:szCs w:val="22"/>
        </w:rPr>
        <w:t>k</w:t>
      </w:r>
      <w:r w:rsidRPr="008E6344">
        <w:rPr>
          <w:sz w:val="22"/>
          <w:szCs w:val="22"/>
        </w:rPr>
        <w:t xml:space="preserve"> cancer.</w:t>
      </w:r>
      <w:r>
        <w:rPr>
          <w:sz w:val="22"/>
          <w:szCs w:val="22"/>
        </w:rPr>
        <w:t xml:space="preserve">  The Company has initiated the necessary planning activities, including protocol development, manufacturing and CRO selection, with the trial activation anticipated during the first half of 2025.</w:t>
      </w:r>
    </w:p>
    <w:p w14:paraId="49526AE2" w14:textId="77777777" w:rsidR="007F32E9" w:rsidRPr="00EA3221" w:rsidRDefault="007F32E9" w:rsidP="007F32E9">
      <w:pPr>
        <w:jc w:val="both"/>
        <w:rPr>
          <w:color w:val="000000" w:themeColor="text1"/>
          <w:kern w:val="2"/>
          <w:sz w:val="22"/>
          <w:szCs w:val="22"/>
          <w14:ligatures w14:val="standardContextual"/>
        </w:rPr>
      </w:pPr>
    </w:p>
    <w:p w14:paraId="79DB2BED" w14:textId="77777777" w:rsidR="007F32E9" w:rsidRPr="00EA3221" w:rsidRDefault="007F32E9" w:rsidP="007F32E9">
      <w:r w:rsidRPr="00EA3221">
        <w:rPr>
          <w:rFonts w:eastAsia="Calibri"/>
          <w:b/>
          <w:bCs/>
          <w:color w:val="000000" w:themeColor="text1"/>
          <w:kern w:val="2"/>
          <w:sz w:val="22"/>
          <w:szCs w:val="22"/>
          <w14:ligatures w14:val="standardContextual"/>
        </w:rPr>
        <w:t>Vaccine Manufacturing Process</w:t>
      </w:r>
      <w:r>
        <w:rPr>
          <w:rFonts w:eastAsia="Calibri"/>
          <w:b/>
          <w:bCs/>
          <w:color w:val="000000" w:themeColor="text1"/>
          <w:kern w:val="2"/>
          <w:sz w:val="22"/>
          <w:szCs w:val="22"/>
          <w14:ligatures w14:val="standardContextual"/>
        </w:rPr>
        <w:t xml:space="preserve"> Development</w:t>
      </w:r>
    </w:p>
    <w:p w14:paraId="68311C68" w14:textId="77777777" w:rsidR="007F32E9" w:rsidRPr="00EA3221" w:rsidRDefault="007F32E9" w:rsidP="007F32E9">
      <w:pPr>
        <w:rPr>
          <w:rFonts w:eastAsia="Calibri"/>
          <w:b/>
          <w:bCs/>
          <w:color w:val="000000" w:themeColor="text1"/>
          <w:kern w:val="2"/>
          <w:sz w:val="22"/>
          <w:szCs w:val="22"/>
          <w14:ligatures w14:val="standardContextual"/>
        </w:rPr>
      </w:pPr>
    </w:p>
    <w:p w14:paraId="3F1B9E9E" w14:textId="77777777" w:rsidR="007F32E9" w:rsidRPr="00EA3221" w:rsidRDefault="007F32E9" w:rsidP="007F32E9">
      <w:pPr>
        <w:numPr>
          <w:ilvl w:val="0"/>
          <w:numId w:val="3"/>
        </w:numPr>
        <w:ind w:left="360"/>
        <w:jc w:val="both"/>
        <w:rPr>
          <w:color w:val="000000" w:themeColor="text1"/>
          <w:sz w:val="22"/>
          <w:szCs w:val="22"/>
        </w:rPr>
      </w:pPr>
      <w:r>
        <w:rPr>
          <w:b/>
          <w:bCs/>
          <w:color w:val="000000" w:themeColor="text1"/>
          <w:sz w:val="22"/>
          <w:szCs w:val="22"/>
        </w:rPr>
        <w:t xml:space="preserve">Produced first lot of GEO-CM04S1 with a commercial manufacturing platform, </w:t>
      </w:r>
      <w:r>
        <w:rPr>
          <w:color w:val="000000" w:themeColor="text1"/>
          <w:sz w:val="22"/>
          <w:szCs w:val="22"/>
        </w:rPr>
        <w:t xml:space="preserve">a </w:t>
      </w:r>
      <w:r w:rsidRPr="006F2A74">
        <w:rPr>
          <w:color w:val="000000" w:themeColor="text1"/>
          <w:sz w:val="22"/>
          <w:szCs w:val="22"/>
        </w:rPr>
        <w:t>critical</w:t>
      </w:r>
      <w:r>
        <w:rPr>
          <w:color w:val="000000" w:themeColor="text1"/>
          <w:sz w:val="22"/>
          <w:szCs w:val="22"/>
        </w:rPr>
        <w:t xml:space="preserve"> step </w:t>
      </w:r>
      <w:r w:rsidRPr="00EA3221">
        <w:rPr>
          <w:color w:val="000000" w:themeColor="text1"/>
          <w:sz w:val="22"/>
          <w:szCs w:val="22"/>
        </w:rPr>
        <w:t xml:space="preserve">toward implementation of a validated chicken embryonic fibroblast </w:t>
      </w:r>
      <w:r>
        <w:rPr>
          <w:color w:val="000000" w:themeColor="text1"/>
          <w:sz w:val="22"/>
          <w:szCs w:val="22"/>
        </w:rPr>
        <w:t xml:space="preserve">(CEF) </w:t>
      </w:r>
      <w:r w:rsidRPr="00EA3221">
        <w:rPr>
          <w:color w:val="000000" w:themeColor="text1"/>
          <w:sz w:val="22"/>
          <w:szCs w:val="22"/>
        </w:rPr>
        <w:t>based production system for the company’s MVA-based vaccines</w:t>
      </w:r>
      <w:r>
        <w:rPr>
          <w:color w:val="000000" w:themeColor="text1"/>
          <w:sz w:val="22"/>
          <w:szCs w:val="22"/>
        </w:rPr>
        <w:t xml:space="preserve">. </w:t>
      </w:r>
      <w:r w:rsidRPr="00EA3221">
        <w:rPr>
          <w:color w:val="000000" w:themeColor="text1"/>
          <w:sz w:val="22"/>
          <w:szCs w:val="22"/>
        </w:rPr>
        <w:t>This milestone marks the successful completion of the transfer and scale-up of manufacturing from the research-focused Center for Biomedicine &amp; Genetics at City of Hope to Oxford Biomedica, the Company’s cGMP (current Good Manufacturing Procedures) manufacturing partner.</w:t>
      </w:r>
    </w:p>
    <w:p w14:paraId="21A0EF43" w14:textId="77777777" w:rsidR="007F32E9" w:rsidRPr="00EA3221" w:rsidRDefault="007F32E9" w:rsidP="007F32E9">
      <w:pPr>
        <w:rPr>
          <w:rFonts w:eastAsia="Calibri"/>
          <w:b/>
          <w:bCs/>
          <w:color w:val="000000" w:themeColor="text1"/>
          <w:kern w:val="2"/>
          <w:sz w:val="22"/>
          <w:szCs w:val="22"/>
          <w14:ligatures w14:val="standardContextual"/>
        </w:rPr>
      </w:pPr>
    </w:p>
    <w:p w14:paraId="3607AB57" w14:textId="77777777" w:rsidR="007F32E9" w:rsidRPr="00EA3221" w:rsidRDefault="007F32E9" w:rsidP="007F32E9">
      <w:pPr>
        <w:jc w:val="both"/>
        <w:rPr>
          <w:rFonts w:eastAsia="Calibri"/>
          <w:b/>
          <w:bCs/>
          <w:color w:val="000000" w:themeColor="text1"/>
          <w:kern w:val="2"/>
          <w:sz w:val="22"/>
          <w:szCs w:val="22"/>
          <w14:ligatures w14:val="standardContextual"/>
        </w:rPr>
      </w:pPr>
      <w:r>
        <w:rPr>
          <w:rFonts w:eastAsia="Calibri"/>
          <w:b/>
          <w:bCs/>
          <w:color w:val="000000" w:themeColor="text1"/>
          <w:kern w:val="2"/>
          <w:sz w:val="22"/>
          <w:szCs w:val="22"/>
          <w14:ligatures w14:val="standardContextual"/>
        </w:rPr>
        <w:t>Second</w:t>
      </w:r>
      <w:r w:rsidRPr="00EA3221">
        <w:rPr>
          <w:rFonts w:eastAsia="Calibri"/>
          <w:b/>
          <w:bCs/>
          <w:color w:val="000000" w:themeColor="text1"/>
          <w:kern w:val="2"/>
          <w:sz w:val="22"/>
          <w:szCs w:val="22"/>
          <w14:ligatures w14:val="standardContextual"/>
        </w:rPr>
        <w:t xml:space="preserve"> Quarter 2024 Financial Results</w:t>
      </w:r>
    </w:p>
    <w:p w14:paraId="5F4505D1" w14:textId="77777777" w:rsidR="007F32E9" w:rsidRPr="00EA3221" w:rsidRDefault="007F32E9" w:rsidP="007F32E9">
      <w:pPr>
        <w:jc w:val="both"/>
        <w:rPr>
          <w:rFonts w:eastAsia="Calibri"/>
          <w:b/>
          <w:bCs/>
          <w:color w:val="000000" w:themeColor="text1"/>
          <w:kern w:val="2"/>
          <w:sz w:val="22"/>
          <w:szCs w:val="22"/>
          <w14:ligatures w14:val="standardContextual"/>
        </w:rPr>
      </w:pPr>
    </w:p>
    <w:p w14:paraId="75FCFB43" w14:textId="77777777" w:rsidR="007F32E9" w:rsidRPr="005667E2" w:rsidRDefault="007F32E9" w:rsidP="007F32E9">
      <w:pPr>
        <w:numPr>
          <w:ilvl w:val="0"/>
          <w:numId w:val="3"/>
        </w:numPr>
        <w:ind w:left="360"/>
        <w:jc w:val="both"/>
        <w:rPr>
          <w:color w:val="000000" w:themeColor="text1"/>
          <w:sz w:val="22"/>
          <w:szCs w:val="22"/>
        </w:rPr>
      </w:pPr>
      <w:r w:rsidRPr="00EA3221">
        <w:rPr>
          <w:b/>
          <w:bCs/>
          <w:color w:val="000000" w:themeColor="text1"/>
          <w:sz w:val="22"/>
          <w:szCs w:val="22"/>
        </w:rPr>
        <w:t>Net Loss</w:t>
      </w:r>
      <w:r w:rsidRPr="00EA3221">
        <w:rPr>
          <w:color w:val="000000" w:themeColor="text1"/>
          <w:sz w:val="22"/>
          <w:szCs w:val="22"/>
        </w:rPr>
        <w:t>: Net loss for the three</w:t>
      </w:r>
      <w:r>
        <w:rPr>
          <w:color w:val="000000" w:themeColor="text1"/>
          <w:sz w:val="22"/>
          <w:szCs w:val="22"/>
        </w:rPr>
        <w:t>-</w:t>
      </w:r>
      <w:r w:rsidRPr="00EA3221">
        <w:rPr>
          <w:color w:val="000000" w:themeColor="text1"/>
          <w:sz w:val="22"/>
          <w:szCs w:val="22"/>
        </w:rPr>
        <w:t>month</w:t>
      </w:r>
      <w:r>
        <w:rPr>
          <w:color w:val="000000" w:themeColor="text1"/>
          <w:sz w:val="22"/>
          <w:szCs w:val="22"/>
        </w:rPr>
        <w:t xml:space="preserve"> period</w:t>
      </w:r>
      <w:r w:rsidRPr="00EA3221">
        <w:rPr>
          <w:color w:val="000000" w:themeColor="text1"/>
          <w:sz w:val="22"/>
          <w:szCs w:val="22"/>
        </w:rPr>
        <w:t xml:space="preserve"> ended </w:t>
      </w:r>
      <w:r>
        <w:rPr>
          <w:color w:val="000000" w:themeColor="text1"/>
          <w:sz w:val="22"/>
          <w:szCs w:val="22"/>
        </w:rPr>
        <w:t xml:space="preserve">June </w:t>
      </w:r>
      <w:r w:rsidRPr="00EA3221">
        <w:rPr>
          <w:color w:val="000000" w:themeColor="text1"/>
          <w:sz w:val="22"/>
          <w:szCs w:val="22"/>
        </w:rPr>
        <w:t>3</w:t>
      </w:r>
      <w:r>
        <w:rPr>
          <w:color w:val="000000" w:themeColor="text1"/>
          <w:sz w:val="22"/>
          <w:szCs w:val="22"/>
        </w:rPr>
        <w:t>0</w:t>
      </w:r>
      <w:r w:rsidRPr="00EA3221">
        <w:rPr>
          <w:color w:val="000000" w:themeColor="text1"/>
          <w:sz w:val="22"/>
          <w:szCs w:val="22"/>
        </w:rPr>
        <w:t>, 2024, was $</w:t>
      </w:r>
      <w:r>
        <w:rPr>
          <w:color w:val="000000" w:themeColor="text1"/>
          <w:sz w:val="22"/>
          <w:szCs w:val="22"/>
        </w:rPr>
        <w:t>5,064,042</w:t>
      </w:r>
      <w:r w:rsidRPr="00EA3221">
        <w:rPr>
          <w:color w:val="000000" w:themeColor="text1"/>
          <w:sz w:val="22"/>
          <w:szCs w:val="22"/>
        </w:rPr>
        <w:t xml:space="preserve">, or </w:t>
      </w:r>
      <w:r w:rsidRPr="005667E2">
        <w:rPr>
          <w:color w:val="000000" w:themeColor="text1"/>
          <w:sz w:val="22"/>
          <w:szCs w:val="22"/>
        </w:rPr>
        <w:t>$1.99 per share</w:t>
      </w:r>
      <w:r w:rsidRPr="00EA3221">
        <w:rPr>
          <w:color w:val="000000" w:themeColor="text1"/>
          <w:sz w:val="22"/>
          <w:szCs w:val="22"/>
        </w:rPr>
        <w:t>, as compared to $</w:t>
      </w:r>
      <w:r>
        <w:rPr>
          <w:color w:val="000000" w:themeColor="text1"/>
          <w:sz w:val="22"/>
          <w:szCs w:val="22"/>
        </w:rPr>
        <w:t>5,927,620</w:t>
      </w:r>
      <w:r w:rsidRPr="00EA3221">
        <w:rPr>
          <w:color w:val="000000" w:themeColor="text1"/>
          <w:sz w:val="22"/>
          <w:szCs w:val="22"/>
        </w:rPr>
        <w:t>, or $</w:t>
      </w:r>
      <w:r>
        <w:rPr>
          <w:color w:val="000000" w:themeColor="text1"/>
          <w:sz w:val="22"/>
          <w:szCs w:val="22"/>
        </w:rPr>
        <w:t>3.79</w:t>
      </w:r>
      <w:r w:rsidRPr="006F2A74">
        <w:rPr>
          <w:color w:val="000000" w:themeColor="text1"/>
          <w:sz w:val="22"/>
          <w:szCs w:val="22"/>
        </w:rPr>
        <w:t xml:space="preserve"> </w:t>
      </w:r>
      <w:r w:rsidRPr="00EA3221">
        <w:rPr>
          <w:color w:val="000000" w:themeColor="text1"/>
          <w:sz w:val="22"/>
          <w:szCs w:val="22"/>
        </w:rPr>
        <w:t xml:space="preserve">per share, for the </w:t>
      </w:r>
      <w:r>
        <w:rPr>
          <w:color w:val="000000" w:themeColor="text1"/>
          <w:sz w:val="22"/>
          <w:szCs w:val="22"/>
        </w:rPr>
        <w:t>comparable period in 2023</w:t>
      </w:r>
      <w:r w:rsidRPr="00EA3221">
        <w:rPr>
          <w:color w:val="000000" w:themeColor="text1"/>
          <w:sz w:val="22"/>
          <w:szCs w:val="22"/>
        </w:rPr>
        <w:t>.</w:t>
      </w:r>
      <w:r w:rsidRPr="005667E2">
        <w:t xml:space="preserve"> </w:t>
      </w:r>
      <w:r w:rsidRPr="00F84505">
        <w:t>F</w:t>
      </w:r>
      <w:r w:rsidRPr="005667E2">
        <w:rPr>
          <w:sz w:val="22"/>
          <w:szCs w:val="22"/>
        </w:rPr>
        <w:t>or the six</w:t>
      </w:r>
      <w:r>
        <w:rPr>
          <w:sz w:val="22"/>
          <w:szCs w:val="22"/>
        </w:rPr>
        <w:t>-</w:t>
      </w:r>
      <w:r w:rsidRPr="005667E2">
        <w:rPr>
          <w:sz w:val="22"/>
          <w:szCs w:val="22"/>
        </w:rPr>
        <w:t>month</w:t>
      </w:r>
      <w:r>
        <w:rPr>
          <w:sz w:val="22"/>
          <w:szCs w:val="22"/>
        </w:rPr>
        <w:t xml:space="preserve"> </w:t>
      </w:r>
      <w:r>
        <w:rPr>
          <w:sz w:val="22"/>
          <w:szCs w:val="22"/>
        </w:rPr>
        <w:lastRenderedPageBreak/>
        <w:t>period</w:t>
      </w:r>
      <w:r w:rsidRPr="005667E2">
        <w:rPr>
          <w:sz w:val="22"/>
          <w:szCs w:val="22"/>
        </w:rPr>
        <w:t xml:space="preserve"> ended June 30, 202</w:t>
      </w:r>
      <w:r>
        <w:rPr>
          <w:sz w:val="22"/>
          <w:szCs w:val="22"/>
        </w:rPr>
        <w:t>4</w:t>
      </w:r>
      <w:r w:rsidRPr="005667E2">
        <w:rPr>
          <w:sz w:val="22"/>
          <w:szCs w:val="22"/>
        </w:rPr>
        <w:t>, the Company’s net loss was $</w:t>
      </w:r>
      <w:r>
        <w:rPr>
          <w:sz w:val="22"/>
          <w:szCs w:val="22"/>
        </w:rPr>
        <w:t xml:space="preserve">10,914,174, or </w:t>
      </w:r>
      <w:r w:rsidRPr="005667E2">
        <w:rPr>
          <w:sz w:val="22"/>
          <w:szCs w:val="22"/>
        </w:rPr>
        <w:t>$</w:t>
      </w:r>
      <w:r>
        <w:rPr>
          <w:sz w:val="22"/>
          <w:szCs w:val="22"/>
        </w:rPr>
        <w:t>4.68</w:t>
      </w:r>
      <w:r w:rsidRPr="005667E2">
        <w:rPr>
          <w:sz w:val="22"/>
          <w:szCs w:val="22"/>
        </w:rPr>
        <w:t xml:space="preserve"> per share</w:t>
      </w:r>
      <w:r>
        <w:rPr>
          <w:sz w:val="22"/>
          <w:szCs w:val="22"/>
        </w:rPr>
        <w:t>,</w:t>
      </w:r>
      <w:r w:rsidRPr="005667E2">
        <w:rPr>
          <w:sz w:val="22"/>
          <w:szCs w:val="22"/>
        </w:rPr>
        <w:t xml:space="preserve"> as compared to $</w:t>
      </w:r>
      <w:r>
        <w:rPr>
          <w:sz w:val="22"/>
          <w:szCs w:val="22"/>
        </w:rPr>
        <w:t xml:space="preserve">9,965,536, or </w:t>
      </w:r>
      <w:r w:rsidRPr="005667E2">
        <w:rPr>
          <w:sz w:val="22"/>
          <w:szCs w:val="22"/>
        </w:rPr>
        <w:t>$</w:t>
      </w:r>
      <w:r>
        <w:rPr>
          <w:sz w:val="22"/>
          <w:szCs w:val="22"/>
        </w:rPr>
        <w:t>5.66</w:t>
      </w:r>
      <w:r w:rsidRPr="005667E2">
        <w:rPr>
          <w:sz w:val="22"/>
          <w:szCs w:val="22"/>
        </w:rPr>
        <w:t xml:space="preserve"> per share</w:t>
      </w:r>
      <w:r>
        <w:rPr>
          <w:sz w:val="22"/>
          <w:szCs w:val="22"/>
        </w:rPr>
        <w:t>,</w:t>
      </w:r>
      <w:r w:rsidRPr="005667E2">
        <w:rPr>
          <w:sz w:val="22"/>
          <w:szCs w:val="22"/>
        </w:rPr>
        <w:t xml:space="preserve"> in 202</w:t>
      </w:r>
      <w:r>
        <w:rPr>
          <w:sz w:val="22"/>
          <w:szCs w:val="22"/>
        </w:rPr>
        <w:t>3</w:t>
      </w:r>
      <w:r w:rsidRPr="005667E2">
        <w:rPr>
          <w:sz w:val="22"/>
          <w:szCs w:val="22"/>
        </w:rPr>
        <w:t>.</w:t>
      </w:r>
    </w:p>
    <w:p w14:paraId="05403F77" w14:textId="77777777" w:rsidR="007F32E9" w:rsidRPr="00EA3221" w:rsidRDefault="007F32E9" w:rsidP="007F32E9">
      <w:pPr>
        <w:numPr>
          <w:ilvl w:val="0"/>
          <w:numId w:val="3"/>
        </w:numPr>
        <w:ind w:left="360"/>
        <w:jc w:val="both"/>
        <w:rPr>
          <w:color w:val="000000" w:themeColor="text1"/>
          <w:sz w:val="22"/>
          <w:szCs w:val="22"/>
        </w:rPr>
      </w:pPr>
      <w:r w:rsidRPr="00EA3221">
        <w:rPr>
          <w:b/>
          <w:bCs/>
          <w:color w:val="000000" w:themeColor="text1"/>
          <w:sz w:val="22"/>
          <w:szCs w:val="22"/>
        </w:rPr>
        <w:t>R&amp;D Expenses</w:t>
      </w:r>
      <w:r w:rsidRPr="00EA3221">
        <w:rPr>
          <w:color w:val="000000" w:themeColor="text1"/>
          <w:sz w:val="22"/>
          <w:szCs w:val="22"/>
        </w:rPr>
        <w:t>: Research and development expenses were $</w:t>
      </w:r>
      <w:r>
        <w:rPr>
          <w:color w:val="000000" w:themeColor="text1"/>
          <w:sz w:val="22"/>
          <w:szCs w:val="22"/>
        </w:rPr>
        <w:t>4,276,868</w:t>
      </w:r>
      <w:r w:rsidRPr="00EA3221">
        <w:rPr>
          <w:color w:val="000000" w:themeColor="text1"/>
          <w:sz w:val="22"/>
          <w:szCs w:val="22"/>
        </w:rPr>
        <w:t xml:space="preserve"> </w:t>
      </w:r>
      <w:r>
        <w:rPr>
          <w:color w:val="000000" w:themeColor="text1"/>
          <w:sz w:val="22"/>
          <w:szCs w:val="22"/>
        </w:rPr>
        <w:t xml:space="preserve">and $8,702,596 </w:t>
      </w:r>
      <w:r w:rsidRPr="00EA3221">
        <w:rPr>
          <w:color w:val="000000" w:themeColor="text1"/>
          <w:sz w:val="22"/>
          <w:szCs w:val="22"/>
        </w:rPr>
        <w:t>for the three</w:t>
      </w:r>
      <w:r>
        <w:rPr>
          <w:color w:val="000000" w:themeColor="text1"/>
          <w:sz w:val="22"/>
          <w:szCs w:val="22"/>
        </w:rPr>
        <w:t>-</w:t>
      </w:r>
      <w:r w:rsidRPr="00EA3221">
        <w:rPr>
          <w:color w:val="000000" w:themeColor="text1"/>
          <w:sz w:val="22"/>
          <w:szCs w:val="22"/>
        </w:rPr>
        <w:t>month</w:t>
      </w:r>
      <w:r>
        <w:rPr>
          <w:color w:val="000000" w:themeColor="text1"/>
          <w:sz w:val="22"/>
          <w:szCs w:val="22"/>
        </w:rPr>
        <w:t xml:space="preserve"> and six-month</w:t>
      </w:r>
      <w:r w:rsidRPr="00EA3221">
        <w:rPr>
          <w:color w:val="000000" w:themeColor="text1"/>
          <w:sz w:val="22"/>
          <w:szCs w:val="22"/>
        </w:rPr>
        <w:t xml:space="preserve"> </w:t>
      </w:r>
      <w:r>
        <w:rPr>
          <w:color w:val="000000" w:themeColor="text1"/>
          <w:sz w:val="22"/>
          <w:szCs w:val="22"/>
        </w:rPr>
        <w:t xml:space="preserve">periods </w:t>
      </w:r>
      <w:r w:rsidRPr="00EA3221">
        <w:rPr>
          <w:color w:val="000000" w:themeColor="text1"/>
          <w:sz w:val="22"/>
          <w:szCs w:val="22"/>
        </w:rPr>
        <w:t xml:space="preserve">ended </w:t>
      </w:r>
      <w:r>
        <w:rPr>
          <w:color w:val="000000" w:themeColor="text1"/>
          <w:sz w:val="22"/>
          <w:szCs w:val="22"/>
        </w:rPr>
        <w:t>June 30</w:t>
      </w:r>
      <w:r w:rsidRPr="00EA3221">
        <w:rPr>
          <w:color w:val="000000" w:themeColor="text1"/>
          <w:sz w:val="22"/>
          <w:szCs w:val="22"/>
        </w:rPr>
        <w:t>, 2024, compared with $</w:t>
      </w:r>
      <w:r>
        <w:rPr>
          <w:color w:val="000000" w:themeColor="text1"/>
          <w:sz w:val="22"/>
          <w:szCs w:val="22"/>
        </w:rPr>
        <w:t xml:space="preserve">4,719,728 and $7,538,917 </w:t>
      </w:r>
      <w:r w:rsidRPr="00EA3221">
        <w:rPr>
          <w:color w:val="000000" w:themeColor="text1"/>
          <w:sz w:val="22"/>
          <w:szCs w:val="22"/>
        </w:rPr>
        <w:t xml:space="preserve">for the comparable period in 2023, with the </w:t>
      </w:r>
      <w:r>
        <w:rPr>
          <w:color w:val="000000" w:themeColor="text1"/>
          <w:sz w:val="22"/>
          <w:szCs w:val="22"/>
        </w:rPr>
        <w:t>changes primarily due to timing of costs related to manufacturing of materials for use in the clinical trials of GEO-CM04S1 and Gedeptin as well as costs of various contracted research activities.</w:t>
      </w:r>
    </w:p>
    <w:p w14:paraId="0CCF711B" w14:textId="77777777" w:rsidR="007F32E9" w:rsidRPr="005667E2" w:rsidRDefault="007F32E9" w:rsidP="007F32E9">
      <w:pPr>
        <w:numPr>
          <w:ilvl w:val="0"/>
          <w:numId w:val="3"/>
        </w:numPr>
        <w:ind w:left="360"/>
        <w:jc w:val="both"/>
        <w:rPr>
          <w:color w:val="000000" w:themeColor="text1"/>
          <w:sz w:val="22"/>
          <w:szCs w:val="22"/>
        </w:rPr>
      </w:pPr>
      <w:r w:rsidRPr="00EA3221">
        <w:rPr>
          <w:b/>
          <w:bCs/>
          <w:color w:val="000000" w:themeColor="text1"/>
          <w:sz w:val="22"/>
          <w:szCs w:val="22"/>
        </w:rPr>
        <w:t>G&amp;A Expenses</w:t>
      </w:r>
      <w:r w:rsidRPr="00EA3221">
        <w:rPr>
          <w:color w:val="000000" w:themeColor="text1"/>
          <w:sz w:val="22"/>
          <w:szCs w:val="22"/>
        </w:rPr>
        <w:t>: General and administrative expenses were $</w:t>
      </w:r>
      <w:r w:rsidRPr="005667E2">
        <w:rPr>
          <w:color w:val="000000" w:themeColor="text1"/>
          <w:sz w:val="22"/>
          <w:szCs w:val="22"/>
        </w:rPr>
        <w:t>1,086,030 and $2,543,383</w:t>
      </w:r>
      <w:r>
        <w:rPr>
          <w:color w:val="000000" w:themeColor="text1"/>
          <w:sz w:val="22"/>
          <w:szCs w:val="22"/>
        </w:rPr>
        <w:t xml:space="preserve"> </w:t>
      </w:r>
      <w:r w:rsidRPr="005667E2">
        <w:rPr>
          <w:color w:val="000000" w:themeColor="text1"/>
          <w:sz w:val="22"/>
          <w:szCs w:val="22"/>
        </w:rPr>
        <w:t xml:space="preserve">for the three-month and six-month periods ended June 30, 2024, compared to $1,459,093 and $2,910,518 for the comparable periods in 2023, with the </w:t>
      </w:r>
      <w:r>
        <w:rPr>
          <w:color w:val="000000" w:themeColor="text1"/>
          <w:sz w:val="22"/>
          <w:szCs w:val="22"/>
        </w:rPr>
        <w:t>overall decrease</w:t>
      </w:r>
      <w:r w:rsidRPr="005667E2">
        <w:rPr>
          <w:color w:val="000000" w:themeColor="text1"/>
          <w:sz w:val="22"/>
          <w:szCs w:val="22"/>
        </w:rPr>
        <w:t xml:space="preserve"> primarily due to</w:t>
      </w:r>
      <w:r>
        <w:rPr>
          <w:color w:val="000000" w:themeColor="text1"/>
          <w:sz w:val="22"/>
          <w:szCs w:val="22"/>
        </w:rPr>
        <w:t xml:space="preserve"> lower stock-based compensation expense, consulting costs, legal and patent costs, and travel costs</w:t>
      </w:r>
      <w:r w:rsidRPr="005667E2">
        <w:rPr>
          <w:color w:val="000000" w:themeColor="text1"/>
          <w:sz w:val="22"/>
          <w:szCs w:val="22"/>
        </w:rPr>
        <w:t xml:space="preserve">.  </w:t>
      </w:r>
    </w:p>
    <w:p w14:paraId="0D32C71E" w14:textId="77777777" w:rsidR="007F32E9" w:rsidRPr="00EA3221" w:rsidRDefault="007F32E9" w:rsidP="007F32E9">
      <w:pPr>
        <w:numPr>
          <w:ilvl w:val="0"/>
          <w:numId w:val="3"/>
        </w:numPr>
        <w:ind w:left="360"/>
        <w:jc w:val="both"/>
        <w:rPr>
          <w:color w:val="000000" w:themeColor="text1"/>
          <w:sz w:val="22"/>
          <w:szCs w:val="22"/>
        </w:rPr>
      </w:pPr>
      <w:r w:rsidRPr="00EA3221">
        <w:rPr>
          <w:b/>
          <w:bCs/>
          <w:color w:val="000000" w:themeColor="text1"/>
          <w:sz w:val="22"/>
          <w:szCs w:val="22"/>
        </w:rPr>
        <w:t>Cash Position</w:t>
      </w:r>
      <w:r w:rsidRPr="00EA3221">
        <w:rPr>
          <w:color w:val="000000" w:themeColor="text1"/>
          <w:sz w:val="22"/>
          <w:szCs w:val="22"/>
        </w:rPr>
        <w:t>: GeoVax reported cash balances of $</w:t>
      </w:r>
      <w:r>
        <w:rPr>
          <w:color w:val="000000" w:themeColor="text1"/>
          <w:sz w:val="22"/>
          <w:szCs w:val="22"/>
        </w:rPr>
        <w:t xml:space="preserve">1,561,712 </w:t>
      </w:r>
      <w:r w:rsidRPr="00EA3221">
        <w:rPr>
          <w:color w:val="000000" w:themeColor="text1"/>
          <w:sz w:val="22"/>
          <w:szCs w:val="22"/>
        </w:rPr>
        <w:t xml:space="preserve">at </w:t>
      </w:r>
      <w:r>
        <w:rPr>
          <w:color w:val="000000" w:themeColor="text1"/>
          <w:sz w:val="22"/>
          <w:szCs w:val="22"/>
        </w:rPr>
        <w:t xml:space="preserve">June </w:t>
      </w:r>
      <w:r w:rsidRPr="00EA3221">
        <w:rPr>
          <w:color w:val="000000" w:themeColor="text1"/>
          <w:sz w:val="22"/>
          <w:szCs w:val="22"/>
        </w:rPr>
        <w:t>3</w:t>
      </w:r>
      <w:r>
        <w:rPr>
          <w:color w:val="000000" w:themeColor="text1"/>
          <w:sz w:val="22"/>
          <w:szCs w:val="22"/>
        </w:rPr>
        <w:t>0</w:t>
      </w:r>
      <w:r w:rsidRPr="00EA3221">
        <w:rPr>
          <w:color w:val="000000" w:themeColor="text1"/>
          <w:sz w:val="22"/>
          <w:szCs w:val="22"/>
        </w:rPr>
        <w:t>, 2024, as compared to $</w:t>
      </w:r>
      <w:r>
        <w:rPr>
          <w:color w:val="000000" w:themeColor="text1"/>
          <w:sz w:val="22"/>
          <w:szCs w:val="22"/>
        </w:rPr>
        <w:t>6,452,589</w:t>
      </w:r>
      <w:r w:rsidRPr="00EA3221">
        <w:rPr>
          <w:color w:val="000000" w:themeColor="text1"/>
          <w:sz w:val="22"/>
          <w:szCs w:val="22"/>
        </w:rPr>
        <w:t xml:space="preserve"> at December 31, 2023.</w:t>
      </w:r>
    </w:p>
    <w:p w14:paraId="700D871D" w14:textId="77777777" w:rsidR="007F32E9" w:rsidRPr="00EA3221" w:rsidRDefault="007F32E9" w:rsidP="007F32E9">
      <w:pPr>
        <w:shd w:val="clear" w:color="auto" w:fill="FFFFFF" w:themeFill="background1"/>
        <w:jc w:val="both"/>
        <w:rPr>
          <w:color w:val="000000"/>
          <w:sz w:val="22"/>
          <w:szCs w:val="22"/>
        </w:rPr>
      </w:pPr>
    </w:p>
    <w:p w14:paraId="52054CBC" w14:textId="77777777" w:rsidR="007F32E9" w:rsidRPr="00EA3221" w:rsidRDefault="007F32E9" w:rsidP="007F32E9">
      <w:pPr>
        <w:jc w:val="both"/>
        <w:rPr>
          <w:color w:val="000000"/>
          <w:sz w:val="22"/>
          <w:szCs w:val="22"/>
        </w:rPr>
      </w:pPr>
      <w:r w:rsidRPr="00EA3221">
        <w:rPr>
          <w:color w:val="000000"/>
          <w:sz w:val="22"/>
          <w:szCs w:val="22"/>
        </w:rPr>
        <w:t>Summarized financial information is attached. Further information is included in the Company’s Quarterly Report on Form 10-Q filed with the Securities and Exchange Commission.</w:t>
      </w:r>
    </w:p>
    <w:p w14:paraId="305DA309" w14:textId="77777777" w:rsidR="007F32E9" w:rsidRPr="00EA3221" w:rsidRDefault="007F32E9" w:rsidP="007F32E9">
      <w:pPr>
        <w:jc w:val="both"/>
        <w:rPr>
          <w:rFonts w:eastAsia="Calibri"/>
          <w:b/>
          <w:bCs/>
          <w:color w:val="000000" w:themeColor="text1"/>
          <w:kern w:val="2"/>
          <w:sz w:val="22"/>
          <w:szCs w:val="22"/>
          <w14:ligatures w14:val="standardContextual"/>
        </w:rPr>
      </w:pPr>
    </w:p>
    <w:p w14:paraId="134468D6" w14:textId="77777777" w:rsidR="007F32E9" w:rsidRPr="00EA3221" w:rsidRDefault="007F32E9" w:rsidP="007F32E9">
      <w:pPr>
        <w:jc w:val="both"/>
        <w:rPr>
          <w:rFonts w:eastAsia="Calibri"/>
          <w:b/>
          <w:bCs/>
          <w:color w:val="000000" w:themeColor="text1"/>
          <w:kern w:val="2"/>
          <w:sz w:val="22"/>
          <w:szCs w:val="22"/>
          <w14:ligatures w14:val="standardContextual"/>
        </w:rPr>
      </w:pPr>
      <w:r w:rsidRPr="00EA3221">
        <w:rPr>
          <w:rFonts w:eastAsia="Calibri"/>
          <w:b/>
          <w:bCs/>
          <w:color w:val="000000" w:themeColor="text1"/>
          <w:kern w:val="2"/>
          <w:sz w:val="22"/>
          <w:szCs w:val="22"/>
          <w14:ligatures w14:val="standardContextual"/>
        </w:rPr>
        <w:t>Conference Call Details</w:t>
      </w:r>
    </w:p>
    <w:p w14:paraId="4276A80B" w14:textId="77777777" w:rsidR="007F32E9" w:rsidRPr="00EA3221" w:rsidRDefault="007F32E9" w:rsidP="007F32E9">
      <w:pPr>
        <w:jc w:val="both"/>
        <w:rPr>
          <w:rFonts w:eastAsia="Calibri"/>
          <w:b/>
          <w:bCs/>
          <w:color w:val="000000" w:themeColor="text1"/>
          <w:kern w:val="2"/>
          <w:sz w:val="22"/>
          <w:szCs w:val="22"/>
          <w14:ligatures w14:val="standardContextual"/>
        </w:rPr>
      </w:pPr>
    </w:p>
    <w:p w14:paraId="5D1980B7" w14:textId="77777777" w:rsidR="007F32E9" w:rsidRPr="00EA3221" w:rsidRDefault="007F32E9" w:rsidP="007F32E9">
      <w:pPr>
        <w:jc w:val="both"/>
        <w:rPr>
          <w:rFonts w:eastAsia="Calibri"/>
          <w:color w:val="000000" w:themeColor="text1"/>
          <w:kern w:val="2"/>
          <w:sz w:val="22"/>
          <w:szCs w:val="22"/>
          <w14:ligatures w14:val="standardContextual"/>
        </w:rPr>
      </w:pPr>
      <w:r w:rsidRPr="00EA3221">
        <w:rPr>
          <w:rFonts w:eastAsia="Calibri"/>
          <w:color w:val="000000" w:themeColor="text1"/>
          <w:kern w:val="2"/>
          <w:sz w:val="22"/>
          <w:szCs w:val="22"/>
          <w14:ligatures w14:val="standardContextual"/>
        </w:rPr>
        <w:t xml:space="preserve">Management will host a conference call, scheduled to begin at 4:30 p.m. ET today, </w:t>
      </w:r>
      <w:r>
        <w:rPr>
          <w:rFonts w:eastAsia="Calibri"/>
          <w:color w:val="000000" w:themeColor="text1"/>
          <w:kern w:val="2"/>
          <w:sz w:val="22"/>
          <w:szCs w:val="22"/>
          <w14:ligatures w14:val="standardContextual"/>
        </w:rPr>
        <w:t>August 6</w:t>
      </w:r>
      <w:r w:rsidRPr="00EA3221">
        <w:rPr>
          <w:rFonts w:eastAsia="Calibri"/>
          <w:color w:val="000000" w:themeColor="text1"/>
          <w:kern w:val="2"/>
          <w:sz w:val="22"/>
          <w:szCs w:val="22"/>
          <w14:ligatures w14:val="standardContextual"/>
        </w:rPr>
        <w:t>, 2024, to review financial results and provide an update on corporate developments. Following management’s formal remarks, there will be a question-and-answer session.</w:t>
      </w:r>
    </w:p>
    <w:p w14:paraId="366BDAB3" w14:textId="77777777" w:rsidR="007F32E9" w:rsidRPr="00EA3221" w:rsidRDefault="007F32E9" w:rsidP="007F32E9">
      <w:pPr>
        <w:jc w:val="both"/>
        <w:rPr>
          <w:rFonts w:eastAsia="Calibri"/>
          <w:b/>
          <w:bCs/>
          <w:color w:val="000000" w:themeColor="text1"/>
          <w:kern w:val="2"/>
          <w:sz w:val="22"/>
          <w:szCs w:val="22"/>
          <w14:ligatures w14:val="standardContextual"/>
        </w:rPr>
      </w:pPr>
    </w:p>
    <w:p w14:paraId="62B1E648" w14:textId="77777777" w:rsidR="007F32E9" w:rsidRPr="00EA3221" w:rsidRDefault="007F32E9" w:rsidP="007F32E9">
      <w:pPr>
        <w:jc w:val="both"/>
        <w:rPr>
          <w:rFonts w:eastAsia="Calibri"/>
          <w:b/>
          <w:bCs/>
          <w:color w:val="000000" w:themeColor="text1"/>
          <w:kern w:val="2"/>
          <w:sz w:val="22"/>
          <w:szCs w:val="22"/>
          <w14:ligatures w14:val="standardContextual"/>
        </w:rPr>
      </w:pPr>
      <w:r w:rsidRPr="00EA3221">
        <w:rPr>
          <w:rFonts w:eastAsia="Calibri"/>
          <w:color w:val="000000" w:themeColor="text1"/>
          <w:kern w:val="2"/>
          <w:sz w:val="22"/>
          <w:szCs w:val="22"/>
          <w14:ligatures w14:val="standardContextual"/>
        </w:rPr>
        <w:t>Domestic</w:t>
      </w:r>
      <w:r w:rsidRPr="00EA3221">
        <w:rPr>
          <w:rFonts w:eastAsia="Calibri"/>
          <w:b/>
          <w:bCs/>
          <w:color w:val="000000" w:themeColor="text1"/>
          <w:kern w:val="2"/>
          <w:sz w:val="22"/>
          <w:szCs w:val="22"/>
          <w14:ligatures w14:val="standardContextual"/>
        </w:rPr>
        <w:t xml:space="preserve">: </w:t>
      </w:r>
      <w:r w:rsidRPr="00EA3221">
        <w:rPr>
          <w:rFonts w:eastAsia="Calibri"/>
          <w:color w:val="000000" w:themeColor="text1"/>
          <w:kern w:val="2"/>
          <w:sz w:val="22"/>
          <w:szCs w:val="22"/>
          <w14:ligatures w14:val="standardContextual"/>
        </w:rPr>
        <w:t>(800) 715-9871</w:t>
      </w:r>
    </w:p>
    <w:p w14:paraId="5DDC4F84" w14:textId="77777777" w:rsidR="007F32E9" w:rsidRPr="00EA3221" w:rsidRDefault="007F32E9" w:rsidP="007F32E9">
      <w:pPr>
        <w:jc w:val="both"/>
        <w:rPr>
          <w:rFonts w:eastAsia="Calibri"/>
          <w:color w:val="000000" w:themeColor="text1"/>
          <w:kern w:val="2"/>
          <w:sz w:val="22"/>
          <w:szCs w:val="22"/>
          <w14:ligatures w14:val="standardContextual"/>
        </w:rPr>
      </w:pPr>
      <w:r w:rsidRPr="00EA3221">
        <w:rPr>
          <w:rFonts w:eastAsia="Calibri"/>
          <w:color w:val="000000" w:themeColor="text1"/>
          <w:kern w:val="2"/>
          <w:sz w:val="22"/>
          <w:szCs w:val="22"/>
          <w14:ligatures w14:val="standardContextual"/>
        </w:rPr>
        <w:t>International: +1 (646) 307-1963</w:t>
      </w:r>
    </w:p>
    <w:p w14:paraId="67E3625A" w14:textId="77777777" w:rsidR="007F32E9" w:rsidRPr="00EA3221" w:rsidRDefault="007F32E9" w:rsidP="007F32E9">
      <w:pPr>
        <w:jc w:val="both"/>
        <w:rPr>
          <w:rFonts w:eastAsia="Calibri"/>
          <w:color w:val="000000" w:themeColor="text1"/>
          <w:kern w:val="2"/>
          <w:sz w:val="22"/>
          <w:szCs w:val="22"/>
          <w14:ligatures w14:val="standardContextual"/>
        </w:rPr>
      </w:pPr>
      <w:r w:rsidRPr="00EA3221">
        <w:rPr>
          <w:rFonts w:eastAsia="Calibri"/>
          <w:color w:val="000000" w:themeColor="text1"/>
          <w:kern w:val="2"/>
          <w:sz w:val="22"/>
          <w:szCs w:val="22"/>
          <w14:ligatures w14:val="standardContextual"/>
        </w:rPr>
        <w:t xml:space="preserve">Conference ID: </w:t>
      </w:r>
      <w:r w:rsidRPr="004E5BE0">
        <w:rPr>
          <w:rFonts w:eastAsia="Calibri"/>
          <w:color w:val="000000" w:themeColor="text1"/>
          <w:kern w:val="2"/>
          <w:sz w:val="22"/>
          <w:szCs w:val="22"/>
          <w14:ligatures w14:val="standardContextual"/>
        </w:rPr>
        <w:t>3852178</w:t>
      </w:r>
    </w:p>
    <w:p w14:paraId="19410A03" w14:textId="77777777" w:rsidR="007F32E9" w:rsidRPr="001E6322" w:rsidRDefault="007F32E9" w:rsidP="007F32E9">
      <w:r w:rsidRPr="001E6322">
        <w:rPr>
          <w:rFonts w:eastAsia="Calibri"/>
          <w:kern w:val="2"/>
          <w:sz w:val="22"/>
          <w:szCs w:val="22"/>
          <w14:ligatures w14:val="standardContextual"/>
        </w:rPr>
        <w:t xml:space="preserve">Webcast: </w:t>
      </w:r>
      <w:hyperlink r:id="rId14" w:history="1">
        <w:r w:rsidRPr="001E6322">
          <w:rPr>
            <w:color w:val="0000FF"/>
            <w:u w:val="single"/>
          </w:rPr>
          <w:t>https://edge.media-server.com/mmc/p/qj3e68n8</w:t>
        </w:r>
      </w:hyperlink>
    </w:p>
    <w:p w14:paraId="6F29DD78" w14:textId="77777777" w:rsidR="007F32E9" w:rsidRPr="00EA3221" w:rsidRDefault="007F32E9" w:rsidP="007F32E9">
      <w:pPr>
        <w:jc w:val="both"/>
        <w:rPr>
          <w:rFonts w:eastAsia="Calibri"/>
          <w:b/>
          <w:bCs/>
          <w:kern w:val="2"/>
          <w:sz w:val="22"/>
          <w:szCs w:val="22"/>
          <w14:ligatures w14:val="standardContextual"/>
        </w:rPr>
      </w:pPr>
    </w:p>
    <w:p w14:paraId="34223044" w14:textId="77777777" w:rsidR="007F32E9" w:rsidRPr="00EA3221" w:rsidRDefault="007F32E9" w:rsidP="007F32E9">
      <w:pPr>
        <w:jc w:val="both"/>
        <w:rPr>
          <w:rFonts w:eastAsia="Calibri"/>
          <w:color w:val="000000" w:themeColor="text1"/>
          <w:kern w:val="2"/>
          <w:sz w:val="22"/>
          <w:szCs w:val="22"/>
          <w14:ligatures w14:val="standardContextual"/>
        </w:rPr>
      </w:pPr>
      <w:r w:rsidRPr="00EA3221">
        <w:rPr>
          <w:rFonts w:eastAsia="Calibri"/>
          <w:color w:val="000000" w:themeColor="text1"/>
          <w:kern w:val="2"/>
          <w:sz w:val="22"/>
          <w:szCs w:val="22"/>
          <w14:ligatures w14:val="standardContextual"/>
        </w:rPr>
        <w:t>A webcast replay of the call will be available for three months via the same link as the live webcast approximately two hours after the end of the call.</w:t>
      </w:r>
    </w:p>
    <w:p w14:paraId="1EA27B4B" w14:textId="77777777" w:rsidR="007F32E9" w:rsidRPr="00EA3221" w:rsidRDefault="007F32E9" w:rsidP="007F32E9">
      <w:pPr>
        <w:jc w:val="both"/>
        <w:rPr>
          <w:color w:val="000000" w:themeColor="text1"/>
          <w:sz w:val="22"/>
          <w:szCs w:val="22"/>
        </w:rPr>
      </w:pPr>
    </w:p>
    <w:p w14:paraId="5A60B6E0" w14:textId="77777777" w:rsidR="007F32E9" w:rsidRPr="00EA3221" w:rsidRDefault="007F32E9" w:rsidP="007F32E9">
      <w:pPr>
        <w:jc w:val="both"/>
        <w:outlineLvl w:val="0"/>
        <w:rPr>
          <w:rFonts w:eastAsia="SimSun"/>
          <w:color w:val="000000"/>
          <w:sz w:val="22"/>
          <w:szCs w:val="22"/>
        </w:rPr>
      </w:pPr>
      <w:bookmarkStart w:id="0" w:name="_Hlk135652404"/>
      <w:r w:rsidRPr="00EA3221">
        <w:rPr>
          <w:rFonts w:eastAsia="SimSun"/>
          <w:b/>
          <w:bCs/>
          <w:color w:val="000000" w:themeColor="text1"/>
          <w:sz w:val="22"/>
          <w:szCs w:val="22"/>
        </w:rPr>
        <w:t>About GeoVax</w:t>
      </w:r>
    </w:p>
    <w:bookmarkEnd w:id="0"/>
    <w:p w14:paraId="4B5485EB" w14:textId="77777777" w:rsidR="007F32E9" w:rsidRPr="00EA3221" w:rsidRDefault="007F32E9" w:rsidP="007F32E9">
      <w:pPr>
        <w:jc w:val="both"/>
        <w:outlineLvl w:val="0"/>
        <w:rPr>
          <w:rFonts w:eastAsia="SimSun"/>
          <w:color w:val="000000"/>
          <w:sz w:val="22"/>
          <w:szCs w:val="22"/>
        </w:rPr>
      </w:pPr>
    </w:p>
    <w:p w14:paraId="04A25A59" w14:textId="77777777" w:rsidR="007F32E9" w:rsidRDefault="007F32E9" w:rsidP="007F32E9">
      <w:pPr>
        <w:jc w:val="both"/>
        <w:rPr>
          <w:rFonts w:eastAsia="SimSun"/>
          <w:color w:val="000000"/>
          <w:sz w:val="22"/>
          <w:szCs w:val="22"/>
        </w:rPr>
      </w:pPr>
      <w:r>
        <w:rPr>
          <w:rFonts w:eastAsia="SimSun"/>
          <w:color w:val="000000"/>
          <w:sz w:val="22"/>
          <w:szCs w:val="22"/>
        </w:rPr>
        <w:t>GeoVax Labs, Inc. is a clinical-stage biotechnology company developing novel vaccines for many of the world’s most threatening infectious diseases and therapies for solid tumor cancers. The company’s lead clinical program is GEO-CM04S1, a next-generation COVID-19 vaccine for which GeoVax was recently awarded a BARDA-funded contract to sponsor a 10,000-participant Phase 2b clinical trial to evaluate the efficacy of GEO-CM04S1 versus an approved COVID-19 vaccine. In addition, GEO-CM04S1 is currently in three Phase 2 clinical trials, being evaluated as (1) a primary vaccine for immunocompromised patients such as those suffering from hematologic cancers and other patient populations for whom the current authorized COVID-19 vaccines are insufficient, (2) a booster vaccine in patients with chronic lymphocytic leukemia (CLL) and (3) a more robust, durable COVID-19 booster among healthy patients who previously received the mRNA vaccines. In oncology the lead clinical program is evaluating a novel oncolytic solid tumor gene-directed therapy, Gedeptin</w:t>
      </w:r>
      <w:r>
        <w:rPr>
          <w:rFonts w:eastAsia="SimSun"/>
          <w:color w:val="000000"/>
          <w:sz w:val="22"/>
          <w:szCs w:val="22"/>
          <w:vertAlign w:val="superscript"/>
        </w:rPr>
        <w:t>®</w:t>
      </w:r>
      <w:r>
        <w:rPr>
          <w:rFonts w:eastAsia="SimSun"/>
          <w:color w:val="000000"/>
          <w:sz w:val="22"/>
          <w:szCs w:val="22"/>
        </w:rPr>
        <w:t xml:space="preserve">, in a multicenter Phase 1/2 clinical trial for advanced head and neck cancers. GeoVax has a strong IP portfolio in support of its technologies and product candidates, holding worldwide rights for its technologies and products. The Company has a leadership team who have driven significant value creation across multiple life science companies over the past several decades. For more information about the </w:t>
      </w:r>
      <w:proofErr w:type="gramStart"/>
      <w:r>
        <w:rPr>
          <w:rFonts w:eastAsia="SimSun"/>
          <w:color w:val="000000"/>
          <w:sz w:val="22"/>
          <w:szCs w:val="22"/>
        </w:rPr>
        <w:t>current status</w:t>
      </w:r>
      <w:proofErr w:type="gramEnd"/>
      <w:r>
        <w:rPr>
          <w:rFonts w:eastAsia="SimSun"/>
          <w:color w:val="000000"/>
          <w:sz w:val="22"/>
          <w:szCs w:val="22"/>
        </w:rPr>
        <w:t xml:space="preserve"> of our clinical trials and other updates, visit our website: </w:t>
      </w:r>
      <w:hyperlink r:id="rId15" w:history="1">
        <w:r>
          <w:rPr>
            <w:rStyle w:val="Hyperlink"/>
            <w:rFonts w:eastAsia="SimSun"/>
            <w:sz w:val="22"/>
            <w:szCs w:val="22"/>
          </w:rPr>
          <w:t>www.geovax.com</w:t>
        </w:r>
      </w:hyperlink>
      <w:r>
        <w:rPr>
          <w:rFonts w:eastAsia="SimSun"/>
          <w:color w:val="000000"/>
          <w:sz w:val="22"/>
          <w:szCs w:val="22"/>
        </w:rPr>
        <w:t>.</w:t>
      </w:r>
    </w:p>
    <w:p w14:paraId="6370B0DE" w14:textId="77777777" w:rsidR="007F32E9" w:rsidRPr="00EA3221" w:rsidRDefault="007F32E9" w:rsidP="007F32E9">
      <w:pPr>
        <w:jc w:val="both"/>
        <w:outlineLvl w:val="0"/>
        <w:rPr>
          <w:rFonts w:eastAsia="SimSun"/>
          <w:bCs/>
          <w:iCs/>
          <w:sz w:val="22"/>
          <w:szCs w:val="22"/>
        </w:rPr>
      </w:pPr>
    </w:p>
    <w:p w14:paraId="753E18C0" w14:textId="77777777" w:rsidR="007F32E9" w:rsidRPr="00EA3221" w:rsidRDefault="007F32E9" w:rsidP="007F32E9">
      <w:pPr>
        <w:jc w:val="both"/>
        <w:rPr>
          <w:i/>
          <w:iCs/>
        </w:rPr>
      </w:pPr>
      <w:r w:rsidRPr="00EA3221">
        <w:rPr>
          <w:i/>
          <w:iCs/>
        </w:rPr>
        <w:t>Forward-Looking Statements</w:t>
      </w:r>
    </w:p>
    <w:p w14:paraId="6A48715D" w14:textId="77777777" w:rsidR="007F32E9" w:rsidRPr="00EA3221" w:rsidRDefault="007F32E9" w:rsidP="007F32E9">
      <w:pPr>
        <w:shd w:val="clear" w:color="auto" w:fill="FFFFFF"/>
        <w:jc w:val="both"/>
        <w:rPr>
          <w:sz w:val="22"/>
          <w:szCs w:val="22"/>
        </w:rPr>
      </w:pPr>
    </w:p>
    <w:p w14:paraId="7831E11C" w14:textId="77777777" w:rsidR="007F32E9" w:rsidRPr="00EA3221" w:rsidRDefault="007F32E9" w:rsidP="007F32E9">
      <w:pPr>
        <w:shd w:val="clear" w:color="auto" w:fill="FFFFFF"/>
        <w:jc w:val="both"/>
        <w:rPr>
          <w:rFonts w:eastAsia="SimSun"/>
          <w:i/>
          <w:iCs/>
        </w:rPr>
      </w:pPr>
      <w:r w:rsidRPr="00EA3221">
        <w:rPr>
          <w:rFonts w:eastAsia="SimSun"/>
          <w:i/>
          <w:iCs/>
        </w:rPr>
        <w:lastRenderedPageBreak/>
        <w:t xml:space="preserve">This release contains forward-looking statements regarding GeoVax’s business plans. The words “believe,” “look forward to,”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 obtain acceptable results from ongoing or future clinical trials of its investigational products, GeoVax’s immuno-oncology products and preventative vaccines can provoke the desired responses, and those products or vaccines can be used effectively, GeoVax’s viral vector technology adequately amplifies immune responses to cancer antigens, GeoVax can develop and manufacture its immuno-oncology products and preventative vaccines with the desired characteristics in a timely manner, GeoVax’s immuno-oncology products and preventative vaccines will be safe for human use, GeoVax’s vaccines will effectively prevent targeted infections in humans, GeoVax’s immuno-oncology products and preventative vaccines will receive regulatory approvals necessary to be licensed and marketed, GeoVax raises required capital to complete development, there is development of competitive products that may be more effective or easier to use than GeoVax’s products, GeoVax will be able to enter into favorable manufacturing and distribution agreements, and other factors, over which GeoVax has no control. </w:t>
      </w:r>
    </w:p>
    <w:p w14:paraId="2C95F7B1" w14:textId="77777777" w:rsidR="007F32E9" w:rsidRPr="00EA3221" w:rsidRDefault="007F32E9" w:rsidP="007F32E9">
      <w:pPr>
        <w:shd w:val="clear" w:color="auto" w:fill="FFFFFF"/>
        <w:jc w:val="both"/>
        <w:rPr>
          <w:rFonts w:eastAsia="SimSun"/>
          <w:i/>
          <w:iCs/>
        </w:rPr>
      </w:pPr>
    </w:p>
    <w:p w14:paraId="104C1958" w14:textId="77777777" w:rsidR="007F32E9" w:rsidRPr="00EA3221" w:rsidRDefault="007F32E9" w:rsidP="007F32E9">
      <w:pPr>
        <w:shd w:val="clear" w:color="auto" w:fill="FFFFFF"/>
        <w:jc w:val="both"/>
        <w:rPr>
          <w:rFonts w:eastAsia="SimSun"/>
          <w:i/>
          <w:iCs/>
        </w:rPr>
      </w:pPr>
      <w:r w:rsidRPr="00EA3221">
        <w:rPr>
          <w:rFonts w:eastAsia="SimSun"/>
          <w:i/>
          <w:iCs/>
        </w:rPr>
        <w:t xml:space="preserve">Further information on our risk factors is contained in our periodic reports on Form 10-Q and Form 10-K that we have filed and will file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w:t>
      </w:r>
      <w:proofErr w:type="gramStart"/>
      <w:r w:rsidRPr="00EA3221">
        <w:rPr>
          <w:rFonts w:eastAsia="SimSun"/>
          <w:i/>
          <w:iCs/>
        </w:rPr>
        <w:t>as a result of</w:t>
      </w:r>
      <w:proofErr w:type="gramEnd"/>
      <w:r w:rsidRPr="00EA3221">
        <w:rPr>
          <w:rFonts w:eastAsia="SimSun"/>
          <w:i/>
          <w:iCs/>
        </w:rPr>
        <w:t xml:space="preserve"> new information, future developments or otherwise, except as may be required by law. </w:t>
      </w:r>
    </w:p>
    <w:p w14:paraId="527508DA" w14:textId="77777777" w:rsidR="007F32E9" w:rsidRPr="00EA3221" w:rsidRDefault="007F32E9" w:rsidP="007F32E9">
      <w:pPr>
        <w:jc w:val="both"/>
        <w:rPr>
          <w:bCs/>
          <w:sz w:val="22"/>
          <w:szCs w:val="22"/>
        </w:rPr>
      </w:pPr>
    </w:p>
    <w:p w14:paraId="6EE182C3" w14:textId="77777777" w:rsidR="007F32E9" w:rsidRPr="00EA3221" w:rsidRDefault="007F32E9" w:rsidP="007F32E9">
      <w:pPr>
        <w:tabs>
          <w:tab w:val="left" w:pos="2880"/>
          <w:tab w:val="left" w:pos="6480"/>
        </w:tabs>
        <w:jc w:val="both"/>
        <w:rPr>
          <w:b/>
          <w:bCs/>
          <w:color w:val="000000" w:themeColor="text1"/>
          <w:sz w:val="22"/>
          <w:szCs w:val="22"/>
        </w:rPr>
      </w:pPr>
      <w:r w:rsidRPr="00EA3221">
        <w:rPr>
          <w:b/>
          <w:bCs/>
          <w:color w:val="000000" w:themeColor="text1"/>
          <w:sz w:val="22"/>
          <w:szCs w:val="22"/>
        </w:rPr>
        <w:t>Company Contact:</w:t>
      </w:r>
      <w:r w:rsidRPr="00EA3221">
        <w:tab/>
      </w:r>
      <w:r w:rsidRPr="00EA3221">
        <w:rPr>
          <w:b/>
          <w:bCs/>
          <w:color w:val="000000" w:themeColor="text1"/>
          <w:sz w:val="22"/>
          <w:szCs w:val="22"/>
        </w:rPr>
        <w:t>Investor Relations Contact:</w:t>
      </w:r>
      <w:r w:rsidRPr="00EA3221">
        <w:tab/>
      </w:r>
      <w:r w:rsidRPr="00EA3221">
        <w:rPr>
          <w:b/>
          <w:bCs/>
          <w:color w:val="000000" w:themeColor="text1"/>
          <w:sz w:val="22"/>
          <w:szCs w:val="22"/>
        </w:rPr>
        <w:t>Media Contact:</w:t>
      </w:r>
    </w:p>
    <w:p w14:paraId="5C625E6F" w14:textId="77777777" w:rsidR="007F32E9" w:rsidRPr="00EA3221" w:rsidRDefault="007F32E9" w:rsidP="007F32E9">
      <w:pPr>
        <w:tabs>
          <w:tab w:val="left" w:pos="2880"/>
          <w:tab w:val="left" w:pos="6480"/>
        </w:tabs>
        <w:jc w:val="both"/>
        <w:rPr>
          <w:bCs/>
          <w:sz w:val="22"/>
          <w:szCs w:val="22"/>
        </w:rPr>
      </w:pPr>
      <w:hyperlink r:id="rId16" w:history="1">
        <w:r w:rsidRPr="00EA3221">
          <w:rPr>
            <w:bCs/>
            <w:color w:val="0000FF"/>
            <w:sz w:val="22"/>
            <w:szCs w:val="22"/>
            <w:u w:val="single"/>
          </w:rPr>
          <w:t>info@geovax.com</w:t>
        </w:r>
      </w:hyperlink>
      <w:r w:rsidRPr="00EA3221">
        <w:rPr>
          <w:bCs/>
          <w:sz w:val="22"/>
          <w:szCs w:val="22"/>
        </w:rPr>
        <w:tab/>
      </w:r>
      <w:hyperlink r:id="rId17" w:history="1"/>
      <w:hyperlink r:id="rId18" w:history="1">
        <w:r w:rsidRPr="004452AA">
          <w:rPr>
            <w:rStyle w:val="Hyperlink"/>
            <w:bCs/>
            <w:sz w:val="22"/>
            <w:szCs w:val="22"/>
          </w:rPr>
          <w:t>austin.murtagh@precisionaq.com</w:t>
        </w:r>
      </w:hyperlink>
      <w:r w:rsidRPr="00EA3221">
        <w:rPr>
          <w:bCs/>
          <w:sz w:val="22"/>
          <w:szCs w:val="22"/>
        </w:rPr>
        <w:tab/>
      </w:r>
      <w:hyperlink r:id="rId19" w:history="1">
        <w:r w:rsidRPr="00EA3221">
          <w:rPr>
            <w:bCs/>
            <w:color w:val="0000FF"/>
            <w:sz w:val="22"/>
            <w:szCs w:val="22"/>
            <w:u w:val="single"/>
          </w:rPr>
          <w:t>sr@roberts-communications.com</w:t>
        </w:r>
      </w:hyperlink>
    </w:p>
    <w:p w14:paraId="44CDC23C" w14:textId="77777777" w:rsidR="007F32E9" w:rsidRPr="00EA3221" w:rsidRDefault="007F32E9" w:rsidP="007F32E9">
      <w:pPr>
        <w:tabs>
          <w:tab w:val="left" w:pos="2880"/>
          <w:tab w:val="left" w:pos="6480"/>
        </w:tabs>
        <w:jc w:val="both"/>
        <w:rPr>
          <w:bCs/>
          <w:sz w:val="22"/>
          <w:szCs w:val="22"/>
        </w:rPr>
      </w:pPr>
      <w:r w:rsidRPr="00EA3221">
        <w:rPr>
          <w:bCs/>
          <w:sz w:val="22"/>
          <w:szCs w:val="22"/>
        </w:rPr>
        <w:t>678-384-7220</w:t>
      </w:r>
      <w:r w:rsidRPr="00EA3221">
        <w:rPr>
          <w:bCs/>
          <w:sz w:val="22"/>
          <w:szCs w:val="22"/>
        </w:rPr>
        <w:tab/>
        <w:t>212-698-869</w:t>
      </w:r>
      <w:r>
        <w:rPr>
          <w:bCs/>
          <w:sz w:val="22"/>
          <w:szCs w:val="22"/>
        </w:rPr>
        <w:t>6</w:t>
      </w:r>
      <w:r w:rsidRPr="00EA3221">
        <w:rPr>
          <w:bCs/>
          <w:sz w:val="22"/>
          <w:szCs w:val="22"/>
        </w:rPr>
        <w:tab/>
        <w:t>202-779-0929</w:t>
      </w:r>
    </w:p>
    <w:p w14:paraId="24A13F95" w14:textId="77777777" w:rsidR="007F32E9" w:rsidRPr="00AB38A1" w:rsidRDefault="007F32E9" w:rsidP="007F32E9"/>
    <w:p w14:paraId="5910EB0E" w14:textId="77777777" w:rsidR="007F32E9" w:rsidRPr="00AB38A1" w:rsidRDefault="007F32E9" w:rsidP="007F32E9">
      <w:pPr>
        <w:jc w:val="both"/>
      </w:pPr>
    </w:p>
    <w:p w14:paraId="79164D34" w14:textId="77777777" w:rsidR="007F32E9" w:rsidRPr="00AB38A1" w:rsidRDefault="007F32E9" w:rsidP="007F32E9">
      <w:pPr>
        <w:jc w:val="center"/>
      </w:pPr>
      <w:r w:rsidRPr="00ED67B3">
        <w:rPr>
          <w:b/>
        </w:rPr>
        <w:t>FINANCIAL TABLES FOLLOW</w:t>
      </w:r>
    </w:p>
    <w:p w14:paraId="679CAAEA" w14:textId="77777777" w:rsidR="007F32E9" w:rsidRPr="00AB38A1" w:rsidRDefault="007F32E9" w:rsidP="007F32E9">
      <w:pPr>
        <w:sectPr w:rsidR="007F32E9" w:rsidRPr="00AB38A1" w:rsidSect="007F32E9">
          <w:footerReference w:type="default" r:id="rId20"/>
          <w:headerReference w:type="first" r:id="rId21"/>
          <w:footerReference w:type="first" r:id="rId22"/>
          <w:pgSz w:w="12240" w:h="15840" w:code="1"/>
          <w:pgMar w:top="1440" w:right="1296" w:bottom="1008" w:left="1296" w:header="547" w:footer="576" w:gutter="0"/>
          <w:pgNumType w:start="0"/>
          <w:cols w:space="720"/>
          <w:titlePg/>
          <w:docGrid w:linePitch="272"/>
        </w:sect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30"/>
        <w:gridCol w:w="448"/>
        <w:gridCol w:w="1208"/>
        <w:gridCol w:w="1208"/>
        <w:gridCol w:w="1208"/>
        <w:gridCol w:w="1208"/>
      </w:tblGrid>
      <w:tr w:rsidR="007F32E9" w:rsidRPr="00C03241" w14:paraId="76302053" w14:textId="77777777" w:rsidTr="002730CA">
        <w:trPr>
          <w:cantSplit/>
          <w:trHeight w:val="293"/>
        </w:trPr>
        <w:tc>
          <w:tcPr>
            <w:tcW w:w="9930" w:type="dxa"/>
            <w:gridSpan w:val="9"/>
          </w:tcPr>
          <w:p w14:paraId="0055C9EC" w14:textId="77777777" w:rsidR="007F32E9" w:rsidRPr="00C03241" w:rsidRDefault="007F32E9" w:rsidP="002730CA">
            <w:pPr>
              <w:jc w:val="center"/>
              <w:rPr>
                <w:snapToGrid w:val="0"/>
              </w:rPr>
            </w:pPr>
            <w:r w:rsidRPr="00C03241">
              <w:rPr>
                <w:b/>
                <w:bCs/>
                <w:snapToGrid w:val="0"/>
              </w:rPr>
              <w:lastRenderedPageBreak/>
              <w:t>GEOVAX LABS, INC.</w:t>
            </w:r>
          </w:p>
        </w:tc>
      </w:tr>
      <w:tr w:rsidR="007F32E9" w:rsidRPr="00C03241" w14:paraId="6967C0F9" w14:textId="77777777" w:rsidTr="002730CA">
        <w:trPr>
          <w:cantSplit/>
          <w:trHeight w:val="293"/>
        </w:trPr>
        <w:tc>
          <w:tcPr>
            <w:tcW w:w="9930" w:type="dxa"/>
            <w:gridSpan w:val="9"/>
          </w:tcPr>
          <w:p w14:paraId="2F54F5D5" w14:textId="77777777" w:rsidR="007F32E9" w:rsidRPr="00C03241" w:rsidRDefault="007F32E9" w:rsidP="002730CA">
            <w:pPr>
              <w:jc w:val="center"/>
              <w:rPr>
                <w:snapToGrid w:val="0"/>
              </w:rPr>
            </w:pPr>
            <w:r w:rsidRPr="00C03241">
              <w:rPr>
                <w:b/>
                <w:bCs/>
                <w:snapToGrid w:val="0"/>
              </w:rPr>
              <w:t>Condensed Consolidated Statements of Operations Information</w:t>
            </w:r>
          </w:p>
        </w:tc>
      </w:tr>
      <w:tr w:rsidR="007F32E9" w:rsidRPr="00C03241" w14:paraId="0A2D9280" w14:textId="77777777" w:rsidTr="002730CA">
        <w:trPr>
          <w:cantSplit/>
          <w:trHeight w:val="293"/>
        </w:trPr>
        <w:tc>
          <w:tcPr>
            <w:tcW w:w="9930" w:type="dxa"/>
            <w:gridSpan w:val="9"/>
          </w:tcPr>
          <w:p w14:paraId="4C62ED11" w14:textId="77777777" w:rsidR="007F32E9" w:rsidRPr="00C03241" w:rsidRDefault="007F32E9" w:rsidP="002730CA">
            <w:pPr>
              <w:jc w:val="center"/>
              <w:rPr>
                <w:i/>
                <w:snapToGrid w:val="0"/>
              </w:rPr>
            </w:pPr>
            <w:r w:rsidRPr="00C03241">
              <w:rPr>
                <w:bCs/>
                <w:i/>
                <w:snapToGrid w:val="0"/>
              </w:rPr>
              <w:t>(amounts in thousands, except common share information)</w:t>
            </w:r>
          </w:p>
        </w:tc>
      </w:tr>
      <w:tr w:rsidR="007F32E9" w:rsidRPr="00C03241" w14:paraId="41D2C696" w14:textId="77777777" w:rsidTr="002730CA">
        <w:trPr>
          <w:cantSplit/>
          <w:trHeight w:val="293"/>
        </w:trPr>
        <w:tc>
          <w:tcPr>
            <w:tcW w:w="9930" w:type="dxa"/>
            <w:gridSpan w:val="9"/>
          </w:tcPr>
          <w:p w14:paraId="1159EC81" w14:textId="77777777" w:rsidR="007F32E9" w:rsidRPr="00C03241" w:rsidRDefault="007F32E9" w:rsidP="002730CA">
            <w:pPr>
              <w:jc w:val="center"/>
              <w:rPr>
                <w:bCs/>
                <w:i/>
                <w:snapToGrid w:val="0"/>
              </w:rPr>
            </w:pPr>
          </w:p>
        </w:tc>
      </w:tr>
      <w:tr w:rsidR="007F32E9" w:rsidRPr="00C03241" w14:paraId="3127653D" w14:textId="77777777" w:rsidTr="002730CA">
        <w:trPr>
          <w:trHeight w:val="276"/>
        </w:trPr>
        <w:tc>
          <w:tcPr>
            <w:tcW w:w="237" w:type="dxa"/>
          </w:tcPr>
          <w:p w14:paraId="4E194B66" w14:textId="77777777" w:rsidR="007F32E9" w:rsidRPr="00C03241" w:rsidRDefault="007F32E9" w:rsidP="002730CA">
            <w:pPr>
              <w:spacing w:line="276" w:lineRule="auto"/>
              <w:jc w:val="right"/>
              <w:rPr>
                <w:snapToGrid w:val="0"/>
              </w:rPr>
            </w:pPr>
          </w:p>
        </w:tc>
        <w:tc>
          <w:tcPr>
            <w:tcW w:w="1462" w:type="dxa"/>
          </w:tcPr>
          <w:p w14:paraId="3B6E58E7" w14:textId="77777777" w:rsidR="007F32E9" w:rsidRPr="00C03241" w:rsidRDefault="007F32E9" w:rsidP="002730CA">
            <w:pPr>
              <w:spacing w:line="276" w:lineRule="auto"/>
              <w:jc w:val="right"/>
              <w:rPr>
                <w:snapToGrid w:val="0"/>
              </w:rPr>
            </w:pPr>
          </w:p>
        </w:tc>
        <w:tc>
          <w:tcPr>
            <w:tcW w:w="2921" w:type="dxa"/>
          </w:tcPr>
          <w:p w14:paraId="13556F63" w14:textId="77777777" w:rsidR="007F32E9" w:rsidRPr="00C03241" w:rsidRDefault="007F32E9" w:rsidP="002730CA">
            <w:pPr>
              <w:spacing w:line="276" w:lineRule="auto"/>
              <w:jc w:val="right"/>
              <w:rPr>
                <w:snapToGrid w:val="0"/>
              </w:rPr>
            </w:pPr>
          </w:p>
        </w:tc>
        <w:tc>
          <w:tcPr>
            <w:tcW w:w="478" w:type="dxa"/>
            <w:gridSpan w:val="2"/>
          </w:tcPr>
          <w:p w14:paraId="4F9ED7CB" w14:textId="77777777" w:rsidR="007F32E9" w:rsidRPr="00C03241" w:rsidRDefault="007F32E9" w:rsidP="002730CA">
            <w:pPr>
              <w:spacing w:line="276" w:lineRule="auto"/>
              <w:jc w:val="right"/>
              <w:rPr>
                <w:snapToGrid w:val="0"/>
              </w:rPr>
            </w:pPr>
          </w:p>
        </w:tc>
        <w:tc>
          <w:tcPr>
            <w:tcW w:w="2416" w:type="dxa"/>
            <w:gridSpan w:val="2"/>
          </w:tcPr>
          <w:p w14:paraId="1BC974BE" w14:textId="77777777" w:rsidR="007F32E9" w:rsidRPr="00C03241" w:rsidRDefault="007F32E9" w:rsidP="002730CA">
            <w:pPr>
              <w:spacing w:line="276" w:lineRule="auto"/>
              <w:ind w:right="-210"/>
              <w:jc w:val="center"/>
              <w:rPr>
                <w:snapToGrid w:val="0"/>
              </w:rPr>
            </w:pPr>
            <w:r w:rsidRPr="00C03241">
              <w:rPr>
                <w:snapToGrid w:val="0"/>
              </w:rPr>
              <w:t>Three Months Ended</w:t>
            </w:r>
          </w:p>
        </w:tc>
        <w:tc>
          <w:tcPr>
            <w:tcW w:w="2416" w:type="dxa"/>
            <w:gridSpan w:val="2"/>
          </w:tcPr>
          <w:p w14:paraId="1A906961" w14:textId="77777777" w:rsidR="007F32E9" w:rsidRPr="00C03241" w:rsidRDefault="007F32E9" w:rsidP="002730CA">
            <w:pPr>
              <w:spacing w:line="276" w:lineRule="auto"/>
              <w:jc w:val="center"/>
              <w:rPr>
                <w:snapToGrid w:val="0"/>
              </w:rPr>
            </w:pPr>
            <w:r w:rsidRPr="00C03241">
              <w:rPr>
                <w:snapToGrid w:val="0"/>
              </w:rPr>
              <w:t>Six Months Ended</w:t>
            </w:r>
          </w:p>
        </w:tc>
      </w:tr>
      <w:tr w:rsidR="007F32E9" w:rsidRPr="00C03241" w14:paraId="7BB369CD" w14:textId="77777777" w:rsidTr="002730CA">
        <w:trPr>
          <w:trHeight w:val="276"/>
        </w:trPr>
        <w:tc>
          <w:tcPr>
            <w:tcW w:w="237" w:type="dxa"/>
          </w:tcPr>
          <w:p w14:paraId="4F639513" w14:textId="77777777" w:rsidR="007F32E9" w:rsidRPr="00C03241" w:rsidRDefault="007F32E9" w:rsidP="002730CA">
            <w:pPr>
              <w:spacing w:line="276" w:lineRule="auto"/>
              <w:jc w:val="right"/>
              <w:rPr>
                <w:snapToGrid w:val="0"/>
              </w:rPr>
            </w:pPr>
          </w:p>
        </w:tc>
        <w:tc>
          <w:tcPr>
            <w:tcW w:w="1462" w:type="dxa"/>
          </w:tcPr>
          <w:p w14:paraId="3A5AD16B" w14:textId="77777777" w:rsidR="007F32E9" w:rsidRPr="00C03241" w:rsidRDefault="007F32E9" w:rsidP="002730CA">
            <w:pPr>
              <w:spacing w:line="276" w:lineRule="auto"/>
              <w:jc w:val="right"/>
              <w:rPr>
                <w:snapToGrid w:val="0"/>
              </w:rPr>
            </w:pPr>
          </w:p>
        </w:tc>
        <w:tc>
          <w:tcPr>
            <w:tcW w:w="2921" w:type="dxa"/>
          </w:tcPr>
          <w:p w14:paraId="4920D5B4" w14:textId="77777777" w:rsidR="007F32E9" w:rsidRPr="00C03241" w:rsidRDefault="007F32E9" w:rsidP="002730CA">
            <w:pPr>
              <w:spacing w:line="276" w:lineRule="auto"/>
              <w:jc w:val="right"/>
              <w:rPr>
                <w:snapToGrid w:val="0"/>
              </w:rPr>
            </w:pPr>
          </w:p>
        </w:tc>
        <w:tc>
          <w:tcPr>
            <w:tcW w:w="478" w:type="dxa"/>
            <w:gridSpan w:val="2"/>
          </w:tcPr>
          <w:p w14:paraId="0BB34072" w14:textId="77777777" w:rsidR="007F32E9" w:rsidRPr="00C03241" w:rsidRDefault="007F32E9" w:rsidP="002730CA">
            <w:pPr>
              <w:spacing w:line="276" w:lineRule="auto"/>
              <w:jc w:val="right"/>
              <w:rPr>
                <w:snapToGrid w:val="0"/>
              </w:rPr>
            </w:pPr>
          </w:p>
        </w:tc>
        <w:tc>
          <w:tcPr>
            <w:tcW w:w="2416" w:type="dxa"/>
            <w:gridSpan w:val="2"/>
            <w:tcBorders>
              <w:bottom w:val="single" w:sz="4" w:space="0" w:color="auto"/>
            </w:tcBorders>
          </w:tcPr>
          <w:p w14:paraId="76BC1806" w14:textId="77777777" w:rsidR="007F32E9" w:rsidRPr="00C03241" w:rsidRDefault="007F32E9" w:rsidP="002730CA">
            <w:pPr>
              <w:spacing w:line="276" w:lineRule="auto"/>
              <w:jc w:val="center"/>
              <w:rPr>
                <w:snapToGrid w:val="0"/>
              </w:rPr>
            </w:pPr>
            <w:r w:rsidRPr="00C03241">
              <w:rPr>
                <w:snapToGrid w:val="0"/>
              </w:rPr>
              <w:t>June 30,</w:t>
            </w:r>
          </w:p>
        </w:tc>
        <w:tc>
          <w:tcPr>
            <w:tcW w:w="2416" w:type="dxa"/>
            <w:gridSpan w:val="2"/>
            <w:tcBorders>
              <w:bottom w:val="single" w:sz="6" w:space="0" w:color="auto"/>
            </w:tcBorders>
          </w:tcPr>
          <w:p w14:paraId="28F28A61" w14:textId="77777777" w:rsidR="007F32E9" w:rsidRPr="00C03241" w:rsidRDefault="007F32E9" w:rsidP="002730CA">
            <w:pPr>
              <w:spacing w:line="276" w:lineRule="auto"/>
              <w:jc w:val="center"/>
              <w:rPr>
                <w:snapToGrid w:val="0"/>
              </w:rPr>
            </w:pPr>
            <w:r w:rsidRPr="00C03241">
              <w:rPr>
                <w:snapToGrid w:val="0"/>
              </w:rPr>
              <w:t xml:space="preserve">June 30, </w:t>
            </w:r>
          </w:p>
        </w:tc>
      </w:tr>
      <w:tr w:rsidR="007F32E9" w:rsidRPr="00C03241" w14:paraId="46DFA39B" w14:textId="77777777" w:rsidTr="002730CA">
        <w:trPr>
          <w:trHeight w:val="276"/>
        </w:trPr>
        <w:tc>
          <w:tcPr>
            <w:tcW w:w="237" w:type="dxa"/>
          </w:tcPr>
          <w:p w14:paraId="2CEED103" w14:textId="77777777" w:rsidR="007F32E9" w:rsidRPr="00C03241" w:rsidRDefault="007F32E9" w:rsidP="002730CA">
            <w:pPr>
              <w:spacing w:line="276" w:lineRule="auto"/>
              <w:jc w:val="right"/>
              <w:rPr>
                <w:snapToGrid w:val="0"/>
              </w:rPr>
            </w:pPr>
          </w:p>
        </w:tc>
        <w:tc>
          <w:tcPr>
            <w:tcW w:w="1462" w:type="dxa"/>
          </w:tcPr>
          <w:p w14:paraId="60D53D86" w14:textId="77777777" w:rsidR="007F32E9" w:rsidRPr="00C03241" w:rsidRDefault="007F32E9" w:rsidP="002730CA">
            <w:pPr>
              <w:spacing w:line="276" w:lineRule="auto"/>
              <w:jc w:val="right"/>
              <w:rPr>
                <w:snapToGrid w:val="0"/>
              </w:rPr>
            </w:pPr>
          </w:p>
        </w:tc>
        <w:tc>
          <w:tcPr>
            <w:tcW w:w="2921" w:type="dxa"/>
          </w:tcPr>
          <w:p w14:paraId="6FA62AEC" w14:textId="77777777" w:rsidR="007F32E9" w:rsidRPr="00C03241" w:rsidRDefault="007F32E9" w:rsidP="002730CA">
            <w:pPr>
              <w:spacing w:line="276" w:lineRule="auto"/>
              <w:jc w:val="right"/>
              <w:rPr>
                <w:snapToGrid w:val="0"/>
              </w:rPr>
            </w:pPr>
          </w:p>
        </w:tc>
        <w:tc>
          <w:tcPr>
            <w:tcW w:w="478" w:type="dxa"/>
            <w:gridSpan w:val="2"/>
          </w:tcPr>
          <w:p w14:paraId="54C9997E" w14:textId="77777777" w:rsidR="007F32E9" w:rsidRPr="00C03241" w:rsidRDefault="007F32E9" w:rsidP="002730CA">
            <w:pPr>
              <w:spacing w:line="276" w:lineRule="auto"/>
              <w:jc w:val="right"/>
              <w:rPr>
                <w:snapToGrid w:val="0"/>
              </w:rPr>
            </w:pPr>
          </w:p>
        </w:tc>
        <w:tc>
          <w:tcPr>
            <w:tcW w:w="1208" w:type="dxa"/>
            <w:tcBorders>
              <w:top w:val="single" w:sz="4" w:space="0" w:color="auto"/>
              <w:bottom w:val="single" w:sz="4" w:space="0" w:color="auto"/>
            </w:tcBorders>
          </w:tcPr>
          <w:p w14:paraId="5512570E" w14:textId="77777777" w:rsidR="007F32E9" w:rsidRPr="00C03241" w:rsidRDefault="007F32E9" w:rsidP="002730CA">
            <w:pPr>
              <w:spacing w:line="276" w:lineRule="auto"/>
              <w:jc w:val="center"/>
              <w:rPr>
                <w:snapToGrid w:val="0"/>
              </w:rPr>
            </w:pPr>
            <w:r w:rsidRPr="00C03241">
              <w:rPr>
                <w:snapToGrid w:val="0"/>
              </w:rPr>
              <w:t>202</w:t>
            </w:r>
            <w:r>
              <w:rPr>
                <w:snapToGrid w:val="0"/>
              </w:rPr>
              <w:t>4</w:t>
            </w:r>
          </w:p>
        </w:tc>
        <w:tc>
          <w:tcPr>
            <w:tcW w:w="1208" w:type="dxa"/>
            <w:tcBorders>
              <w:top w:val="single" w:sz="4" w:space="0" w:color="auto"/>
              <w:bottom w:val="single" w:sz="4" w:space="0" w:color="auto"/>
            </w:tcBorders>
          </w:tcPr>
          <w:p w14:paraId="3BA29D96" w14:textId="77777777" w:rsidR="007F32E9" w:rsidRPr="00C03241" w:rsidRDefault="007F32E9" w:rsidP="002730CA">
            <w:pPr>
              <w:spacing w:line="276" w:lineRule="auto"/>
              <w:jc w:val="center"/>
              <w:rPr>
                <w:snapToGrid w:val="0"/>
              </w:rPr>
            </w:pPr>
            <w:r w:rsidRPr="00C03241">
              <w:rPr>
                <w:snapToGrid w:val="0"/>
              </w:rPr>
              <w:t>202</w:t>
            </w:r>
            <w:r>
              <w:rPr>
                <w:snapToGrid w:val="0"/>
              </w:rPr>
              <w:t>3</w:t>
            </w:r>
          </w:p>
        </w:tc>
        <w:tc>
          <w:tcPr>
            <w:tcW w:w="1208" w:type="dxa"/>
            <w:tcBorders>
              <w:bottom w:val="single" w:sz="4" w:space="0" w:color="auto"/>
            </w:tcBorders>
          </w:tcPr>
          <w:p w14:paraId="688453BD" w14:textId="77777777" w:rsidR="007F32E9" w:rsidRPr="00C03241" w:rsidRDefault="007F32E9" w:rsidP="002730CA">
            <w:pPr>
              <w:spacing w:line="276" w:lineRule="auto"/>
              <w:jc w:val="center"/>
              <w:rPr>
                <w:snapToGrid w:val="0"/>
              </w:rPr>
            </w:pPr>
            <w:r w:rsidRPr="00C03241">
              <w:rPr>
                <w:snapToGrid w:val="0"/>
              </w:rPr>
              <w:t>202</w:t>
            </w:r>
            <w:r>
              <w:rPr>
                <w:snapToGrid w:val="0"/>
              </w:rPr>
              <w:t>4</w:t>
            </w:r>
          </w:p>
        </w:tc>
        <w:tc>
          <w:tcPr>
            <w:tcW w:w="1208" w:type="dxa"/>
            <w:tcBorders>
              <w:bottom w:val="single" w:sz="4" w:space="0" w:color="auto"/>
            </w:tcBorders>
          </w:tcPr>
          <w:p w14:paraId="378D681B" w14:textId="77777777" w:rsidR="007F32E9" w:rsidRPr="00C03241" w:rsidRDefault="007F32E9" w:rsidP="002730CA">
            <w:pPr>
              <w:spacing w:line="276" w:lineRule="auto"/>
              <w:jc w:val="center"/>
              <w:rPr>
                <w:snapToGrid w:val="0"/>
              </w:rPr>
            </w:pPr>
            <w:r w:rsidRPr="00C03241">
              <w:rPr>
                <w:snapToGrid w:val="0"/>
              </w:rPr>
              <w:t>202</w:t>
            </w:r>
            <w:r>
              <w:rPr>
                <w:snapToGrid w:val="0"/>
              </w:rPr>
              <w:t>3</w:t>
            </w:r>
          </w:p>
        </w:tc>
      </w:tr>
      <w:tr w:rsidR="007F32E9" w:rsidRPr="00C03241" w14:paraId="4FAB2254" w14:textId="77777777" w:rsidTr="002730CA">
        <w:trPr>
          <w:trHeight w:val="276"/>
        </w:trPr>
        <w:tc>
          <w:tcPr>
            <w:tcW w:w="4620" w:type="dxa"/>
            <w:gridSpan w:val="3"/>
          </w:tcPr>
          <w:p w14:paraId="0C945C4F" w14:textId="77777777" w:rsidR="007F32E9" w:rsidRPr="00C03241" w:rsidRDefault="007F32E9" w:rsidP="002730CA">
            <w:pPr>
              <w:spacing w:line="276" w:lineRule="auto"/>
              <w:rPr>
                <w:snapToGrid w:val="0"/>
              </w:rPr>
            </w:pPr>
            <w:r>
              <w:rPr>
                <w:snapToGrid w:val="0"/>
              </w:rPr>
              <w:t>Revenue from government contract</w:t>
            </w:r>
          </w:p>
        </w:tc>
        <w:tc>
          <w:tcPr>
            <w:tcW w:w="478" w:type="dxa"/>
            <w:gridSpan w:val="2"/>
          </w:tcPr>
          <w:p w14:paraId="32A604DD" w14:textId="77777777" w:rsidR="007F32E9" w:rsidRPr="00C03241" w:rsidRDefault="007F32E9" w:rsidP="002730CA">
            <w:pPr>
              <w:spacing w:line="276" w:lineRule="auto"/>
              <w:jc w:val="right"/>
              <w:rPr>
                <w:snapToGrid w:val="0"/>
              </w:rPr>
            </w:pPr>
          </w:p>
        </w:tc>
        <w:tc>
          <w:tcPr>
            <w:tcW w:w="1208" w:type="dxa"/>
          </w:tcPr>
          <w:p w14:paraId="261554AC" w14:textId="77777777" w:rsidR="007F32E9" w:rsidRPr="00C03241" w:rsidRDefault="007F32E9" w:rsidP="002730CA">
            <w:pPr>
              <w:tabs>
                <w:tab w:val="left" w:pos="150"/>
                <w:tab w:val="decimal" w:pos="960"/>
              </w:tabs>
              <w:spacing w:line="276" w:lineRule="auto"/>
              <w:rPr>
                <w:snapToGrid w:val="0"/>
              </w:rPr>
            </w:pPr>
            <w:r w:rsidRPr="00C03241">
              <w:rPr>
                <w:snapToGrid w:val="0"/>
              </w:rPr>
              <w:tab/>
              <w:t>$</w:t>
            </w:r>
            <w:r w:rsidRPr="00C03241">
              <w:rPr>
                <w:snapToGrid w:val="0"/>
              </w:rPr>
              <w:tab/>
            </w:r>
            <w:r>
              <w:rPr>
                <w:snapToGrid w:val="0"/>
              </w:rPr>
              <w:t>301</w:t>
            </w:r>
          </w:p>
        </w:tc>
        <w:tc>
          <w:tcPr>
            <w:tcW w:w="1208" w:type="dxa"/>
          </w:tcPr>
          <w:p w14:paraId="1B5E21C7" w14:textId="77777777" w:rsidR="007F32E9" w:rsidRPr="00C03241" w:rsidRDefault="007F32E9" w:rsidP="002730CA">
            <w:pPr>
              <w:tabs>
                <w:tab w:val="left" w:pos="190"/>
                <w:tab w:val="decimal" w:pos="910"/>
              </w:tabs>
              <w:spacing w:line="276" w:lineRule="auto"/>
              <w:rPr>
                <w:snapToGrid w:val="0"/>
              </w:rPr>
            </w:pPr>
            <w:r w:rsidRPr="00C03241">
              <w:rPr>
                <w:snapToGrid w:val="0"/>
              </w:rPr>
              <w:tab/>
              <w:t>$</w:t>
            </w:r>
            <w:r w:rsidRPr="00C03241">
              <w:rPr>
                <w:snapToGrid w:val="0"/>
              </w:rPr>
              <w:tab/>
            </w:r>
            <w:r>
              <w:rPr>
                <w:snapToGrid w:val="0"/>
              </w:rPr>
              <w:t>-</w:t>
            </w:r>
          </w:p>
        </w:tc>
        <w:tc>
          <w:tcPr>
            <w:tcW w:w="1208" w:type="dxa"/>
          </w:tcPr>
          <w:p w14:paraId="05429A3A" w14:textId="77777777" w:rsidR="007F32E9" w:rsidRPr="00C03241" w:rsidRDefault="007F32E9" w:rsidP="002730CA">
            <w:pPr>
              <w:tabs>
                <w:tab w:val="left" w:pos="140"/>
                <w:tab w:val="decimal" w:pos="860"/>
              </w:tabs>
              <w:spacing w:line="276" w:lineRule="auto"/>
              <w:rPr>
                <w:snapToGrid w:val="0"/>
              </w:rPr>
            </w:pPr>
            <w:r w:rsidRPr="00C03241">
              <w:rPr>
                <w:snapToGrid w:val="0"/>
              </w:rPr>
              <w:tab/>
              <w:t>$</w:t>
            </w:r>
            <w:r w:rsidRPr="00C03241">
              <w:rPr>
                <w:snapToGrid w:val="0"/>
              </w:rPr>
              <w:tab/>
            </w:r>
            <w:r>
              <w:rPr>
                <w:snapToGrid w:val="0"/>
              </w:rPr>
              <w:t>301</w:t>
            </w:r>
          </w:p>
        </w:tc>
        <w:tc>
          <w:tcPr>
            <w:tcW w:w="1208" w:type="dxa"/>
          </w:tcPr>
          <w:p w14:paraId="672348C2" w14:textId="77777777" w:rsidR="007F32E9" w:rsidRPr="00C03241" w:rsidRDefault="007F32E9" w:rsidP="002730CA">
            <w:pPr>
              <w:tabs>
                <w:tab w:val="left" w:pos="97"/>
                <w:tab w:val="decimal" w:pos="907"/>
              </w:tabs>
              <w:spacing w:line="276" w:lineRule="auto"/>
              <w:rPr>
                <w:snapToGrid w:val="0"/>
              </w:rPr>
            </w:pPr>
            <w:r w:rsidRPr="00C03241">
              <w:rPr>
                <w:snapToGrid w:val="0"/>
              </w:rPr>
              <w:tab/>
              <w:t>$</w:t>
            </w:r>
            <w:r w:rsidRPr="00C03241">
              <w:rPr>
                <w:snapToGrid w:val="0"/>
              </w:rPr>
              <w:tab/>
            </w:r>
            <w:r>
              <w:rPr>
                <w:snapToGrid w:val="0"/>
              </w:rPr>
              <w:t>-</w:t>
            </w:r>
          </w:p>
        </w:tc>
      </w:tr>
      <w:tr w:rsidR="007F32E9" w:rsidRPr="00C03241" w14:paraId="4E87CF67" w14:textId="77777777" w:rsidTr="002730CA">
        <w:trPr>
          <w:trHeight w:val="276"/>
        </w:trPr>
        <w:tc>
          <w:tcPr>
            <w:tcW w:w="237" w:type="dxa"/>
          </w:tcPr>
          <w:p w14:paraId="7350C0E9" w14:textId="77777777" w:rsidR="007F32E9" w:rsidRPr="00C03241" w:rsidRDefault="007F32E9" w:rsidP="002730CA">
            <w:pPr>
              <w:spacing w:line="276" w:lineRule="auto"/>
              <w:jc w:val="right"/>
              <w:rPr>
                <w:snapToGrid w:val="0"/>
              </w:rPr>
            </w:pPr>
          </w:p>
        </w:tc>
        <w:tc>
          <w:tcPr>
            <w:tcW w:w="1462" w:type="dxa"/>
          </w:tcPr>
          <w:p w14:paraId="7C05A706" w14:textId="77777777" w:rsidR="007F32E9" w:rsidRPr="00C03241" w:rsidRDefault="007F32E9" w:rsidP="002730CA">
            <w:pPr>
              <w:spacing w:line="276" w:lineRule="auto"/>
              <w:jc w:val="right"/>
              <w:rPr>
                <w:snapToGrid w:val="0"/>
              </w:rPr>
            </w:pPr>
          </w:p>
        </w:tc>
        <w:tc>
          <w:tcPr>
            <w:tcW w:w="2921" w:type="dxa"/>
          </w:tcPr>
          <w:p w14:paraId="7FE57F19" w14:textId="77777777" w:rsidR="007F32E9" w:rsidRPr="00C03241" w:rsidRDefault="007F32E9" w:rsidP="002730CA">
            <w:pPr>
              <w:spacing w:line="276" w:lineRule="auto"/>
              <w:jc w:val="right"/>
              <w:rPr>
                <w:snapToGrid w:val="0"/>
              </w:rPr>
            </w:pPr>
          </w:p>
        </w:tc>
        <w:tc>
          <w:tcPr>
            <w:tcW w:w="478" w:type="dxa"/>
            <w:gridSpan w:val="2"/>
          </w:tcPr>
          <w:p w14:paraId="2249CDE8" w14:textId="77777777" w:rsidR="007F32E9" w:rsidRPr="00C03241" w:rsidRDefault="007F32E9" w:rsidP="002730CA">
            <w:pPr>
              <w:spacing w:line="276" w:lineRule="auto"/>
              <w:jc w:val="right"/>
              <w:rPr>
                <w:snapToGrid w:val="0"/>
              </w:rPr>
            </w:pPr>
          </w:p>
        </w:tc>
        <w:tc>
          <w:tcPr>
            <w:tcW w:w="1208" w:type="dxa"/>
          </w:tcPr>
          <w:p w14:paraId="046CFF72" w14:textId="77777777" w:rsidR="007F32E9" w:rsidRPr="00C03241" w:rsidRDefault="007F32E9" w:rsidP="002730CA">
            <w:pPr>
              <w:tabs>
                <w:tab w:val="decimal" w:pos="960"/>
              </w:tabs>
              <w:spacing w:line="276" w:lineRule="auto"/>
              <w:rPr>
                <w:snapToGrid w:val="0"/>
              </w:rPr>
            </w:pPr>
          </w:p>
        </w:tc>
        <w:tc>
          <w:tcPr>
            <w:tcW w:w="1208" w:type="dxa"/>
          </w:tcPr>
          <w:p w14:paraId="64907ACC" w14:textId="77777777" w:rsidR="007F32E9" w:rsidRPr="00C03241" w:rsidRDefault="007F32E9" w:rsidP="002730CA">
            <w:pPr>
              <w:tabs>
                <w:tab w:val="decimal" w:pos="910"/>
              </w:tabs>
              <w:spacing w:line="276" w:lineRule="auto"/>
              <w:rPr>
                <w:snapToGrid w:val="0"/>
              </w:rPr>
            </w:pPr>
          </w:p>
        </w:tc>
        <w:tc>
          <w:tcPr>
            <w:tcW w:w="1208" w:type="dxa"/>
          </w:tcPr>
          <w:p w14:paraId="15C3E1C4" w14:textId="77777777" w:rsidR="007F32E9" w:rsidRPr="00C03241" w:rsidRDefault="007F32E9" w:rsidP="002730CA">
            <w:pPr>
              <w:tabs>
                <w:tab w:val="decimal" w:pos="860"/>
              </w:tabs>
              <w:spacing w:line="276" w:lineRule="auto"/>
              <w:jc w:val="center"/>
              <w:rPr>
                <w:snapToGrid w:val="0"/>
              </w:rPr>
            </w:pPr>
          </w:p>
        </w:tc>
        <w:tc>
          <w:tcPr>
            <w:tcW w:w="1208" w:type="dxa"/>
          </w:tcPr>
          <w:p w14:paraId="16B8E722" w14:textId="77777777" w:rsidR="007F32E9" w:rsidRPr="00C03241" w:rsidRDefault="007F32E9" w:rsidP="002730CA">
            <w:pPr>
              <w:tabs>
                <w:tab w:val="decimal" w:pos="907"/>
              </w:tabs>
              <w:spacing w:line="276" w:lineRule="auto"/>
              <w:jc w:val="center"/>
              <w:rPr>
                <w:snapToGrid w:val="0"/>
              </w:rPr>
            </w:pPr>
          </w:p>
        </w:tc>
      </w:tr>
      <w:tr w:rsidR="007F32E9" w:rsidRPr="00C03241" w14:paraId="3698E751" w14:textId="77777777" w:rsidTr="002730CA">
        <w:trPr>
          <w:trHeight w:val="276"/>
        </w:trPr>
        <w:tc>
          <w:tcPr>
            <w:tcW w:w="4620" w:type="dxa"/>
            <w:gridSpan w:val="3"/>
          </w:tcPr>
          <w:p w14:paraId="4B2C8A45" w14:textId="77777777" w:rsidR="007F32E9" w:rsidRPr="00C03241" w:rsidRDefault="007F32E9" w:rsidP="002730CA">
            <w:pPr>
              <w:spacing w:line="276" w:lineRule="auto"/>
              <w:rPr>
                <w:snapToGrid w:val="0"/>
              </w:rPr>
            </w:pPr>
            <w:r w:rsidRPr="00C03241">
              <w:rPr>
                <w:snapToGrid w:val="0"/>
              </w:rPr>
              <w:t>Operating expenses:</w:t>
            </w:r>
          </w:p>
        </w:tc>
        <w:tc>
          <w:tcPr>
            <w:tcW w:w="478" w:type="dxa"/>
            <w:gridSpan w:val="2"/>
          </w:tcPr>
          <w:p w14:paraId="06C14978" w14:textId="77777777" w:rsidR="007F32E9" w:rsidRPr="00C03241" w:rsidRDefault="007F32E9" w:rsidP="002730CA">
            <w:pPr>
              <w:spacing w:line="276" w:lineRule="auto"/>
              <w:jc w:val="right"/>
              <w:rPr>
                <w:snapToGrid w:val="0"/>
              </w:rPr>
            </w:pPr>
          </w:p>
        </w:tc>
        <w:tc>
          <w:tcPr>
            <w:tcW w:w="1208" w:type="dxa"/>
          </w:tcPr>
          <w:p w14:paraId="402C3040" w14:textId="77777777" w:rsidR="007F32E9" w:rsidRPr="00C03241" w:rsidRDefault="007F32E9" w:rsidP="002730CA">
            <w:pPr>
              <w:tabs>
                <w:tab w:val="decimal" w:pos="960"/>
              </w:tabs>
              <w:spacing w:line="276" w:lineRule="auto"/>
              <w:rPr>
                <w:snapToGrid w:val="0"/>
              </w:rPr>
            </w:pPr>
          </w:p>
        </w:tc>
        <w:tc>
          <w:tcPr>
            <w:tcW w:w="1208" w:type="dxa"/>
          </w:tcPr>
          <w:p w14:paraId="7A43CECE" w14:textId="77777777" w:rsidR="007F32E9" w:rsidRPr="00C03241" w:rsidRDefault="007F32E9" w:rsidP="002730CA">
            <w:pPr>
              <w:tabs>
                <w:tab w:val="decimal" w:pos="910"/>
              </w:tabs>
              <w:spacing w:line="276" w:lineRule="auto"/>
              <w:rPr>
                <w:snapToGrid w:val="0"/>
              </w:rPr>
            </w:pPr>
          </w:p>
        </w:tc>
        <w:tc>
          <w:tcPr>
            <w:tcW w:w="1208" w:type="dxa"/>
          </w:tcPr>
          <w:p w14:paraId="1661A096" w14:textId="77777777" w:rsidR="007F32E9" w:rsidRPr="00C03241" w:rsidRDefault="007F32E9" w:rsidP="002730CA">
            <w:pPr>
              <w:tabs>
                <w:tab w:val="decimal" w:pos="860"/>
              </w:tabs>
              <w:spacing w:line="276" w:lineRule="auto"/>
              <w:jc w:val="center"/>
              <w:rPr>
                <w:snapToGrid w:val="0"/>
              </w:rPr>
            </w:pPr>
          </w:p>
        </w:tc>
        <w:tc>
          <w:tcPr>
            <w:tcW w:w="1208" w:type="dxa"/>
          </w:tcPr>
          <w:p w14:paraId="3A5A55C3" w14:textId="77777777" w:rsidR="007F32E9" w:rsidRPr="00C03241" w:rsidRDefault="007F32E9" w:rsidP="002730CA">
            <w:pPr>
              <w:tabs>
                <w:tab w:val="decimal" w:pos="907"/>
              </w:tabs>
              <w:spacing w:line="276" w:lineRule="auto"/>
              <w:jc w:val="center"/>
              <w:rPr>
                <w:snapToGrid w:val="0"/>
              </w:rPr>
            </w:pPr>
          </w:p>
        </w:tc>
      </w:tr>
      <w:tr w:rsidR="007F32E9" w:rsidRPr="00C03241" w14:paraId="6774B836" w14:textId="77777777" w:rsidTr="002730CA">
        <w:trPr>
          <w:trHeight w:val="276"/>
        </w:trPr>
        <w:tc>
          <w:tcPr>
            <w:tcW w:w="237" w:type="dxa"/>
          </w:tcPr>
          <w:p w14:paraId="22EEE139" w14:textId="77777777" w:rsidR="007F32E9" w:rsidRPr="00C03241" w:rsidRDefault="007F32E9" w:rsidP="002730CA">
            <w:pPr>
              <w:spacing w:line="276" w:lineRule="auto"/>
              <w:jc w:val="right"/>
              <w:rPr>
                <w:snapToGrid w:val="0"/>
              </w:rPr>
            </w:pPr>
          </w:p>
        </w:tc>
        <w:tc>
          <w:tcPr>
            <w:tcW w:w="4383" w:type="dxa"/>
            <w:gridSpan w:val="2"/>
          </w:tcPr>
          <w:p w14:paraId="41431688" w14:textId="77777777" w:rsidR="007F32E9" w:rsidRPr="00C03241" w:rsidRDefault="007F32E9" w:rsidP="002730CA">
            <w:pPr>
              <w:spacing w:line="276" w:lineRule="auto"/>
              <w:rPr>
                <w:snapToGrid w:val="0"/>
              </w:rPr>
            </w:pPr>
            <w:r w:rsidRPr="00C03241">
              <w:rPr>
                <w:snapToGrid w:val="0"/>
              </w:rPr>
              <w:t>Research and development</w:t>
            </w:r>
          </w:p>
        </w:tc>
        <w:tc>
          <w:tcPr>
            <w:tcW w:w="478" w:type="dxa"/>
            <w:gridSpan w:val="2"/>
          </w:tcPr>
          <w:p w14:paraId="45C43C8B" w14:textId="77777777" w:rsidR="007F32E9" w:rsidRPr="00C03241" w:rsidRDefault="007F32E9" w:rsidP="002730CA">
            <w:pPr>
              <w:spacing w:line="276" w:lineRule="auto"/>
              <w:jc w:val="right"/>
              <w:rPr>
                <w:snapToGrid w:val="0"/>
              </w:rPr>
            </w:pPr>
          </w:p>
        </w:tc>
        <w:tc>
          <w:tcPr>
            <w:tcW w:w="1208" w:type="dxa"/>
          </w:tcPr>
          <w:p w14:paraId="145371DF" w14:textId="77777777" w:rsidR="007F32E9" w:rsidRPr="00C03241" w:rsidRDefault="007F32E9" w:rsidP="002730CA">
            <w:pPr>
              <w:tabs>
                <w:tab w:val="decimal" w:pos="960"/>
              </w:tabs>
              <w:spacing w:line="276" w:lineRule="auto"/>
              <w:rPr>
                <w:snapToGrid w:val="0"/>
              </w:rPr>
            </w:pPr>
            <w:r>
              <w:rPr>
                <w:snapToGrid w:val="0"/>
              </w:rPr>
              <w:t>4,277</w:t>
            </w:r>
          </w:p>
        </w:tc>
        <w:tc>
          <w:tcPr>
            <w:tcW w:w="1208" w:type="dxa"/>
          </w:tcPr>
          <w:p w14:paraId="60443587" w14:textId="77777777" w:rsidR="007F32E9" w:rsidRPr="00C03241" w:rsidRDefault="007F32E9" w:rsidP="002730CA">
            <w:pPr>
              <w:tabs>
                <w:tab w:val="decimal" w:pos="910"/>
              </w:tabs>
              <w:spacing w:line="276" w:lineRule="auto"/>
              <w:rPr>
                <w:snapToGrid w:val="0"/>
              </w:rPr>
            </w:pPr>
            <w:r>
              <w:rPr>
                <w:snapToGrid w:val="0"/>
              </w:rPr>
              <w:t>4,720</w:t>
            </w:r>
          </w:p>
        </w:tc>
        <w:tc>
          <w:tcPr>
            <w:tcW w:w="1208" w:type="dxa"/>
          </w:tcPr>
          <w:p w14:paraId="33C65AC1" w14:textId="77777777" w:rsidR="007F32E9" w:rsidRPr="00C03241" w:rsidRDefault="007F32E9" w:rsidP="002730CA">
            <w:pPr>
              <w:tabs>
                <w:tab w:val="decimal" w:pos="860"/>
              </w:tabs>
              <w:spacing w:line="276" w:lineRule="auto"/>
              <w:rPr>
                <w:snapToGrid w:val="0"/>
              </w:rPr>
            </w:pPr>
            <w:r>
              <w:rPr>
                <w:snapToGrid w:val="0"/>
              </w:rPr>
              <w:t>8,703</w:t>
            </w:r>
          </w:p>
        </w:tc>
        <w:tc>
          <w:tcPr>
            <w:tcW w:w="1208" w:type="dxa"/>
          </w:tcPr>
          <w:p w14:paraId="5B94685E" w14:textId="77777777" w:rsidR="007F32E9" w:rsidRPr="00C03241" w:rsidRDefault="007F32E9" w:rsidP="002730CA">
            <w:pPr>
              <w:tabs>
                <w:tab w:val="decimal" w:pos="907"/>
              </w:tabs>
              <w:spacing w:line="276" w:lineRule="auto"/>
              <w:rPr>
                <w:snapToGrid w:val="0"/>
              </w:rPr>
            </w:pPr>
            <w:r>
              <w:rPr>
                <w:snapToGrid w:val="0"/>
              </w:rPr>
              <w:t>7,539</w:t>
            </w:r>
          </w:p>
        </w:tc>
      </w:tr>
      <w:tr w:rsidR="007F32E9" w:rsidRPr="00C03241" w14:paraId="5CBBA3EE" w14:textId="77777777" w:rsidTr="002730CA">
        <w:trPr>
          <w:trHeight w:val="276"/>
        </w:trPr>
        <w:tc>
          <w:tcPr>
            <w:tcW w:w="237" w:type="dxa"/>
          </w:tcPr>
          <w:p w14:paraId="03CBD633" w14:textId="77777777" w:rsidR="007F32E9" w:rsidRPr="00C03241" w:rsidRDefault="007F32E9" w:rsidP="002730CA">
            <w:pPr>
              <w:spacing w:line="276" w:lineRule="auto"/>
              <w:jc w:val="right"/>
              <w:rPr>
                <w:snapToGrid w:val="0"/>
              </w:rPr>
            </w:pPr>
          </w:p>
        </w:tc>
        <w:tc>
          <w:tcPr>
            <w:tcW w:w="4383" w:type="dxa"/>
            <w:gridSpan w:val="2"/>
          </w:tcPr>
          <w:p w14:paraId="3DE50931" w14:textId="77777777" w:rsidR="007F32E9" w:rsidRPr="00C03241" w:rsidRDefault="007F32E9" w:rsidP="002730CA">
            <w:pPr>
              <w:spacing w:line="276" w:lineRule="auto"/>
              <w:rPr>
                <w:snapToGrid w:val="0"/>
              </w:rPr>
            </w:pPr>
            <w:r w:rsidRPr="00C03241">
              <w:rPr>
                <w:snapToGrid w:val="0"/>
              </w:rPr>
              <w:t>General and administrative</w:t>
            </w:r>
          </w:p>
        </w:tc>
        <w:tc>
          <w:tcPr>
            <w:tcW w:w="478" w:type="dxa"/>
            <w:gridSpan w:val="2"/>
          </w:tcPr>
          <w:p w14:paraId="169E6C27" w14:textId="77777777" w:rsidR="007F32E9" w:rsidRPr="00C03241" w:rsidRDefault="007F32E9" w:rsidP="002730CA">
            <w:pPr>
              <w:spacing w:line="276" w:lineRule="auto"/>
              <w:jc w:val="right"/>
              <w:rPr>
                <w:snapToGrid w:val="0"/>
              </w:rPr>
            </w:pPr>
          </w:p>
        </w:tc>
        <w:tc>
          <w:tcPr>
            <w:tcW w:w="1208" w:type="dxa"/>
            <w:tcBorders>
              <w:bottom w:val="single" w:sz="4" w:space="0" w:color="auto"/>
            </w:tcBorders>
          </w:tcPr>
          <w:p w14:paraId="56A7D55B" w14:textId="77777777" w:rsidR="007F32E9" w:rsidRPr="00C03241" w:rsidRDefault="007F32E9" w:rsidP="002730CA">
            <w:pPr>
              <w:tabs>
                <w:tab w:val="decimal" w:pos="960"/>
              </w:tabs>
              <w:spacing w:line="276" w:lineRule="auto"/>
              <w:rPr>
                <w:snapToGrid w:val="0"/>
              </w:rPr>
            </w:pPr>
            <w:r>
              <w:rPr>
                <w:snapToGrid w:val="0"/>
              </w:rPr>
              <w:t>1,086</w:t>
            </w:r>
          </w:p>
        </w:tc>
        <w:tc>
          <w:tcPr>
            <w:tcW w:w="1208" w:type="dxa"/>
            <w:tcBorders>
              <w:bottom w:val="single" w:sz="4" w:space="0" w:color="auto"/>
            </w:tcBorders>
          </w:tcPr>
          <w:p w14:paraId="7FB0DEF1" w14:textId="77777777" w:rsidR="007F32E9" w:rsidRPr="00C03241" w:rsidRDefault="007F32E9" w:rsidP="002730CA">
            <w:pPr>
              <w:tabs>
                <w:tab w:val="decimal" w:pos="910"/>
              </w:tabs>
              <w:spacing w:line="276" w:lineRule="auto"/>
              <w:rPr>
                <w:snapToGrid w:val="0"/>
              </w:rPr>
            </w:pPr>
            <w:r>
              <w:rPr>
                <w:snapToGrid w:val="0"/>
              </w:rPr>
              <w:t>1,459</w:t>
            </w:r>
          </w:p>
        </w:tc>
        <w:tc>
          <w:tcPr>
            <w:tcW w:w="1208" w:type="dxa"/>
          </w:tcPr>
          <w:p w14:paraId="3F65D06B" w14:textId="77777777" w:rsidR="007F32E9" w:rsidRPr="00C03241" w:rsidRDefault="007F32E9" w:rsidP="002730CA">
            <w:pPr>
              <w:tabs>
                <w:tab w:val="decimal" w:pos="860"/>
              </w:tabs>
              <w:spacing w:line="276" w:lineRule="auto"/>
              <w:rPr>
                <w:snapToGrid w:val="0"/>
              </w:rPr>
            </w:pPr>
            <w:r>
              <w:rPr>
                <w:snapToGrid w:val="0"/>
              </w:rPr>
              <w:t>2,543</w:t>
            </w:r>
          </w:p>
        </w:tc>
        <w:tc>
          <w:tcPr>
            <w:tcW w:w="1208" w:type="dxa"/>
          </w:tcPr>
          <w:p w14:paraId="3FF95EEE" w14:textId="77777777" w:rsidR="007F32E9" w:rsidRPr="00C03241" w:rsidRDefault="007F32E9" w:rsidP="002730CA">
            <w:pPr>
              <w:tabs>
                <w:tab w:val="decimal" w:pos="907"/>
              </w:tabs>
              <w:spacing w:line="276" w:lineRule="auto"/>
              <w:rPr>
                <w:snapToGrid w:val="0"/>
              </w:rPr>
            </w:pPr>
            <w:r>
              <w:rPr>
                <w:snapToGrid w:val="0"/>
              </w:rPr>
              <w:t>2,910</w:t>
            </w:r>
          </w:p>
        </w:tc>
      </w:tr>
      <w:tr w:rsidR="007F32E9" w:rsidRPr="00C03241" w14:paraId="2AF25004" w14:textId="77777777" w:rsidTr="002730CA">
        <w:trPr>
          <w:trHeight w:val="276"/>
        </w:trPr>
        <w:tc>
          <w:tcPr>
            <w:tcW w:w="237" w:type="dxa"/>
          </w:tcPr>
          <w:p w14:paraId="258CC8A4" w14:textId="77777777" w:rsidR="007F32E9" w:rsidRPr="00C03241" w:rsidRDefault="007F32E9" w:rsidP="002730CA">
            <w:pPr>
              <w:spacing w:line="276" w:lineRule="auto"/>
              <w:jc w:val="right"/>
              <w:rPr>
                <w:snapToGrid w:val="0"/>
              </w:rPr>
            </w:pPr>
          </w:p>
        </w:tc>
        <w:tc>
          <w:tcPr>
            <w:tcW w:w="1462" w:type="dxa"/>
          </w:tcPr>
          <w:p w14:paraId="24F9F3A0" w14:textId="77777777" w:rsidR="007F32E9" w:rsidRPr="00C03241" w:rsidRDefault="007F32E9" w:rsidP="002730CA">
            <w:pPr>
              <w:spacing w:line="276" w:lineRule="auto"/>
              <w:jc w:val="right"/>
              <w:rPr>
                <w:snapToGrid w:val="0"/>
              </w:rPr>
            </w:pPr>
          </w:p>
        </w:tc>
        <w:tc>
          <w:tcPr>
            <w:tcW w:w="2921" w:type="dxa"/>
          </w:tcPr>
          <w:p w14:paraId="240415DF" w14:textId="77777777" w:rsidR="007F32E9" w:rsidRPr="00C03241" w:rsidRDefault="007F32E9" w:rsidP="002730CA">
            <w:pPr>
              <w:spacing w:line="276" w:lineRule="auto"/>
              <w:jc w:val="right"/>
              <w:rPr>
                <w:snapToGrid w:val="0"/>
              </w:rPr>
            </w:pPr>
          </w:p>
        </w:tc>
        <w:tc>
          <w:tcPr>
            <w:tcW w:w="478" w:type="dxa"/>
            <w:gridSpan w:val="2"/>
          </w:tcPr>
          <w:p w14:paraId="4BC7D032" w14:textId="77777777" w:rsidR="007F32E9" w:rsidRPr="00C03241" w:rsidRDefault="007F32E9" w:rsidP="002730CA">
            <w:pPr>
              <w:spacing w:line="276" w:lineRule="auto"/>
              <w:jc w:val="right"/>
              <w:rPr>
                <w:snapToGrid w:val="0"/>
              </w:rPr>
            </w:pPr>
          </w:p>
        </w:tc>
        <w:tc>
          <w:tcPr>
            <w:tcW w:w="1208" w:type="dxa"/>
            <w:tcBorders>
              <w:top w:val="single" w:sz="4" w:space="0" w:color="auto"/>
              <w:bottom w:val="single" w:sz="4" w:space="0" w:color="auto"/>
            </w:tcBorders>
          </w:tcPr>
          <w:p w14:paraId="4B8AF33E" w14:textId="77777777" w:rsidR="007F32E9" w:rsidRPr="00C03241" w:rsidRDefault="007F32E9" w:rsidP="002730CA">
            <w:pPr>
              <w:tabs>
                <w:tab w:val="decimal" w:pos="960"/>
              </w:tabs>
              <w:spacing w:line="276" w:lineRule="auto"/>
              <w:rPr>
                <w:snapToGrid w:val="0"/>
              </w:rPr>
            </w:pPr>
            <w:r>
              <w:rPr>
                <w:snapToGrid w:val="0"/>
              </w:rPr>
              <w:t>5,363</w:t>
            </w:r>
          </w:p>
        </w:tc>
        <w:tc>
          <w:tcPr>
            <w:tcW w:w="1208" w:type="dxa"/>
            <w:tcBorders>
              <w:top w:val="single" w:sz="4" w:space="0" w:color="auto"/>
              <w:bottom w:val="single" w:sz="4" w:space="0" w:color="auto"/>
            </w:tcBorders>
          </w:tcPr>
          <w:p w14:paraId="2CA26CA3" w14:textId="77777777" w:rsidR="007F32E9" w:rsidRPr="00C03241" w:rsidRDefault="007F32E9" w:rsidP="002730CA">
            <w:pPr>
              <w:tabs>
                <w:tab w:val="decimal" w:pos="910"/>
              </w:tabs>
              <w:spacing w:line="276" w:lineRule="auto"/>
              <w:rPr>
                <w:snapToGrid w:val="0"/>
              </w:rPr>
            </w:pPr>
            <w:r>
              <w:rPr>
                <w:snapToGrid w:val="0"/>
              </w:rPr>
              <w:t>6,179</w:t>
            </w:r>
          </w:p>
        </w:tc>
        <w:tc>
          <w:tcPr>
            <w:tcW w:w="1208" w:type="dxa"/>
            <w:tcBorders>
              <w:top w:val="single" w:sz="6" w:space="0" w:color="auto"/>
            </w:tcBorders>
          </w:tcPr>
          <w:p w14:paraId="6E2E7E42" w14:textId="77777777" w:rsidR="007F32E9" w:rsidRPr="00C03241" w:rsidRDefault="007F32E9" w:rsidP="002730CA">
            <w:pPr>
              <w:tabs>
                <w:tab w:val="decimal" w:pos="860"/>
              </w:tabs>
              <w:spacing w:line="276" w:lineRule="auto"/>
              <w:rPr>
                <w:snapToGrid w:val="0"/>
              </w:rPr>
            </w:pPr>
            <w:r>
              <w:rPr>
                <w:snapToGrid w:val="0"/>
              </w:rPr>
              <w:t>11,246</w:t>
            </w:r>
          </w:p>
        </w:tc>
        <w:tc>
          <w:tcPr>
            <w:tcW w:w="1208" w:type="dxa"/>
            <w:tcBorders>
              <w:top w:val="single" w:sz="6" w:space="0" w:color="auto"/>
            </w:tcBorders>
          </w:tcPr>
          <w:p w14:paraId="08AE8A0A" w14:textId="77777777" w:rsidR="007F32E9" w:rsidRPr="00C03241" w:rsidRDefault="007F32E9" w:rsidP="002730CA">
            <w:pPr>
              <w:tabs>
                <w:tab w:val="decimal" w:pos="907"/>
              </w:tabs>
              <w:spacing w:line="276" w:lineRule="auto"/>
              <w:rPr>
                <w:snapToGrid w:val="0"/>
              </w:rPr>
            </w:pPr>
            <w:r>
              <w:rPr>
                <w:snapToGrid w:val="0"/>
              </w:rPr>
              <w:t>10,449</w:t>
            </w:r>
          </w:p>
        </w:tc>
      </w:tr>
      <w:tr w:rsidR="007F32E9" w:rsidRPr="00C03241" w14:paraId="41EADDEF" w14:textId="77777777" w:rsidTr="002730CA">
        <w:trPr>
          <w:trHeight w:val="276"/>
        </w:trPr>
        <w:tc>
          <w:tcPr>
            <w:tcW w:w="4620" w:type="dxa"/>
            <w:gridSpan w:val="3"/>
          </w:tcPr>
          <w:p w14:paraId="2CF46DA4" w14:textId="77777777" w:rsidR="007F32E9" w:rsidRPr="00C03241" w:rsidRDefault="007F32E9" w:rsidP="002730CA">
            <w:pPr>
              <w:spacing w:line="276" w:lineRule="auto"/>
              <w:rPr>
                <w:snapToGrid w:val="0"/>
              </w:rPr>
            </w:pPr>
            <w:r w:rsidRPr="00C03241">
              <w:rPr>
                <w:snapToGrid w:val="0"/>
              </w:rPr>
              <w:t>Loss from operations</w:t>
            </w:r>
          </w:p>
        </w:tc>
        <w:tc>
          <w:tcPr>
            <w:tcW w:w="478" w:type="dxa"/>
            <w:gridSpan w:val="2"/>
          </w:tcPr>
          <w:p w14:paraId="381EEB4B" w14:textId="77777777" w:rsidR="007F32E9" w:rsidRPr="00C03241" w:rsidRDefault="007F32E9" w:rsidP="002730CA">
            <w:pPr>
              <w:spacing w:line="276" w:lineRule="auto"/>
              <w:jc w:val="right"/>
              <w:rPr>
                <w:snapToGrid w:val="0"/>
              </w:rPr>
            </w:pPr>
          </w:p>
        </w:tc>
        <w:tc>
          <w:tcPr>
            <w:tcW w:w="1208" w:type="dxa"/>
            <w:tcBorders>
              <w:top w:val="single" w:sz="4" w:space="0" w:color="auto"/>
            </w:tcBorders>
          </w:tcPr>
          <w:p w14:paraId="1535775D" w14:textId="77777777" w:rsidR="007F32E9" w:rsidRPr="00C03241" w:rsidRDefault="007F32E9" w:rsidP="002730CA">
            <w:pPr>
              <w:tabs>
                <w:tab w:val="decimal" w:pos="960"/>
              </w:tabs>
              <w:spacing w:line="276" w:lineRule="auto"/>
              <w:rPr>
                <w:snapToGrid w:val="0"/>
              </w:rPr>
            </w:pPr>
            <w:r w:rsidRPr="00C03241">
              <w:rPr>
                <w:snapToGrid w:val="0"/>
              </w:rPr>
              <w:t>(</w:t>
            </w:r>
            <w:r>
              <w:rPr>
                <w:snapToGrid w:val="0"/>
              </w:rPr>
              <w:t>5,062</w:t>
            </w:r>
            <w:r w:rsidRPr="00C03241">
              <w:rPr>
                <w:snapToGrid w:val="0"/>
              </w:rPr>
              <w:t>)</w:t>
            </w:r>
          </w:p>
        </w:tc>
        <w:tc>
          <w:tcPr>
            <w:tcW w:w="1208" w:type="dxa"/>
            <w:tcBorders>
              <w:top w:val="single" w:sz="4" w:space="0" w:color="auto"/>
            </w:tcBorders>
          </w:tcPr>
          <w:p w14:paraId="3F30D977" w14:textId="77777777" w:rsidR="007F32E9" w:rsidRPr="00C03241" w:rsidRDefault="007F32E9" w:rsidP="002730CA">
            <w:pPr>
              <w:tabs>
                <w:tab w:val="decimal" w:pos="910"/>
              </w:tabs>
              <w:spacing w:line="276" w:lineRule="auto"/>
              <w:rPr>
                <w:snapToGrid w:val="0"/>
              </w:rPr>
            </w:pPr>
            <w:r w:rsidRPr="00C03241">
              <w:rPr>
                <w:snapToGrid w:val="0"/>
              </w:rPr>
              <w:t>(</w:t>
            </w:r>
            <w:r>
              <w:rPr>
                <w:snapToGrid w:val="0"/>
              </w:rPr>
              <w:t>6,179</w:t>
            </w:r>
            <w:r w:rsidRPr="00C03241">
              <w:rPr>
                <w:snapToGrid w:val="0"/>
              </w:rPr>
              <w:t>)</w:t>
            </w:r>
          </w:p>
        </w:tc>
        <w:tc>
          <w:tcPr>
            <w:tcW w:w="1208" w:type="dxa"/>
            <w:tcBorders>
              <w:top w:val="single" w:sz="6" w:space="0" w:color="auto"/>
            </w:tcBorders>
          </w:tcPr>
          <w:p w14:paraId="50138A4A" w14:textId="77777777" w:rsidR="007F32E9" w:rsidRPr="00C03241" w:rsidRDefault="007F32E9" w:rsidP="002730CA">
            <w:pPr>
              <w:tabs>
                <w:tab w:val="decimal" w:pos="860"/>
              </w:tabs>
              <w:spacing w:line="276" w:lineRule="auto"/>
              <w:rPr>
                <w:snapToGrid w:val="0"/>
              </w:rPr>
            </w:pPr>
            <w:r w:rsidRPr="00C03241">
              <w:rPr>
                <w:snapToGrid w:val="0"/>
              </w:rPr>
              <w:t>(</w:t>
            </w:r>
            <w:r>
              <w:rPr>
                <w:snapToGrid w:val="0"/>
              </w:rPr>
              <w:t>10,945</w:t>
            </w:r>
            <w:r w:rsidRPr="00C03241">
              <w:rPr>
                <w:snapToGrid w:val="0"/>
              </w:rPr>
              <w:t>)</w:t>
            </w:r>
          </w:p>
        </w:tc>
        <w:tc>
          <w:tcPr>
            <w:tcW w:w="1208" w:type="dxa"/>
            <w:tcBorders>
              <w:top w:val="single" w:sz="6" w:space="0" w:color="auto"/>
            </w:tcBorders>
          </w:tcPr>
          <w:p w14:paraId="18AD0D7B" w14:textId="77777777" w:rsidR="007F32E9" w:rsidRPr="00C03241" w:rsidRDefault="007F32E9" w:rsidP="002730CA">
            <w:pPr>
              <w:tabs>
                <w:tab w:val="decimal" w:pos="907"/>
              </w:tabs>
              <w:spacing w:line="276" w:lineRule="auto"/>
              <w:rPr>
                <w:snapToGrid w:val="0"/>
              </w:rPr>
            </w:pPr>
            <w:r w:rsidRPr="00C03241">
              <w:rPr>
                <w:snapToGrid w:val="0"/>
              </w:rPr>
              <w:t>(</w:t>
            </w:r>
            <w:r>
              <w:rPr>
                <w:snapToGrid w:val="0"/>
              </w:rPr>
              <w:t>10,449</w:t>
            </w:r>
            <w:r w:rsidRPr="00C03241">
              <w:rPr>
                <w:snapToGrid w:val="0"/>
              </w:rPr>
              <w:t>)</w:t>
            </w:r>
          </w:p>
        </w:tc>
      </w:tr>
      <w:tr w:rsidR="007F32E9" w:rsidRPr="00C03241" w14:paraId="3A99CCED" w14:textId="77777777" w:rsidTr="002730CA">
        <w:trPr>
          <w:trHeight w:val="276"/>
        </w:trPr>
        <w:tc>
          <w:tcPr>
            <w:tcW w:w="4650" w:type="dxa"/>
            <w:gridSpan w:val="4"/>
          </w:tcPr>
          <w:p w14:paraId="6A50E0C7" w14:textId="77777777" w:rsidR="007F32E9" w:rsidRPr="00C03241" w:rsidRDefault="007F32E9" w:rsidP="002730CA">
            <w:pPr>
              <w:spacing w:line="276" w:lineRule="auto"/>
              <w:rPr>
                <w:snapToGrid w:val="0"/>
              </w:rPr>
            </w:pPr>
            <w:r>
              <w:rPr>
                <w:snapToGrid w:val="0"/>
              </w:rPr>
              <w:t>Other income (expense)</w:t>
            </w:r>
          </w:p>
        </w:tc>
        <w:tc>
          <w:tcPr>
            <w:tcW w:w="448" w:type="dxa"/>
          </w:tcPr>
          <w:p w14:paraId="3BCC3305" w14:textId="77777777" w:rsidR="007F32E9" w:rsidRPr="00C03241" w:rsidRDefault="007F32E9" w:rsidP="002730CA">
            <w:pPr>
              <w:spacing w:line="276" w:lineRule="auto"/>
              <w:rPr>
                <w:snapToGrid w:val="0"/>
              </w:rPr>
            </w:pPr>
          </w:p>
        </w:tc>
        <w:tc>
          <w:tcPr>
            <w:tcW w:w="1208" w:type="dxa"/>
          </w:tcPr>
          <w:p w14:paraId="23CE22E8" w14:textId="77777777" w:rsidR="007F32E9" w:rsidRPr="00C03241" w:rsidRDefault="007F32E9" w:rsidP="002730CA">
            <w:pPr>
              <w:tabs>
                <w:tab w:val="decimal" w:pos="960"/>
              </w:tabs>
              <w:spacing w:line="276" w:lineRule="auto"/>
              <w:rPr>
                <w:snapToGrid w:val="0"/>
              </w:rPr>
            </w:pPr>
            <w:r>
              <w:rPr>
                <w:snapToGrid w:val="0"/>
              </w:rPr>
              <w:t>(2)</w:t>
            </w:r>
          </w:p>
        </w:tc>
        <w:tc>
          <w:tcPr>
            <w:tcW w:w="1208" w:type="dxa"/>
          </w:tcPr>
          <w:p w14:paraId="361DDAD3" w14:textId="77777777" w:rsidR="007F32E9" w:rsidRPr="00C03241" w:rsidRDefault="007F32E9" w:rsidP="002730CA">
            <w:pPr>
              <w:tabs>
                <w:tab w:val="decimal" w:pos="910"/>
              </w:tabs>
              <w:spacing w:line="276" w:lineRule="auto"/>
              <w:rPr>
                <w:snapToGrid w:val="0"/>
              </w:rPr>
            </w:pPr>
            <w:r>
              <w:rPr>
                <w:snapToGrid w:val="0"/>
              </w:rPr>
              <w:t>251</w:t>
            </w:r>
          </w:p>
        </w:tc>
        <w:tc>
          <w:tcPr>
            <w:tcW w:w="1208" w:type="dxa"/>
          </w:tcPr>
          <w:p w14:paraId="3260A180" w14:textId="77777777" w:rsidR="007F32E9" w:rsidRPr="00C03241" w:rsidRDefault="007F32E9" w:rsidP="002730CA">
            <w:pPr>
              <w:tabs>
                <w:tab w:val="decimal" w:pos="860"/>
              </w:tabs>
              <w:spacing w:line="276" w:lineRule="auto"/>
              <w:rPr>
                <w:snapToGrid w:val="0"/>
              </w:rPr>
            </w:pPr>
            <w:r>
              <w:rPr>
                <w:snapToGrid w:val="0"/>
              </w:rPr>
              <w:t>31</w:t>
            </w:r>
          </w:p>
        </w:tc>
        <w:tc>
          <w:tcPr>
            <w:tcW w:w="1208" w:type="dxa"/>
          </w:tcPr>
          <w:p w14:paraId="402084F7" w14:textId="77777777" w:rsidR="007F32E9" w:rsidRPr="00C03241" w:rsidRDefault="007F32E9" w:rsidP="002730CA">
            <w:pPr>
              <w:tabs>
                <w:tab w:val="decimal" w:pos="907"/>
              </w:tabs>
              <w:spacing w:line="276" w:lineRule="auto"/>
              <w:rPr>
                <w:snapToGrid w:val="0"/>
              </w:rPr>
            </w:pPr>
            <w:r>
              <w:rPr>
                <w:snapToGrid w:val="0"/>
              </w:rPr>
              <w:t>484</w:t>
            </w:r>
          </w:p>
        </w:tc>
      </w:tr>
      <w:tr w:rsidR="007F32E9" w:rsidRPr="00C03241" w14:paraId="2B1FFB10" w14:textId="77777777" w:rsidTr="002730CA">
        <w:trPr>
          <w:trHeight w:val="276"/>
        </w:trPr>
        <w:tc>
          <w:tcPr>
            <w:tcW w:w="237" w:type="dxa"/>
          </w:tcPr>
          <w:p w14:paraId="395767BB" w14:textId="77777777" w:rsidR="007F32E9" w:rsidRPr="00C03241" w:rsidRDefault="007F32E9" w:rsidP="002730CA">
            <w:pPr>
              <w:spacing w:line="276" w:lineRule="auto"/>
              <w:jc w:val="right"/>
              <w:rPr>
                <w:snapToGrid w:val="0"/>
              </w:rPr>
            </w:pPr>
          </w:p>
        </w:tc>
        <w:tc>
          <w:tcPr>
            <w:tcW w:w="1462" w:type="dxa"/>
          </w:tcPr>
          <w:p w14:paraId="69333D49" w14:textId="77777777" w:rsidR="007F32E9" w:rsidRPr="00C03241" w:rsidRDefault="007F32E9" w:rsidP="002730CA">
            <w:pPr>
              <w:spacing w:line="276" w:lineRule="auto"/>
              <w:jc w:val="right"/>
              <w:rPr>
                <w:snapToGrid w:val="0"/>
              </w:rPr>
            </w:pPr>
          </w:p>
        </w:tc>
        <w:tc>
          <w:tcPr>
            <w:tcW w:w="2921" w:type="dxa"/>
          </w:tcPr>
          <w:p w14:paraId="6DC2F6E1" w14:textId="77777777" w:rsidR="007F32E9" w:rsidRPr="00C03241" w:rsidRDefault="007F32E9" w:rsidP="002730CA">
            <w:pPr>
              <w:spacing w:line="276" w:lineRule="auto"/>
              <w:jc w:val="right"/>
              <w:rPr>
                <w:snapToGrid w:val="0"/>
              </w:rPr>
            </w:pPr>
          </w:p>
        </w:tc>
        <w:tc>
          <w:tcPr>
            <w:tcW w:w="478" w:type="dxa"/>
            <w:gridSpan w:val="2"/>
          </w:tcPr>
          <w:p w14:paraId="6B85FC03" w14:textId="77777777" w:rsidR="007F32E9" w:rsidRPr="00C03241" w:rsidRDefault="007F32E9" w:rsidP="002730CA">
            <w:pPr>
              <w:spacing w:line="276" w:lineRule="auto"/>
              <w:jc w:val="right"/>
              <w:rPr>
                <w:snapToGrid w:val="0"/>
              </w:rPr>
            </w:pPr>
          </w:p>
        </w:tc>
        <w:tc>
          <w:tcPr>
            <w:tcW w:w="1208" w:type="dxa"/>
            <w:tcBorders>
              <w:top w:val="single" w:sz="4" w:space="0" w:color="auto"/>
            </w:tcBorders>
          </w:tcPr>
          <w:p w14:paraId="0E21FD0C" w14:textId="77777777" w:rsidR="007F32E9" w:rsidRPr="00C03241" w:rsidRDefault="007F32E9" w:rsidP="002730CA">
            <w:pPr>
              <w:tabs>
                <w:tab w:val="decimal" w:pos="960"/>
              </w:tabs>
              <w:spacing w:line="276" w:lineRule="auto"/>
              <w:rPr>
                <w:snapToGrid w:val="0"/>
              </w:rPr>
            </w:pPr>
          </w:p>
        </w:tc>
        <w:tc>
          <w:tcPr>
            <w:tcW w:w="1208" w:type="dxa"/>
            <w:tcBorders>
              <w:top w:val="single" w:sz="4" w:space="0" w:color="auto"/>
            </w:tcBorders>
          </w:tcPr>
          <w:p w14:paraId="48F575DF" w14:textId="77777777" w:rsidR="007F32E9" w:rsidRPr="00C03241" w:rsidRDefault="007F32E9" w:rsidP="002730CA">
            <w:pPr>
              <w:tabs>
                <w:tab w:val="decimal" w:pos="910"/>
              </w:tabs>
              <w:spacing w:line="276" w:lineRule="auto"/>
              <w:rPr>
                <w:snapToGrid w:val="0"/>
              </w:rPr>
            </w:pPr>
          </w:p>
        </w:tc>
        <w:tc>
          <w:tcPr>
            <w:tcW w:w="1208" w:type="dxa"/>
            <w:tcBorders>
              <w:top w:val="single" w:sz="6" w:space="0" w:color="auto"/>
            </w:tcBorders>
          </w:tcPr>
          <w:p w14:paraId="0BB7D4EA" w14:textId="77777777" w:rsidR="007F32E9" w:rsidRPr="00C03241" w:rsidRDefault="007F32E9" w:rsidP="002730CA">
            <w:pPr>
              <w:tabs>
                <w:tab w:val="decimal" w:pos="860"/>
              </w:tabs>
              <w:spacing w:line="276" w:lineRule="auto"/>
              <w:jc w:val="center"/>
              <w:rPr>
                <w:snapToGrid w:val="0"/>
              </w:rPr>
            </w:pPr>
          </w:p>
        </w:tc>
        <w:tc>
          <w:tcPr>
            <w:tcW w:w="1208" w:type="dxa"/>
            <w:tcBorders>
              <w:top w:val="single" w:sz="6" w:space="0" w:color="auto"/>
            </w:tcBorders>
          </w:tcPr>
          <w:p w14:paraId="266FD3E0" w14:textId="77777777" w:rsidR="007F32E9" w:rsidRPr="00C03241" w:rsidRDefault="007F32E9" w:rsidP="002730CA">
            <w:pPr>
              <w:tabs>
                <w:tab w:val="decimal" w:pos="907"/>
              </w:tabs>
              <w:spacing w:line="276" w:lineRule="auto"/>
              <w:jc w:val="center"/>
              <w:rPr>
                <w:snapToGrid w:val="0"/>
              </w:rPr>
            </w:pPr>
          </w:p>
        </w:tc>
      </w:tr>
      <w:tr w:rsidR="007F32E9" w:rsidRPr="00C03241" w14:paraId="1D113BE2" w14:textId="77777777" w:rsidTr="002730CA">
        <w:trPr>
          <w:cantSplit/>
          <w:trHeight w:val="293"/>
        </w:trPr>
        <w:tc>
          <w:tcPr>
            <w:tcW w:w="4620" w:type="dxa"/>
            <w:gridSpan w:val="3"/>
          </w:tcPr>
          <w:p w14:paraId="04EF619E" w14:textId="77777777" w:rsidR="007F32E9" w:rsidRPr="00C03241" w:rsidRDefault="007F32E9" w:rsidP="002730CA">
            <w:pPr>
              <w:spacing w:line="276" w:lineRule="auto"/>
              <w:rPr>
                <w:snapToGrid w:val="0"/>
              </w:rPr>
            </w:pPr>
            <w:r w:rsidRPr="00C03241">
              <w:rPr>
                <w:snapToGrid w:val="0"/>
              </w:rPr>
              <w:t>Net loss</w:t>
            </w:r>
          </w:p>
        </w:tc>
        <w:tc>
          <w:tcPr>
            <w:tcW w:w="478" w:type="dxa"/>
            <w:gridSpan w:val="2"/>
          </w:tcPr>
          <w:p w14:paraId="6E80A4D7" w14:textId="77777777" w:rsidR="007F32E9" w:rsidRPr="00C03241" w:rsidRDefault="007F32E9" w:rsidP="002730CA">
            <w:pPr>
              <w:spacing w:line="276" w:lineRule="auto"/>
              <w:jc w:val="right"/>
              <w:rPr>
                <w:snapToGrid w:val="0"/>
              </w:rPr>
            </w:pPr>
          </w:p>
        </w:tc>
        <w:tc>
          <w:tcPr>
            <w:tcW w:w="1208" w:type="dxa"/>
            <w:tcBorders>
              <w:bottom w:val="double" w:sz="4" w:space="0" w:color="auto"/>
            </w:tcBorders>
          </w:tcPr>
          <w:p w14:paraId="5840C005" w14:textId="77777777" w:rsidR="007F32E9" w:rsidRPr="00C03241" w:rsidRDefault="007F32E9" w:rsidP="002730CA">
            <w:pPr>
              <w:tabs>
                <w:tab w:val="left" w:pos="150"/>
                <w:tab w:val="decimal" w:pos="960"/>
              </w:tabs>
              <w:spacing w:line="276" w:lineRule="auto"/>
              <w:rPr>
                <w:snapToGrid w:val="0"/>
              </w:rPr>
            </w:pPr>
            <w:r w:rsidRPr="00C03241">
              <w:rPr>
                <w:snapToGrid w:val="0"/>
              </w:rPr>
              <w:tab/>
              <w:t>$</w:t>
            </w:r>
            <w:r w:rsidRPr="00C03241">
              <w:rPr>
                <w:snapToGrid w:val="0"/>
              </w:rPr>
              <w:tab/>
              <w:t>(</w:t>
            </w:r>
            <w:r>
              <w:rPr>
                <w:snapToGrid w:val="0"/>
              </w:rPr>
              <w:t>5,064</w:t>
            </w:r>
            <w:r w:rsidRPr="00C03241">
              <w:rPr>
                <w:snapToGrid w:val="0"/>
              </w:rPr>
              <w:t>)</w:t>
            </w:r>
          </w:p>
        </w:tc>
        <w:tc>
          <w:tcPr>
            <w:tcW w:w="1208" w:type="dxa"/>
            <w:tcBorders>
              <w:bottom w:val="double" w:sz="4" w:space="0" w:color="auto"/>
            </w:tcBorders>
          </w:tcPr>
          <w:p w14:paraId="471359A8" w14:textId="77777777" w:rsidR="007F32E9" w:rsidRPr="00C03241" w:rsidRDefault="007F32E9" w:rsidP="002730CA">
            <w:pPr>
              <w:tabs>
                <w:tab w:val="left" w:pos="100"/>
                <w:tab w:val="decimal" w:pos="910"/>
              </w:tabs>
              <w:spacing w:line="276" w:lineRule="auto"/>
              <w:rPr>
                <w:snapToGrid w:val="0"/>
              </w:rPr>
            </w:pPr>
            <w:r w:rsidRPr="00C03241">
              <w:rPr>
                <w:snapToGrid w:val="0"/>
              </w:rPr>
              <w:tab/>
              <w:t>$</w:t>
            </w:r>
            <w:r w:rsidRPr="00C03241">
              <w:rPr>
                <w:snapToGrid w:val="0"/>
              </w:rPr>
              <w:tab/>
              <w:t>(</w:t>
            </w:r>
            <w:r>
              <w:rPr>
                <w:snapToGrid w:val="0"/>
              </w:rPr>
              <w:t>5,928</w:t>
            </w:r>
            <w:r w:rsidRPr="00C03241">
              <w:rPr>
                <w:snapToGrid w:val="0"/>
              </w:rPr>
              <w:t>)</w:t>
            </w:r>
          </w:p>
        </w:tc>
        <w:tc>
          <w:tcPr>
            <w:tcW w:w="1208" w:type="dxa"/>
            <w:tcBorders>
              <w:bottom w:val="double" w:sz="6" w:space="0" w:color="auto"/>
            </w:tcBorders>
          </w:tcPr>
          <w:p w14:paraId="4C6353B4" w14:textId="77777777" w:rsidR="007F32E9" w:rsidRPr="00C03241" w:rsidRDefault="007F32E9" w:rsidP="002730CA">
            <w:pPr>
              <w:tabs>
                <w:tab w:val="left" w:pos="50"/>
                <w:tab w:val="decimal" w:pos="860"/>
              </w:tabs>
              <w:spacing w:line="276" w:lineRule="auto"/>
              <w:rPr>
                <w:snapToGrid w:val="0"/>
              </w:rPr>
            </w:pPr>
            <w:r w:rsidRPr="00C03241">
              <w:rPr>
                <w:snapToGrid w:val="0"/>
              </w:rPr>
              <w:tab/>
              <w:t>$</w:t>
            </w:r>
            <w:r w:rsidRPr="00C03241">
              <w:rPr>
                <w:snapToGrid w:val="0"/>
              </w:rPr>
              <w:tab/>
              <w:t>(</w:t>
            </w:r>
            <w:r>
              <w:rPr>
                <w:snapToGrid w:val="0"/>
              </w:rPr>
              <w:t>10,914</w:t>
            </w:r>
            <w:r w:rsidRPr="00C03241">
              <w:rPr>
                <w:snapToGrid w:val="0"/>
              </w:rPr>
              <w:t>)</w:t>
            </w:r>
          </w:p>
        </w:tc>
        <w:tc>
          <w:tcPr>
            <w:tcW w:w="1208" w:type="dxa"/>
            <w:tcBorders>
              <w:bottom w:val="double" w:sz="6" w:space="0" w:color="auto"/>
            </w:tcBorders>
          </w:tcPr>
          <w:p w14:paraId="198EF9C8" w14:textId="77777777" w:rsidR="007F32E9" w:rsidRPr="00C03241" w:rsidRDefault="007F32E9" w:rsidP="002730CA">
            <w:pPr>
              <w:tabs>
                <w:tab w:val="left" w:pos="97"/>
                <w:tab w:val="decimal" w:pos="907"/>
              </w:tabs>
              <w:spacing w:line="276" w:lineRule="auto"/>
              <w:rPr>
                <w:snapToGrid w:val="0"/>
              </w:rPr>
            </w:pPr>
            <w:r w:rsidRPr="00C03241">
              <w:rPr>
                <w:snapToGrid w:val="0"/>
              </w:rPr>
              <w:tab/>
              <w:t>$</w:t>
            </w:r>
            <w:r w:rsidRPr="00C03241">
              <w:rPr>
                <w:snapToGrid w:val="0"/>
              </w:rPr>
              <w:tab/>
              <w:t>(</w:t>
            </w:r>
            <w:r>
              <w:rPr>
                <w:snapToGrid w:val="0"/>
              </w:rPr>
              <w:t>9,965</w:t>
            </w:r>
            <w:r w:rsidRPr="00C03241">
              <w:rPr>
                <w:snapToGrid w:val="0"/>
              </w:rPr>
              <w:t>)</w:t>
            </w:r>
          </w:p>
        </w:tc>
      </w:tr>
      <w:tr w:rsidR="007F32E9" w:rsidRPr="00C03241" w14:paraId="1B4E84CC" w14:textId="77777777" w:rsidTr="002730CA">
        <w:trPr>
          <w:trHeight w:val="293"/>
        </w:trPr>
        <w:tc>
          <w:tcPr>
            <w:tcW w:w="237" w:type="dxa"/>
          </w:tcPr>
          <w:p w14:paraId="393318DB" w14:textId="77777777" w:rsidR="007F32E9" w:rsidRPr="00C03241" w:rsidRDefault="007F32E9" w:rsidP="002730CA">
            <w:pPr>
              <w:spacing w:line="276" w:lineRule="auto"/>
              <w:jc w:val="right"/>
              <w:rPr>
                <w:snapToGrid w:val="0"/>
              </w:rPr>
            </w:pPr>
          </w:p>
        </w:tc>
        <w:tc>
          <w:tcPr>
            <w:tcW w:w="1462" w:type="dxa"/>
          </w:tcPr>
          <w:p w14:paraId="784D5588" w14:textId="77777777" w:rsidR="007F32E9" w:rsidRPr="00C03241" w:rsidRDefault="007F32E9" w:rsidP="002730CA">
            <w:pPr>
              <w:spacing w:line="276" w:lineRule="auto"/>
              <w:jc w:val="right"/>
              <w:rPr>
                <w:snapToGrid w:val="0"/>
              </w:rPr>
            </w:pPr>
          </w:p>
        </w:tc>
        <w:tc>
          <w:tcPr>
            <w:tcW w:w="2921" w:type="dxa"/>
          </w:tcPr>
          <w:p w14:paraId="49D749A7" w14:textId="77777777" w:rsidR="007F32E9" w:rsidRPr="00C03241" w:rsidRDefault="007F32E9" w:rsidP="002730CA">
            <w:pPr>
              <w:spacing w:line="276" w:lineRule="auto"/>
              <w:jc w:val="right"/>
              <w:rPr>
                <w:snapToGrid w:val="0"/>
              </w:rPr>
            </w:pPr>
          </w:p>
        </w:tc>
        <w:tc>
          <w:tcPr>
            <w:tcW w:w="478" w:type="dxa"/>
            <w:gridSpan w:val="2"/>
          </w:tcPr>
          <w:p w14:paraId="63316043" w14:textId="77777777" w:rsidR="007F32E9" w:rsidRPr="00C03241" w:rsidRDefault="007F32E9" w:rsidP="002730CA">
            <w:pPr>
              <w:spacing w:line="276" w:lineRule="auto"/>
              <w:jc w:val="right"/>
              <w:rPr>
                <w:snapToGrid w:val="0"/>
              </w:rPr>
            </w:pPr>
          </w:p>
        </w:tc>
        <w:tc>
          <w:tcPr>
            <w:tcW w:w="1208" w:type="dxa"/>
          </w:tcPr>
          <w:p w14:paraId="7846C6F3" w14:textId="77777777" w:rsidR="007F32E9" w:rsidRPr="00C03241" w:rsidRDefault="007F32E9" w:rsidP="002730CA">
            <w:pPr>
              <w:spacing w:line="276" w:lineRule="auto"/>
              <w:jc w:val="center"/>
              <w:rPr>
                <w:snapToGrid w:val="0"/>
              </w:rPr>
            </w:pPr>
          </w:p>
        </w:tc>
        <w:tc>
          <w:tcPr>
            <w:tcW w:w="1208" w:type="dxa"/>
          </w:tcPr>
          <w:p w14:paraId="4E4B4599" w14:textId="77777777" w:rsidR="007F32E9" w:rsidRPr="00C03241" w:rsidRDefault="007F32E9" w:rsidP="002730CA">
            <w:pPr>
              <w:spacing w:line="276" w:lineRule="auto"/>
              <w:jc w:val="center"/>
              <w:rPr>
                <w:snapToGrid w:val="0"/>
              </w:rPr>
            </w:pPr>
          </w:p>
        </w:tc>
        <w:tc>
          <w:tcPr>
            <w:tcW w:w="1208" w:type="dxa"/>
          </w:tcPr>
          <w:p w14:paraId="38B9D905" w14:textId="77777777" w:rsidR="007F32E9" w:rsidRPr="00C03241" w:rsidRDefault="007F32E9" w:rsidP="002730CA">
            <w:pPr>
              <w:spacing w:line="276" w:lineRule="auto"/>
              <w:jc w:val="center"/>
              <w:rPr>
                <w:snapToGrid w:val="0"/>
              </w:rPr>
            </w:pPr>
          </w:p>
        </w:tc>
        <w:tc>
          <w:tcPr>
            <w:tcW w:w="1208" w:type="dxa"/>
          </w:tcPr>
          <w:p w14:paraId="4CC777DF" w14:textId="77777777" w:rsidR="007F32E9" w:rsidRPr="00C03241" w:rsidRDefault="007F32E9" w:rsidP="002730CA">
            <w:pPr>
              <w:spacing w:line="276" w:lineRule="auto"/>
              <w:jc w:val="center"/>
              <w:rPr>
                <w:snapToGrid w:val="0"/>
              </w:rPr>
            </w:pPr>
          </w:p>
        </w:tc>
      </w:tr>
      <w:tr w:rsidR="007F32E9" w:rsidRPr="00C03241" w14:paraId="01DF8538" w14:textId="77777777" w:rsidTr="002730CA">
        <w:trPr>
          <w:trHeight w:val="276"/>
        </w:trPr>
        <w:tc>
          <w:tcPr>
            <w:tcW w:w="4620" w:type="dxa"/>
            <w:gridSpan w:val="3"/>
          </w:tcPr>
          <w:p w14:paraId="2E495755" w14:textId="77777777" w:rsidR="007F32E9" w:rsidRPr="00C03241" w:rsidRDefault="007F32E9" w:rsidP="002730CA">
            <w:pPr>
              <w:spacing w:line="276" w:lineRule="auto"/>
              <w:rPr>
                <w:snapToGrid w:val="0"/>
              </w:rPr>
            </w:pPr>
            <w:r w:rsidRPr="00C03241">
              <w:rPr>
                <w:snapToGrid w:val="0"/>
              </w:rPr>
              <w:t>Loss per common share</w:t>
            </w:r>
          </w:p>
        </w:tc>
        <w:tc>
          <w:tcPr>
            <w:tcW w:w="478" w:type="dxa"/>
            <w:gridSpan w:val="2"/>
          </w:tcPr>
          <w:p w14:paraId="4EA82DD2" w14:textId="77777777" w:rsidR="007F32E9" w:rsidRPr="00C03241" w:rsidRDefault="007F32E9" w:rsidP="002730CA">
            <w:pPr>
              <w:spacing w:line="276" w:lineRule="auto"/>
              <w:jc w:val="right"/>
              <w:rPr>
                <w:snapToGrid w:val="0"/>
              </w:rPr>
            </w:pPr>
          </w:p>
        </w:tc>
        <w:tc>
          <w:tcPr>
            <w:tcW w:w="1208" w:type="dxa"/>
            <w:tcBorders>
              <w:bottom w:val="double" w:sz="4" w:space="0" w:color="auto"/>
            </w:tcBorders>
          </w:tcPr>
          <w:p w14:paraId="24F2B83E" w14:textId="77777777" w:rsidR="007F32E9" w:rsidRPr="00C03241" w:rsidRDefault="007F32E9" w:rsidP="002730CA">
            <w:pPr>
              <w:tabs>
                <w:tab w:val="left" w:pos="150"/>
                <w:tab w:val="decimal" w:pos="690"/>
              </w:tabs>
              <w:spacing w:line="276" w:lineRule="auto"/>
              <w:rPr>
                <w:snapToGrid w:val="0"/>
              </w:rPr>
            </w:pPr>
            <w:r w:rsidRPr="00C03241">
              <w:rPr>
                <w:snapToGrid w:val="0"/>
              </w:rPr>
              <w:tab/>
              <w:t>$</w:t>
            </w:r>
            <w:r w:rsidRPr="00C03241">
              <w:rPr>
                <w:snapToGrid w:val="0"/>
              </w:rPr>
              <w:tab/>
              <w:t>(</w:t>
            </w:r>
            <w:r>
              <w:rPr>
                <w:snapToGrid w:val="0"/>
              </w:rPr>
              <w:t>1.99</w:t>
            </w:r>
            <w:r w:rsidRPr="00C03241">
              <w:rPr>
                <w:snapToGrid w:val="0"/>
              </w:rPr>
              <w:t>)</w:t>
            </w:r>
          </w:p>
        </w:tc>
        <w:tc>
          <w:tcPr>
            <w:tcW w:w="1208" w:type="dxa"/>
            <w:tcBorders>
              <w:bottom w:val="double" w:sz="4" w:space="0" w:color="auto"/>
            </w:tcBorders>
          </w:tcPr>
          <w:p w14:paraId="0E92EC08" w14:textId="77777777" w:rsidR="007F32E9" w:rsidRPr="00C03241" w:rsidRDefault="007F32E9" w:rsidP="002730CA">
            <w:pPr>
              <w:tabs>
                <w:tab w:val="left" w:pos="100"/>
                <w:tab w:val="decimal" w:pos="640"/>
              </w:tabs>
              <w:spacing w:line="276" w:lineRule="auto"/>
              <w:rPr>
                <w:snapToGrid w:val="0"/>
              </w:rPr>
            </w:pPr>
            <w:r w:rsidRPr="00C03241">
              <w:rPr>
                <w:snapToGrid w:val="0"/>
              </w:rPr>
              <w:tab/>
              <w:t>$</w:t>
            </w:r>
            <w:r w:rsidRPr="00C03241">
              <w:rPr>
                <w:snapToGrid w:val="0"/>
              </w:rPr>
              <w:tab/>
              <w:t>(</w:t>
            </w:r>
            <w:r>
              <w:rPr>
                <w:snapToGrid w:val="0"/>
              </w:rPr>
              <w:t>3.79</w:t>
            </w:r>
            <w:r w:rsidRPr="00C03241">
              <w:rPr>
                <w:snapToGrid w:val="0"/>
              </w:rPr>
              <w:t>)</w:t>
            </w:r>
          </w:p>
        </w:tc>
        <w:tc>
          <w:tcPr>
            <w:tcW w:w="1208" w:type="dxa"/>
            <w:tcBorders>
              <w:bottom w:val="double" w:sz="4" w:space="0" w:color="auto"/>
            </w:tcBorders>
          </w:tcPr>
          <w:p w14:paraId="3575A9A7" w14:textId="77777777" w:rsidR="007F32E9" w:rsidRPr="00C03241" w:rsidRDefault="007F32E9" w:rsidP="002730CA">
            <w:pPr>
              <w:tabs>
                <w:tab w:val="left" w:pos="140"/>
                <w:tab w:val="decimal" w:pos="590"/>
              </w:tabs>
              <w:spacing w:line="276" w:lineRule="auto"/>
              <w:rPr>
                <w:snapToGrid w:val="0"/>
              </w:rPr>
            </w:pPr>
            <w:r w:rsidRPr="00C03241">
              <w:rPr>
                <w:snapToGrid w:val="0"/>
              </w:rPr>
              <w:tab/>
              <w:t>$</w:t>
            </w:r>
            <w:r w:rsidRPr="00C03241">
              <w:rPr>
                <w:snapToGrid w:val="0"/>
              </w:rPr>
              <w:tab/>
              <w:t>(</w:t>
            </w:r>
            <w:r>
              <w:rPr>
                <w:snapToGrid w:val="0"/>
              </w:rPr>
              <w:t>4.68</w:t>
            </w:r>
            <w:r w:rsidRPr="00C03241">
              <w:rPr>
                <w:snapToGrid w:val="0"/>
              </w:rPr>
              <w:t>)</w:t>
            </w:r>
          </w:p>
        </w:tc>
        <w:tc>
          <w:tcPr>
            <w:tcW w:w="1208" w:type="dxa"/>
            <w:tcBorders>
              <w:bottom w:val="double" w:sz="4" w:space="0" w:color="auto"/>
            </w:tcBorders>
          </w:tcPr>
          <w:p w14:paraId="7DFA2EBA" w14:textId="77777777" w:rsidR="007F32E9" w:rsidRPr="00C03241" w:rsidRDefault="007F32E9" w:rsidP="002730CA">
            <w:pPr>
              <w:tabs>
                <w:tab w:val="left" w:pos="97"/>
                <w:tab w:val="decimal" w:pos="637"/>
              </w:tabs>
              <w:spacing w:line="276" w:lineRule="auto"/>
              <w:rPr>
                <w:snapToGrid w:val="0"/>
              </w:rPr>
            </w:pPr>
            <w:r w:rsidRPr="00C03241">
              <w:rPr>
                <w:snapToGrid w:val="0"/>
              </w:rPr>
              <w:tab/>
              <w:t>$</w:t>
            </w:r>
            <w:r w:rsidRPr="00C03241">
              <w:rPr>
                <w:snapToGrid w:val="0"/>
              </w:rPr>
              <w:tab/>
              <w:t>(</w:t>
            </w:r>
            <w:r>
              <w:rPr>
                <w:snapToGrid w:val="0"/>
              </w:rPr>
              <w:t>5.66</w:t>
            </w:r>
            <w:r w:rsidRPr="00C03241">
              <w:rPr>
                <w:snapToGrid w:val="0"/>
              </w:rPr>
              <w:t>)</w:t>
            </w:r>
          </w:p>
        </w:tc>
      </w:tr>
    </w:tbl>
    <w:p w14:paraId="77065B54" w14:textId="77777777" w:rsidR="007F32E9" w:rsidRPr="00C03241" w:rsidRDefault="007F32E9" w:rsidP="007F32E9">
      <w:pPr>
        <w:jc w:val="both"/>
      </w:pPr>
    </w:p>
    <w:p w14:paraId="49EAA93E" w14:textId="77777777" w:rsidR="007F32E9" w:rsidRPr="00C03241" w:rsidRDefault="007F32E9" w:rsidP="007F32E9">
      <w:pPr>
        <w:jc w:val="both"/>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7F32E9" w:rsidRPr="00C03241" w14:paraId="63EAAAB6" w14:textId="77777777" w:rsidTr="002730CA">
        <w:trPr>
          <w:cantSplit/>
          <w:trHeight w:val="293"/>
        </w:trPr>
        <w:tc>
          <w:tcPr>
            <w:tcW w:w="9930" w:type="dxa"/>
            <w:gridSpan w:val="8"/>
          </w:tcPr>
          <w:p w14:paraId="4A6B8684" w14:textId="77777777" w:rsidR="007F32E9" w:rsidRPr="00C03241" w:rsidRDefault="007F32E9" w:rsidP="002730CA">
            <w:pPr>
              <w:jc w:val="center"/>
              <w:rPr>
                <w:b/>
                <w:bCs/>
                <w:snapToGrid w:val="0"/>
              </w:rPr>
            </w:pPr>
          </w:p>
          <w:p w14:paraId="1A144B60" w14:textId="77777777" w:rsidR="007F32E9" w:rsidRPr="00C03241" w:rsidRDefault="007F32E9" w:rsidP="002730CA">
            <w:pPr>
              <w:jc w:val="center"/>
              <w:rPr>
                <w:b/>
                <w:bCs/>
                <w:snapToGrid w:val="0"/>
              </w:rPr>
            </w:pPr>
          </w:p>
          <w:p w14:paraId="179C580D" w14:textId="77777777" w:rsidR="007F32E9" w:rsidRPr="00C03241" w:rsidRDefault="007F32E9" w:rsidP="002730CA">
            <w:pPr>
              <w:jc w:val="center"/>
              <w:rPr>
                <w:snapToGrid w:val="0"/>
              </w:rPr>
            </w:pPr>
            <w:r w:rsidRPr="00C03241">
              <w:rPr>
                <w:b/>
                <w:bCs/>
                <w:snapToGrid w:val="0"/>
              </w:rPr>
              <w:t>Condensed Consolidated Balance Sheet Information</w:t>
            </w:r>
          </w:p>
        </w:tc>
      </w:tr>
      <w:tr w:rsidR="007F32E9" w:rsidRPr="00C03241" w14:paraId="76D27DA8" w14:textId="77777777" w:rsidTr="002730CA">
        <w:trPr>
          <w:cantSplit/>
          <w:trHeight w:val="293"/>
        </w:trPr>
        <w:tc>
          <w:tcPr>
            <w:tcW w:w="9930" w:type="dxa"/>
            <w:gridSpan w:val="8"/>
          </w:tcPr>
          <w:p w14:paraId="3CA3E69A" w14:textId="77777777" w:rsidR="007F32E9" w:rsidRPr="00C03241" w:rsidRDefault="007F32E9" w:rsidP="002730CA">
            <w:pPr>
              <w:jc w:val="center"/>
              <w:rPr>
                <w:i/>
                <w:snapToGrid w:val="0"/>
              </w:rPr>
            </w:pPr>
            <w:r w:rsidRPr="00C03241">
              <w:rPr>
                <w:bCs/>
                <w:i/>
                <w:snapToGrid w:val="0"/>
              </w:rPr>
              <w:t>(amounts in thousands, except common share information)</w:t>
            </w:r>
          </w:p>
        </w:tc>
      </w:tr>
      <w:tr w:rsidR="007F32E9" w:rsidRPr="00C03241" w14:paraId="7F30723A" w14:textId="77777777" w:rsidTr="002730CA">
        <w:trPr>
          <w:trHeight w:val="276"/>
        </w:trPr>
        <w:tc>
          <w:tcPr>
            <w:tcW w:w="1699" w:type="dxa"/>
            <w:gridSpan w:val="2"/>
          </w:tcPr>
          <w:p w14:paraId="042B7C76" w14:textId="77777777" w:rsidR="007F32E9" w:rsidRPr="00C03241" w:rsidRDefault="007F32E9" w:rsidP="002730CA">
            <w:pPr>
              <w:rPr>
                <w:snapToGrid w:val="0"/>
              </w:rPr>
            </w:pPr>
          </w:p>
        </w:tc>
        <w:tc>
          <w:tcPr>
            <w:tcW w:w="2921" w:type="dxa"/>
          </w:tcPr>
          <w:p w14:paraId="13527A09" w14:textId="77777777" w:rsidR="007F32E9" w:rsidRPr="00C03241" w:rsidRDefault="007F32E9" w:rsidP="002730CA">
            <w:pPr>
              <w:jc w:val="right"/>
              <w:rPr>
                <w:snapToGrid w:val="0"/>
              </w:rPr>
            </w:pPr>
          </w:p>
        </w:tc>
        <w:tc>
          <w:tcPr>
            <w:tcW w:w="478" w:type="dxa"/>
          </w:tcPr>
          <w:p w14:paraId="5E206377" w14:textId="77777777" w:rsidR="007F32E9" w:rsidRPr="00C03241" w:rsidRDefault="007F32E9" w:rsidP="002730CA">
            <w:pPr>
              <w:jc w:val="right"/>
              <w:rPr>
                <w:snapToGrid w:val="0"/>
              </w:rPr>
            </w:pPr>
          </w:p>
        </w:tc>
        <w:tc>
          <w:tcPr>
            <w:tcW w:w="1208" w:type="dxa"/>
          </w:tcPr>
          <w:p w14:paraId="1B94AEEA" w14:textId="77777777" w:rsidR="007F32E9" w:rsidRPr="00C03241" w:rsidRDefault="007F32E9" w:rsidP="002730CA">
            <w:pPr>
              <w:jc w:val="right"/>
              <w:rPr>
                <w:snapToGrid w:val="0"/>
              </w:rPr>
            </w:pPr>
          </w:p>
        </w:tc>
        <w:tc>
          <w:tcPr>
            <w:tcW w:w="1208" w:type="dxa"/>
          </w:tcPr>
          <w:p w14:paraId="320702F4" w14:textId="77777777" w:rsidR="007F32E9" w:rsidRPr="00C03241" w:rsidRDefault="007F32E9" w:rsidP="002730CA">
            <w:pPr>
              <w:jc w:val="right"/>
              <w:rPr>
                <w:snapToGrid w:val="0"/>
              </w:rPr>
            </w:pPr>
          </w:p>
        </w:tc>
        <w:tc>
          <w:tcPr>
            <w:tcW w:w="1208" w:type="dxa"/>
            <w:tcBorders>
              <w:bottom w:val="single" w:sz="4" w:space="0" w:color="auto"/>
            </w:tcBorders>
          </w:tcPr>
          <w:p w14:paraId="52090A1B" w14:textId="77777777" w:rsidR="007F32E9" w:rsidRPr="00C03241" w:rsidRDefault="007F32E9" w:rsidP="002730CA">
            <w:pPr>
              <w:jc w:val="center"/>
              <w:rPr>
                <w:snapToGrid w:val="0"/>
              </w:rPr>
            </w:pPr>
            <w:r w:rsidRPr="00C03241">
              <w:rPr>
                <w:snapToGrid w:val="0"/>
              </w:rPr>
              <w:t>June 30,</w:t>
            </w:r>
          </w:p>
          <w:p w14:paraId="3FD581E1" w14:textId="77777777" w:rsidR="007F32E9" w:rsidRPr="00C03241" w:rsidRDefault="007F32E9" w:rsidP="002730CA">
            <w:pPr>
              <w:jc w:val="center"/>
              <w:rPr>
                <w:snapToGrid w:val="0"/>
              </w:rPr>
            </w:pPr>
            <w:r w:rsidRPr="00C03241">
              <w:rPr>
                <w:snapToGrid w:val="0"/>
              </w:rPr>
              <w:t>202</w:t>
            </w:r>
            <w:r>
              <w:rPr>
                <w:snapToGrid w:val="0"/>
              </w:rPr>
              <w:t>4</w:t>
            </w:r>
          </w:p>
        </w:tc>
        <w:tc>
          <w:tcPr>
            <w:tcW w:w="1208" w:type="dxa"/>
            <w:tcBorders>
              <w:bottom w:val="single" w:sz="4" w:space="0" w:color="auto"/>
            </w:tcBorders>
          </w:tcPr>
          <w:p w14:paraId="7CE466EE" w14:textId="77777777" w:rsidR="007F32E9" w:rsidRPr="00C03241" w:rsidRDefault="007F32E9" w:rsidP="002730CA">
            <w:pPr>
              <w:jc w:val="center"/>
              <w:rPr>
                <w:snapToGrid w:val="0"/>
              </w:rPr>
            </w:pPr>
            <w:r w:rsidRPr="00C03241">
              <w:rPr>
                <w:snapToGrid w:val="0"/>
              </w:rPr>
              <w:t>Dec. 31,</w:t>
            </w:r>
          </w:p>
          <w:p w14:paraId="614DC2A1" w14:textId="77777777" w:rsidR="007F32E9" w:rsidRPr="00C03241" w:rsidRDefault="007F32E9" w:rsidP="002730CA">
            <w:pPr>
              <w:jc w:val="center"/>
              <w:rPr>
                <w:snapToGrid w:val="0"/>
              </w:rPr>
            </w:pPr>
            <w:r w:rsidRPr="00C03241">
              <w:rPr>
                <w:snapToGrid w:val="0"/>
              </w:rPr>
              <w:t>202</w:t>
            </w:r>
            <w:r>
              <w:rPr>
                <w:snapToGrid w:val="0"/>
              </w:rPr>
              <w:t>3</w:t>
            </w:r>
          </w:p>
        </w:tc>
      </w:tr>
      <w:tr w:rsidR="007F32E9" w:rsidRPr="00C03241" w14:paraId="2CFFE2AE" w14:textId="77777777" w:rsidTr="002730CA">
        <w:trPr>
          <w:trHeight w:val="276"/>
        </w:trPr>
        <w:tc>
          <w:tcPr>
            <w:tcW w:w="1699" w:type="dxa"/>
            <w:gridSpan w:val="2"/>
          </w:tcPr>
          <w:p w14:paraId="009B0FD0" w14:textId="77777777" w:rsidR="007F32E9" w:rsidRPr="00C03241" w:rsidRDefault="007F32E9" w:rsidP="002730CA">
            <w:pPr>
              <w:rPr>
                <w:snapToGrid w:val="0"/>
              </w:rPr>
            </w:pPr>
            <w:r w:rsidRPr="00C03241">
              <w:rPr>
                <w:snapToGrid w:val="0"/>
              </w:rPr>
              <w:t>Assets:</w:t>
            </w:r>
          </w:p>
        </w:tc>
        <w:tc>
          <w:tcPr>
            <w:tcW w:w="2921" w:type="dxa"/>
          </w:tcPr>
          <w:p w14:paraId="57BA520A" w14:textId="77777777" w:rsidR="007F32E9" w:rsidRPr="00C03241" w:rsidRDefault="007F32E9" w:rsidP="002730CA">
            <w:pPr>
              <w:jc w:val="right"/>
              <w:rPr>
                <w:snapToGrid w:val="0"/>
              </w:rPr>
            </w:pPr>
          </w:p>
        </w:tc>
        <w:tc>
          <w:tcPr>
            <w:tcW w:w="478" w:type="dxa"/>
          </w:tcPr>
          <w:p w14:paraId="21EA1B4F" w14:textId="77777777" w:rsidR="007F32E9" w:rsidRPr="00C03241" w:rsidRDefault="007F32E9" w:rsidP="002730CA">
            <w:pPr>
              <w:jc w:val="right"/>
              <w:rPr>
                <w:snapToGrid w:val="0"/>
              </w:rPr>
            </w:pPr>
          </w:p>
        </w:tc>
        <w:tc>
          <w:tcPr>
            <w:tcW w:w="1208" w:type="dxa"/>
          </w:tcPr>
          <w:p w14:paraId="2D266431" w14:textId="77777777" w:rsidR="007F32E9" w:rsidRPr="00C03241" w:rsidRDefault="007F32E9" w:rsidP="002730CA">
            <w:pPr>
              <w:jc w:val="right"/>
              <w:rPr>
                <w:snapToGrid w:val="0"/>
              </w:rPr>
            </w:pPr>
          </w:p>
        </w:tc>
        <w:tc>
          <w:tcPr>
            <w:tcW w:w="1208" w:type="dxa"/>
          </w:tcPr>
          <w:p w14:paraId="34DE7202" w14:textId="77777777" w:rsidR="007F32E9" w:rsidRPr="00C03241" w:rsidRDefault="007F32E9" w:rsidP="002730CA">
            <w:pPr>
              <w:jc w:val="right"/>
              <w:rPr>
                <w:snapToGrid w:val="0"/>
              </w:rPr>
            </w:pPr>
          </w:p>
        </w:tc>
        <w:tc>
          <w:tcPr>
            <w:tcW w:w="1208" w:type="dxa"/>
          </w:tcPr>
          <w:p w14:paraId="54C89822" w14:textId="77777777" w:rsidR="007F32E9" w:rsidRPr="00C03241" w:rsidRDefault="007F32E9" w:rsidP="002730CA">
            <w:pPr>
              <w:jc w:val="right"/>
              <w:rPr>
                <w:snapToGrid w:val="0"/>
              </w:rPr>
            </w:pPr>
          </w:p>
        </w:tc>
        <w:tc>
          <w:tcPr>
            <w:tcW w:w="1208" w:type="dxa"/>
            <w:tcBorders>
              <w:top w:val="single" w:sz="4" w:space="0" w:color="auto"/>
            </w:tcBorders>
          </w:tcPr>
          <w:p w14:paraId="2E812F49" w14:textId="77777777" w:rsidR="007F32E9" w:rsidRPr="00C03241" w:rsidRDefault="007F32E9" w:rsidP="002730CA">
            <w:pPr>
              <w:jc w:val="right"/>
              <w:rPr>
                <w:snapToGrid w:val="0"/>
              </w:rPr>
            </w:pPr>
          </w:p>
        </w:tc>
      </w:tr>
      <w:tr w:rsidR="007F32E9" w:rsidRPr="00C03241" w14:paraId="787A56ED" w14:textId="77777777" w:rsidTr="002730CA">
        <w:trPr>
          <w:trHeight w:val="276"/>
        </w:trPr>
        <w:tc>
          <w:tcPr>
            <w:tcW w:w="237" w:type="dxa"/>
          </w:tcPr>
          <w:p w14:paraId="6FA7FAE9" w14:textId="77777777" w:rsidR="007F32E9" w:rsidRPr="00C03241" w:rsidRDefault="007F32E9" w:rsidP="002730CA">
            <w:pPr>
              <w:jc w:val="right"/>
              <w:rPr>
                <w:snapToGrid w:val="0"/>
              </w:rPr>
            </w:pPr>
            <w:bookmarkStart w:id="1" w:name="_Hlk69717749"/>
          </w:p>
        </w:tc>
        <w:tc>
          <w:tcPr>
            <w:tcW w:w="4383" w:type="dxa"/>
            <w:gridSpan w:val="2"/>
          </w:tcPr>
          <w:p w14:paraId="1A51A459" w14:textId="77777777" w:rsidR="007F32E9" w:rsidRPr="00C03241" w:rsidRDefault="007F32E9" w:rsidP="002730CA">
            <w:pPr>
              <w:rPr>
                <w:snapToGrid w:val="0"/>
              </w:rPr>
            </w:pPr>
            <w:r w:rsidRPr="00C03241">
              <w:rPr>
                <w:snapToGrid w:val="0"/>
              </w:rPr>
              <w:t>Cash and cash equivalents</w:t>
            </w:r>
          </w:p>
        </w:tc>
        <w:tc>
          <w:tcPr>
            <w:tcW w:w="478" w:type="dxa"/>
          </w:tcPr>
          <w:p w14:paraId="491AACCB" w14:textId="77777777" w:rsidR="007F32E9" w:rsidRPr="00C03241" w:rsidRDefault="007F32E9" w:rsidP="002730CA">
            <w:pPr>
              <w:jc w:val="right"/>
              <w:rPr>
                <w:snapToGrid w:val="0"/>
              </w:rPr>
            </w:pPr>
          </w:p>
        </w:tc>
        <w:tc>
          <w:tcPr>
            <w:tcW w:w="1208" w:type="dxa"/>
          </w:tcPr>
          <w:p w14:paraId="1F63C602" w14:textId="77777777" w:rsidR="007F32E9" w:rsidRPr="00C03241" w:rsidRDefault="007F32E9" w:rsidP="002730CA">
            <w:pPr>
              <w:tabs>
                <w:tab w:val="left" w:pos="150"/>
                <w:tab w:val="decimal" w:pos="960"/>
              </w:tabs>
              <w:rPr>
                <w:snapToGrid w:val="0"/>
              </w:rPr>
            </w:pPr>
          </w:p>
        </w:tc>
        <w:tc>
          <w:tcPr>
            <w:tcW w:w="1208" w:type="dxa"/>
          </w:tcPr>
          <w:p w14:paraId="51B00188" w14:textId="77777777" w:rsidR="007F32E9" w:rsidRPr="00C03241" w:rsidRDefault="007F32E9" w:rsidP="002730CA">
            <w:pPr>
              <w:tabs>
                <w:tab w:val="left" w:pos="180"/>
                <w:tab w:val="decimal" w:pos="910"/>
              </w:tabs>
              <w:rPr>
                <w:snapToGrid w:val="0"/>
              </w:rPr>
            </w:pPr>
          </w:p>
        </w:tc>
        <w:tc>
          <w:tcPr>
            <w:tcW w:w="1208" w:type="dxa"/>
          </w:tcPr>
          <w:p w14:paraId="6837B132" w14:textId="77777777" w:rsidR="007F32E9" w:rsidRPr="00C03241" w:rsidRDefault="007F32E9" w:rsidP="002730CA">
            <w:pPr>
              <w:tabs>
                <w:tab w:val="left" w:pos="165"/>
                <w:tab w:val="decimal" w:pos="960"/>
              </w:tabs>
              <w:rPr>
                <w:snapToGrid w:val="0"/>
              </w:rPr>
            </w:pPr>
            <w:r w:rsidRPr="00C03241">
              <w:rPr>
                <w:snapToGrid w:val="0"/>
              </w:rPr>
              <w:t>$</w:t>
            </w:r>
            <w:r w:rsidRPr="00C03241">
              <w:rPr>
                <w:snapToGrid w:val="0"/>
              </w:rPr>
              <w:tab/>
            </w:r>
            <w:r w:rsidRPr="00C03241">
              <w:rPr>
                <w:snapToGrid w:val="0"/>
              </w:rPr>
              <w:tab/>
            </w:r>
            <w:r>
              <w:rPr>
                <w:snapToGrid w:val="0"/>
              </w:rPr>
              <w:t>1,562</w:t>
            </w:r>
          </w:p>
        </w:tc>
        <w:tc>
          <w:tcPr>
            <w:tcW w:w="1208" w:type="dxa"/>
          </w:tcPr>
          <w:p w14:paraId="3B95AF7E" w14:textId="77777777" w:rsidR="007F32E9" w:rsidRPr="00C03241" w:rsidRDefault="007F32E9" w:rsidP="002730CA">
            <w:pPr>
              <w:tabs>
                <w:tab w:val="left" w:pos="150"/>
                <w:tab w:val="decimal" w:pos="1005"/>
              </w:tabs>
              <w:rPr>
                <w:snapToGrid w:val="0"/>
              </w:rPr>
            </w:pPr>
            <w:r w:rsidRPr="00C03241">
              <w:rPr>
                <w:snapToGrid w:val="0"/>
              </w:rPr>
              <w:t>$</w:t>
            </w:r>
            <w:r w:rsidRPr="00C03241">
              <w:rPr>
                <w:snapToGrid w:val="0"/>
              </w:rPr>
              <w:tab/>
            </w:r>
            <w:r w:rsidRPr="00C03241">
              <w:rPr>
                <w:snapToGrid w:val="0"/>
              </w:rPr>
              <w:tab/>
            </w:r>
            <w:r>
              <w:rPr>
                <w:snapToGrid w:val="0"/>
              </w:rPr>
              <w:t>6,453</w:t>
            </w:r>
          </w:p>
        </w:tc>
      </w:tr>
      <w:tr w:rsidR="007F32E9" w:rsidRPr="00C03241" w14:paraId="483EF0BF" w14:textId="77777777" w:rsidTr="002730CA">
        <w:trPr>
          <w:trHeight w:val="276"/>
        </w:trPr>
        <w:tc>
          <w:tcPr>
            <w:tcW w:w="237" w:type="dxa"/>
          </w:tcPr>
          <w:p w14:paraId="0865C05B" w14:textId="77777777" w:rsidR="007F32E9" w:rsidRPr="00C03241" w:rsidRDefault="007F32E9" w:rsidP="002730CA">
            <w:pPr>
              <w:jc w:val="right"/>
              <w:rPr>
                <w:snapToGrid w:val="0"/>
              </w:rPr>
            </w:pPr>
            <w:bookmarkStart w:id="2" w:name="_Hlk69717696"/>
            <w:bookmarkEnd w:id="1"/>
          </w:p>
        </w:tc>
        <w:tc>
          <w:tcPr>
            <w:tcW w:w="4383" w:type="dxa"/>
            <w:gridSpan w:val="2"/>
          </w:tcPr>
          <w:p w14:paraId="42911915" w14:textId="77777777" w:rsidR="007F32E9" w:rsidRPr="00C03241" w:rsidRDefault="007F32E9" w:rsidP="002730CA">
            <w:pPr>
              <w:rPr>
                <w:snapToGrid w:val="0"/>
              </w:rPr>
            </w:pPr>
            <w:r w:rsidRPr="00C03241">
              <w:rPr>
                <w:snapToGrid w:val="0"/>
              </w:rPr>
              <w:t>Other current assets</w:t>
            </w:r>
          </w:p>
        </w:tc>
        <w:tc>
          <w:tcPr>
            <w:tcW w:w="478" w:type="dxa"/>
          </w:tcPr>
          <w:p w14:paraId="537C130B" w14:textId="77777777" w:rsidR="007F32E9" w:rsidRPr="00C03241" w:rsidRDefault="007F32E9" w:rsidP="002730CA">
            <w:pPr>
              <w:jc w:val="right"/>
              <w:rPr>
                <w:snapToGrid w:val="0"/>
              </w:rPr>
            </w:pPr>
          </w:p>
        </w:tc>
        <w:tc>
          <w:tcPr>
            <w:tcW w:w="1208" w:type="dxa"/>
          </w:tcPr>
          <w:p w14:paraId="59F373B9" w14:textId="77777777" w:rsidR="007F32E9" w:rsidRPr="00C03241" w:rsidRDefault="007F32E9" w:rsidP="002730CA">
            <w:pPr>
              <w:rPr>
                <w:snapToGrid w:val="0"/>
              </w:rPr>
            </w:pPr>
          </w:p>
        </w:tc>
        <w:tc>
          <w:tcPr>
            <w:tcW w:w="1208" w:type="dxa"/>
          </w:tcPr>
          <w:p w14:paraId="6BAB5B2B" w14:textId="77777777" w:rsidR="007F32E9" w:rsidRPr="00C03241" w:rsidRDefault="007F32E9" w:rsidP="002730CA">
            <w:pPr>
              <w:rPr>
                <w:snapToGrid w:val="0"/>
              </w:rPr>
            </w:pPr>
          </w:p>
        </w:tc>
        <w:tc>
          <w:tcPr>
            <w:tcW w:w="1208" w:type="dxa"/>
            <w:tcBorders>
              <w:bottom w:val="single" w:sz="4" w:space="0" w:color="auto"/>
            </w:tcBorders>
          </w:tcPr>
          <w:p w14:paraId="27D56E18" w14:textId="77777777" w:rsidR="007F32E9" w:rsidRPr="00C03241" w:rsidRDefault="007F32E9" w:rsidP="002730CA">
            <w:pPr>
              <w:tabs>
                <w:tab w:val="decimal" w:pos="960"/>
              </w:tabs>
              <w:rPr>
                <w:snapToGrid w:val="0"/>
              </w:rPr>
            </w:pPr>
            <w:r>
              <w:rPr>
                <w:snapToGrid w:val="0"/>
              </w:rPr>
              <w:t>2,282</w:t>
            </w:r>
          </w:p>
        </w:tc>
        <w:tc>
          <w:tcPr>
            <w:tcW w:w="1208" w:type="dxa"/>
            <w:tcBorders>
              <w:bottom w:val="single" w:sz="4" w:space="0" w:color="auto"/>
            </w:tcBorders>
          </w:tcPr>
          <w:p w14:paraId="41ED50BB" w14:textId="77777777" w:rsidR="007F32E9" w:rsidRPr="00C03241" w:rsidRDefault="007F32E9" w:rsidP="002730CA">
            <w:pPr>
              <w:tabs>
                <w:tab w:val="decimal" w:pos="1005"/>
              </w:tabs>
              <w:rPr>
                <w:snapToGrid w:val="0"/>
              </w:rPr>
            </w:pPr>
            <w:r>
              <w:rPr>
                <w:snapToGrid w:val="0"/>
              </w:rPr>
              <w:t>1,433</w:t>
            </w:r>
          </w:p>
        </w:tc>
      </w:tr>
      <w:bookmarkEnd w:id="2"/>
      <w:tr w:rsidR="007F32E9" w:rsidRPr="00C03241" w14:paraId="0A7C4B66" w14:textId="77777777" w:rsidTr="002730CA">
        <w:trPr>
          <w:trHeight w:val="276"/>
        </w:trPr>
        <w:tc>
          <w:tcPr>
            <w:tcW w:w="237" w:type="dxa"/>
          </w:tcPr>
          <w:p w14:paraId="31A6AEEC" w14:textId="77777777" w:rsidR="007F32E9" w:rsidRPr="00C03241" w:rsidRDefault="007F32E9" w:rsidP="002730CA">
            <w:pPr>
              <w:jc w:val="right"/>
              <w:rPr>
                <w:snapToGrid w:val="0"/>
              </w:rPr>
            </w:pPr>
          </w:p>
        </w:tc>
        <w:tc>
          <w:tcPr>
            <w:tcW w:w="4383" w:type="dxa"/>
            <w:gridSpan w:val="2"/>
          </w:tcPr>
          <w:p w14:paraId="62915DE9" w14:textId="77777777" w:rsidR="007F32E9" w:rsidRPr="00C03241" w:rsidRDefault="007F32E9" w:rsidP="002730CA">
            <w:pPr>
              <w:rPr>
                <w:snapToGrid w:val="0"/>
              </w:rPr>
            </w:pPr>
            <w:r w:rsidRPr="00C03241">
              <w:rPr>
                <w:snapToGrid w:val="0"/>
              </w:rPr>
              <w:t>Total current assets</w:t>
            </w:r>
          </w:p>
        </w:tc>
        <w:tc>
          <w:tcPr>
            <w:tcW w:w="478" w:type="dxa"/>
          </w:tcPr>
          <w:p w14:paraId="7DCCAD1A" w14:textId="77777777" w:rsidR="007F32E9" w:rsidRPr="00C03241" w:rsidRDefault="007F32E9" w:rsidP="002730CA">
            <w:pPr>
              <w:jc w:val="right"/>
              <w:rPr>
                <w:snapToGrid w:val="0"/>
              </w:rPr>
            </w:pPr>
          </w:p>
        </w:tc>
        <w:tc>
          <w:tcPr>
            <w:tcW w:w="1208" w:type="dxa"/>
          </w:tcPr>
          <w:p w14:paraId="3019A925" w14:textId="77777777" w:rsidR="007F32E9" w:rsidRPr="00C03241" w:rsidRDefault="007F32E9" w:rsidP="002730CA">
            <w:pPr>
              <w:jc w:val="right"/>
              <w:rPr>
                <w:snapToGrid w:val="0"/>
              </w:rPr>
            </w:pPr>
          </w:p>
        </w:tc>
        <w:tc>
          <w:tcPr>
            <w:tcW w:w="1208" w:type="dxa"/>
          </w:tcPr>
          <w:p w14:paraId="637ABD17" w14:textId="77777777" w:rsidR="007F32E9" w:rsidRPr="00C03241" w:rsidRDefault="007F32E9" w:rsidP="002730CA">
            <w:pPr>
              <w:jc w:val="right"/>
              <w:rPr>
                <w:snapToGrid w:val="0"/>
              </w:rPr>
            </w:pPr>
          </w:p>
        </w:tc>
        <w:tc>
          <w:tcPr>
            <w:tcW w:w="1208" w:type="dxa"/>
            <w:tcBorders>
              <w:top w:val="single" w:sz="4" w:space="0" w:color="auto"/>
            </w:tcBorders>
          </w:tcPr>
          <w:p w14:paraId="76B51496" w14:textId="77777777" w:rsidR="007F32E9" w:rsidRPr="00C03241" w:rsidRDefault="007F32E9" w:rsidP="002730CA">
            <w:pPr>
              <w:tabs>
                <w:tab w:val="left" w:pos="150"/>
                <w:tab w:val="decimal" w:pos="960"/>
              </w:tabs>
              <w:rPr>
                <w:snapToGrid w:val="0"/>
              </w:rPr>
            </w:pPr>
            <w:r w:rsidRPr="00C03241">
              <w:rPr>
                <w:snapToGrid w:val="0"/>
              </w:rPr>
              <w:tab/>
            </w:r>
            <w:r w:rsidRPr="00C03241">
              <w:rPr>
                <w:snapToGrid w:val="0"/>
              </w:rPr>
              <w:tab/>
            </w:r>
            <w:r>
              <w:rPr>
                <w:snapToGrid w:val="0"/>
              </w:rPr>
              <w:t>3,844</w:t>
            </w:r>
          </w:p>
        </w:tc>
        <w:tc>
          <w:tcPr>
            <w:tcW w:w="1208" w:type="dxa"/>
            <w:tcBorders>
              <w:top w:val="single" w:sz="4" w:space="0" w:color="auto"/>
            </w:tcBorders>
          </w:tcPr>
          <w:p w14:paraId="1BE3BAA7" w14:textId="77777777" w:rsidR="007F32E9" w:rsidRPr="00C03241" w:rsidRDefault="007F32E9" w:rsidP="002730CA">
            <w:pPr>
              <w:tabs>
                <w:tab w:val="left" w:pos="195"/>
                <w:tab w:val="decimal" w:pos="1005"/>
              </w:tabs>
              <w:rPr>
                <w:snapToGrid w:val="0"/>
              </w:rPr>
            </w:pPr>
            <w:r w:rsidRPr="00C03241">
              <w:rPr>
                <w:snapToGrid w:val="0"/>
              </w:rPr>
              <w:tab/>
            </w:r>
            <w:r w:rsidRPr="00C03241">
              <w:rPr>
                <w:snapToGrid w:val="0"/>
              </w:rPr>
              <w:tab/>
            </w:r>
            <w:r>
              <w:rPr>
                <w:snapToGrid w:val="0"/>
              </w:rPr>
              <w:t>7,886</w:t>
            </w:r>
          </w:p>
        </w:tc>
      </w:tr>
      <w:tr w:rsidR="007F32E9" w:rsidRPr="00C03241" w14:paraId="66B1E5DD" w14:textId="77777777" w:rsidTr="002730CA">
        <w:trPr>
          <w:trHeight w:val="276"/>
        </w:trPr>
        <w:tc>
          <w:tcPr>
            <w:tcW w:w="237" w:type="dxa"/>
          </w:tcPr>
          <w:p w14:paraId="5D653A68" w14:textId="77777777" w:rsidR="007F32E9" w:rsidRPr="00C03241" w:rsidRDefault="007F32E9" w:rsidP="002730CA">
            <w:pPr>
              <w:jc w:val="right"/>
              <w:rPr>
                <w:snapToGrid w:val="0"/>
              </w:rPr>
            </w:pPr>
          </w:p>
        </w:tc>
        <w:tc>
          <w:tcPr>
            <w:tcW w:w="4383" w:type="dxa"/>
            <w:gridSpan w:val="2"/>
          </w:tcPr>
          <w:p w14:paraId="0F7E8405" w14:textId="77777777" w:rsidR="007F32E9" w:rsidRPr="00C03241" w:rsidRDefault="007F32E9" w:rsidP="002730CA">
            <w:pPr>
              <w:rPr>
                <w:snapToGrid w:val="0"/>
              </w:rPr>
            </w:pPr>
            <w:r w:rsidRPr="00C03241">
              <w:rPr>
                <w:snapToGrid w:val="0"/>
              </w:rPr>
              <w:t>Property and other assets, net</w:t>
            </w:r>
          </w:p>
        </w:tc>
        <w:tc>
          <w:tcPr>
            <w:tcW w:w="478" w:type="dxa"/>
          </w:tcPr>
          <w:p w14:paraId="039B7E4D" w14:textId="77777777" w:rsidR="007F32E9" w:rsidRPr="00C03241" w:rsidRDefault="007F32E9" w:rsidP="002730CA">
            <w:pPr>
              <w:jc w:val="right"/>
              <w:rPr>
                <w:snapToGrid w:val="0"/>
              </w:rPr>
            </w:pPr>
          </w:p>
        </w:tc>
        <w:tc>
          <w:tcPr>
            <w:tcW w:w="1208" w:type="dxa"/>
          </w:tcPr>
          <w:p w14:paraId="7F48F236" w14:textId="77777777" w:rsidR="007F32E9" w:rsidRPr="00C03241" w:rsidRDefault="007F32E9" w:rsidP="002730CA">
            <w:pPr>
              <w:rPr>
                <w:snapToGrid w:val="0"/>
              </w:rPr>
            </w:pPr>
          </w:p>
        </w:tc>
        <w:tc>
          <w:tcPr>
            <w:tcW w:w="1208" w:type="dxa"/>
          </w:tcPr>
          <w:p w14:paraId="2C810232" w14:textId="77777777" w:rsidR="007F32E9" w:rsidRPr="00C03241" w:rsidRDefault="007F32E9" w:rsidP="002730CA">
            <w:pPr>
              <w:rPr>
                <w:snapToGrid w:val="0"/>
              </w:rPr>
            </w:pPr>
          </w:p>
        </w:tc>
        <w:tc>
          <w:tcPr>
            <w:tcW w:w="1208" w:type="dxa"/>
            <w:tcBorders>
              <w:bottom w:val="single" w:sz="4" w:space="0" w:color="auto"/>
            </w:tcBorders>
          </w:tcPr>
          <w:p w14:paraId="6C3E0650" w14:textId="77777777" w:rsidR="007F32E9" w:rsidRPr="00C03241" w:rsidRDefault="007F32E9" w:rsidP="002730CA">
            <w:pPr>
              <w:tabs>
                <w:tab w:val="decimal" w:pos="960"/>
              </w:tabs>
              <w:rPr>
                <w:snapToGrid w:val="0"/>
              </w:rPr>
            </w:pPr>
            <w:r>
              <w:rPr>
                <w:snapToGrid w:val="0"/>
              </w:rPr>
              <w:t>251</w:t>
            </w:r>
          </w:p>
        </w:tc>
        <w:tc>
          <w:tcPr>
            <w:tcW w:w="1208" w:type="dxa"/>
            <w:tcBorders>
              <w:bottom w:val="single" w:sz="4" w:space="0" w:color="auto"/>
            </w:tcBorders>
          </w:tcPr>
          <w:p w14:paraId="22851636" w14:textId="77777777" w:rsidR="007F32E9" w:rsidRPr="00C03241" w:rsidRDefault="007F32E9" w:rsidP="002730CA">
            <w:pPr>
              <w:tabs>
                <w:tab w:val="decimal" w:pos="1005"/>
              </w:tabs>
              <w:rPr>
                <w:snapToGrid w:val="0"/>
              </w:rPr>
            </w:pPr>
            <w:r>
              <w:rPr>
                <w:snapToGrid w:val="0"/>
              </w:rPr>
              <w:t>1,397</w:t>
            </w:r>
          </w:p>
        </w:tc>
      </w:tr>
      <w:tr w:rsidR="007F32E9" w:rsidRPr="00C03241" w14:paraId="62372EE2" w14:textId="77777777" w:rsidTr="002730CA">
        <w:trPr>
          <w:trHeight w:val="276"/>
        </w:trPr>
        <w:tc>
          <w:tcPr>
            <w:tcW w:w="237" w:type="dxa"/>
          </w:tcPr>
          <w:p w14:paraId="51CC3DBB" w14:textId="77777777" w:rsidR="007F32E9" w:rsidRPr="00C03241" w:rsidRDefault="007F32E9" w:rsidP="002730CA">
            <w:pPr>
              <w:jc w:val="right"/>
              <w:rPr>
                <w:snapToGrid w:val="0"/>
              </w:rPr>
            </w:pPr>
          </w:p>
        </w:tc>
        <w:tc>
          <w:tcPr>
            <w:tcW w:w="4383" w:type="dxa"/>
            <w:gridSpan w:val="2"/>
          </w:tcPr>
          <w:p w14:paraId="2368FEBC" w14:textId="77777777" w:rsidR="007F32E9" w:rsidRPr="00C03241" w:rsidRDefault="007F32E9" w:rsidP="002730CA">
            <w:pPr>
              <w:rPr>
                <w:snapToGrid w:val="0"/>
              </w:rPr>
            </w:pPr>
            <w:r w:rsidRPr="00C03241">
              <w:rPr>
                <w:snapToGrid w:val="0"/>
              </w:rPr>
              <w:t>Total assets</w:t>
            </w:r>
          </w:p>
        </w:tc>
        <w:tc>
          <w:tcPr>
            <w:tcW w:w="478" w:type="dxa"/>
          </w:tcPr>
          <w:p w14:paraId="0E0136EF" w14:textId="77777777" w:rsidR="007F32E9" w:rsidRPr="00C03241" w:rsidRDefault="007F32E9" w:rsidP="002730CA">
            <w:pPr>
              <w:jc w:val="right"/>
              <w:rPr>
                <w:snapToGrid w:val="0"/>
              </w:rPr>
            </w:pPr>
          </w:p>
        </w:tc>
        <w:tc>
          <w:tcPr>
            <w:tcW w:w="1208" w:type="dxa"/>
          </w:tcPr>
          <w:p w14:paraId="5FA530FC" w14:textId="77777777" w:rsidR="007F32E9" w:rsidRPr="00C03241" w:rsidRDefault="007F32E9" w:rsidP="002730CA">
            <w:pPr>
              <w:tabs>
                <w:tab w:val="left" w:pos="150"/>
                <w:tab w:val="decimal" w:pos="960"/>
              </w:tabs>
              <w:rPr>
                <w:snapToGrid w:val="0"/>
              </w:rPr>
            </w:pPr>
          </w:p>
        </w:tc>
        <w:tc>
          <w:tcPr>
            <w:tcW w:w="1208" w:type="dxa"/>
          </w:tcPr>
          <w:p w14:paraId="5F551C4C" w14:textId="77777777" w:rsidR="007F32E9" w:rsidRPr="00C03241" w:rsidRDefault="007F32E9" w:rsidP="002730CA">
            <w:pPr>
              <w:tabs>
                <w:tab w:val="left" w:pos="180"/>
                <w:tab w:val="decimal" w:pos="910"/>
              </w:tabs>
              <w:rPr>
                <w:snapToGrid w:val="0"/>
              </w:rPr>
            </w:pPr>
          </w:p>
        </w:tc>
        <w:tc>
          <w:tcPr>
            <w:tcW w:w="1208" w:type="dxa"/>
          </w:tcPr>
          <w:p w14:paraId="5F2B66E6" w14:textId="77777777" w:rsidR="007F32E9" w:rsidRPr="00C03241" w:rsidRDefault="007F32E9" w:rsidP="002730CA">
            <w:pPr>
              <w:tabs>
                <w:tab w:val="left" w:pos="165"/>
                <w:tab w:val="decimal" w:pos="960"/>
              </w:tabs>
              <w:rPr>
                <w:snapToGrid w:val="0"/>
              </w:rPr>
            </w:pPr>
            <w:r w:rsidRPr="00C03241">
              <w:rPr>
                <w:snapToGrid w:val="0"/>
              </w:rPr>
              <w:t>$</w:t>
            </w:r>
            <w:r w:rsidRPr="00C03241">
              <w:rPr>
                <w:snapToGrid w:val="0"/>
              </w:rPr>
              <w:tab/>
            </w:r>
            <w:r w:rsidRPr="00C03241">
              <w:rPr>
                <w:snapToGrid w:val="0"/>
              </w:rPr>
              <w:tab/>
            </w:r>
            <w:r>
              <w:rPr>
                <w:snapToGrid w:val="0"/>
              </w:rPr>
              <w:t>4,095</w:t>
            </w:r>
          </w:p>
        </w:tc>
        <w:tc>
          <w:tcPr>
            <w:tcW w:w="1208" w:type="dxa"/>
          </w:tcPr>
          <w:p w14:paraId="1F1776D9" w14:textId="77777777" w:rsidR="007F32E9" w:rsidRPr="00C03241" w:rsidRDefault="007F32E9" w:rsidP="002730CA">
            <w:pPr>
              <w:tabs>
                <w:tab w:val="left" w:pos="150"/>
                <w:tab w:val="decimal" w:pos="1005"/>
              </w:tabs>
              <w:rPr>
                <w:snapToGrid w:val="0"/>
              </w:rPr>
            </w:pPr>
            <w:r w:rsidRPr="00C03241">
              <w:rPr>
                <w:snapToGrid w:val="0"/>
              </w:rPr>
              <w:t>$</w:t>
            </w:r>
            <w:r w:rsidRPr="00C03241">
              <w:rPr>
                <w:snapToGrid w:val="0"/>
              </w:rPr>
              <w:tab/>
            </w:r>
            <w:r w:rsidRPr="00C03241">
              <w:rPr>
                <w:snapToGrid w:val="0"/>
              </w:rPr>
              <w:tab/>
            </w:r>
            <w:r>
              <w:rPr>
                <w:snapToGrid w:val="0"/>
              </w:rPr>
              <w:t>9,283</w:t>
            </w:r>
          </w:p>
        </w:tc>
      </w:tr>
      <w:tr w:rsidR="007F32E9" w:rsidRPr="00C03241" w14:paraId="0C9ADD58" w14:textId="77777777" w:rsidTr="002730CA">
        <w:trPr>
          <w:trHeight w:val="276"/>
        </w:trPr>
        <w:tc>
          <w:tcPr>
            <w:tcW w:w="237" w:type="dxa"/>
          </w:tcPr>
          <w:p w14:paraId="7A0E7BF3" w14:textId="77777777" w:rsidR="007F32E9" w:rsidRPr="00C03241" w:rsidRDefault="007F32E9" w:rsidP="002730CA">
            <w:pPr>
              <w:jc w:val="right"/>
              <w:rPr>
                <w:snapToGrid w:val="0"/>
              </w:rPr>
            </w:pPr>
          </w:p>
        </w:tc>
        <w:tc>
          <w:tcPr>
            <w:tcW w:w="1462" w:type="dxa"/>
          </w:tcPr>
          <w:p w14:paraId="18B6100B" w14:textId="77777777" w:rsidR="007F32E9" w:rsidRPr="00C03241" w:rsidRDefault="007F32E9" w:rsidP="002730CA">
            <w:pPr>
              <w:jc w:val="right"/>
              <w:rPr>
                <w:snapToGrid w:val="0"/>
              </w:rPr>
            </w:pPr>
          </w:p>
        </w:tc>
        <w:tc>
          <w:tcPr>
            <w:tcW w:w="2921" w:type="dxa"/>
          </w:tcPr>
          <w:p w14:paraId="1B9225BA" w14:textId="77777777" w:rsidR="007F32E9" w:rsidRPr="00C03241" w:rsidRDefault="007F32E9" w:rsidP="002730CA">
            <w:pPr>
              <w:jc w:val="right"/>
              <w:rPr>
                <w:snapToGrid w:val="0"/>
              </w:rPr>
            </w:pPr>
          </w:p>
        </w:tc>
        <w:tc>
          <w:tcPr>
            <w:tcW w:w="478" w:type="dxa"/>
          </w:tcPr>
          <w:p w14:paraId="50BE1F18" w14:textId="77777777" w:rsidR="007F32E9" w:rsidRPr="00C03241" w:rsidRDefault="007F32E9" w:rsidP="002730CA">
            <w:pPr>
              <w:jc w:val="right"/>
              <w:rPr>
                <w:snapToGrid w:val="0"/>
              </w:rPr>
            </w:pPr>
          </w:p>
        </w:tc>
        <w:tc>
          <w:tcPr>
            <w:tcW w:w="1208" w:type="dxa"/>
          </w:tcPr>
          <w:p w14:paraId="28BBC359" w14:textId="77777777" w:rsidR="007F32E9" w:rsidRPr="00C03241" w:rsidRDefault="007F32E9" w:rsidP="002730CA">
            <w:pPr>
              <w:jc w:val="right"/>
              <w:rPr>
                <w:snapToGrid w:val="0"/>
              </w:rPr>
            </w:pPr>
          </w:p>
        </w:tc>
        <w:tc>
          <w:tcPr>
            <w:tcW w:w="1208" w:type="dxa"/>
          </w:tcPr>
          <w:p w14:paraId="4641E8D3" w14:textId="77777777" w:rsidR="007F32E9" w:rsidRPr="00C03241" w:rsidRDefault="007F32E9" w:rsidP="002730CA">
            <w:pPr>
              <w:jc w:val="right"/>
              <w:rPr>
                <w:snapToGrid w:val="0"/>
              </w:rPr>
            </w:pPr>
          </w:p>
        </w:tc>
        <w:tc>
          <w:tcPr>
            <w:tcW w:w="1208" w:type="dxa"/>
            <w:tcBorders>
              <w:top w:val="double" w:sz="4" w:space="0" w:color="auto"/>
            </w:tcBorders>
          </w:tcPr>
          <w:p w14:paraId="698DC908" w14:textId="77777777" w:rsidR="007F32E9" w:rsidRPr="00C03241" w:rsidRDefault="007F32E9" w:rsidP="002730CA">
            <w:pPr>
              <w:jc w:val="right"/>
              <w:rPr>
                <w:snapToGrid w:val="0"/>
              </w:rPr>
            </w:pPr>
          </w:p>
        </w:tc>
        <w:tc>
          <w:tcPr>
            <w:tcW w:w="1208" w:type="dxa"/>
            <w:tcBorders>
              <w:top w:val="double" w:sz="4" w:space="0" w:color="auto"/>
            </w:tcBorders>
          </w:tcPr>
          <w:p w14:paraId="7F6624B3" w14:textId="77777777" w:rsidR="007F32E9" w:rsidRPr="00C03241" w:rsidRDefault="007F32E9" w:rsidP="002730CA">
            <w:pPr>
              <w:jc w:val="right"/>
              <w:rPr>
                <w:snapToGrid w:val="0"/>
              </w:rPr>
            </w:pPr>
          </w:p>
        </w:tc>
      </w:tr>
      <w:tr w:rsidR="007F32E9" w:rsidRPr="00C03241" w14:paraId="077FF08E" w14:textId="77777777" w:rsidTr="002730CA">
        <w:trPr>
          <w:trHeight w:val="276"/>
        </w:trPr>
        <w:tc>
          <w:tcPr>
            <w:tcW w:w="4620" w:type="dxa"/>
            <w:gridSpan w:val="3"/>
          </w:tcPr>
          <w:p w14:paraId="2C2A2541" w14:textId="77777777" w:rsidR="007F32E9" w:rsidRPr="00C03241" w:rsidRDefault="007F32E9" w:rsidP="002730CA">
            <w:pPr>
              <w:rPr>
                <w:snapToGrid w:val="0"/>
              </w:rPr>
            </w:pPr>
            <w:r w:rsidRPr="00C03241">
              <w:rPr>
                <w:snapToGrid w:val="0"/>
              </w:rPr>
              <w:t>Liabilities and stockholders’ equity</w:t>
            </w:r>
            <w:r>
              <w:rPr>
                <w:snapToGrid w:val="0"/>
              </w:rPr>
              <w:t xml:space="preserve"> (deficit)</w:t>
            </w:r>
          </w:p>
        </w:tc>
        <w:tc>
          <w:tcPr>
            <w:tcW w:w="478" w:type="dxa"/>
          </w:tcPr>
          <w:p w14:paraId="67E3EF80" w14:textId="77777777" w:rsidR="007F32E9" w:rsidRPr="00C03241" w:rsidRDefault="007F32E9" w:rsidP="002730CA">
            <w:pPr>
              <w:jc w:val="right"/>
              <w:rPr>
                <w:snapToGrid w:val="0"/>
              </w:rPr>
            </w:pPr>
          </w:p>
        </w:tc>
        <w:tc>
          <w:tcPr>
            <w:tcW w:w="1208" w:type="dxa"/>
          </w:tcPr>
          <w:p w14:paraId="2E67E6E1" w14:textId="77777777" w:rsidR="007F32E9" w:rsidRPr="00C03241" w:rsidRDefault="007F32E9" w:rsidP="002730CA">
            <w:pPr>
              <w:jc w:val="right"/>
              <w:rPr>
                <w:snapToGrid w:val="0"/>
              </w:rPr>
            </w:pPr>
          </w:p>
        </w:tc>
        <w:tc>
          <w:tcPr>
            <w:tcW w:w="1208" w:type="dxa"/>
          </w:tcPr>
          <w:p w14:paraId="6311165C" w14:textId="77777777" w:rsidR="007F32E9" w:rsidRPr="00C03241" w:rsidRDefault="007F32E9" w:rsidP="002730CA">
            <w:pPr>
              <w:jc w:val="right"/>
              <w:rPr>
                <w:snapToGrid w:val="0"/>
              </w:rPr>
            </w:pPr>
          </w:p>
        </w:tc>
        <w:tc>
          <w:tcPr>
            <w:tcW w:w="1208" w:type="dxa"/>
          </w:tcPr>
          <w:p w14:paraId="2193B259" w14:textId="77777777" w:rsidR="007F32E9" w:rsidRPr="00C03241" w:rsidRDefault="007F32E9" w:rsidP="002730CA">
            <w:pPr>
              <w:jc w:val="right"/>
              <w:rPr>
                <w:snapToGrid w:val="0"/>
              </w:rPr>
            </w:pPr>
          </w:p>
        </w:tc>
        <w:tc>
          <w:tcPr>
            <w:tcW w:w="1208" w:type="dxa"/>
          </w:tcPr>
          <w:p w14:paraId="3A2DBB87" w14:textId="77777777" w:rsidR="007F32E9" w:rsidRPr="00C03241" w:rsidRDefault="007F32E9" w:rsidP="002730CA">
            <w:pPr>
              <w:jc w:val="right"/>
              <w:rPr>
                <w:snapToGrid w:val="0"/>
              </w:rPr>
            </w:pPr>
          </w:p>
        </w:tc>
      </w:tr>
      <w:tr w:rsidR="007F32E9" w:rsidRPr="00C03241" w14:paraId="56129DFE" w14:textId="77777777" w:rsidTr="002730CA">
        <w:trPr>
          <w:trHeight w:val="276"/>
        </w:trPr>
        <w:tc>
          <w:tcPr>
            <w:tcW w:w="237" w:type="dxa"/>
          </w:tcPr>
          <w:p w14:paraId="523C2824" w14:textId="77777777" w:rsidR="007F32E9" w:rsidRPr="00C03241" w:rsidRDefault="007F32E9" w:rsidP="002730CA">
            <w:pPr>
              <w:jc w:val="right"/>
              <w:rPr>
                <w:snapToGrid w:val="0"/>
              </w:rPr>
            </w:pPr>
          </w:p>
        </w:tc>
        <w:tc>
          <w:tcPr>
            <w:tcW w:w="4383" w:type="dxa"/>
            <w:gridSpan w:val="2"/>
          </w:tcPr>
          <w:p w14:paraId="68DCBB87" w14:textId="77777777" w:rsidR="007F32E9" w:rsidRPr="00C03241" w:rsidRDefault="007F32E9" w:rsidP="002730CA">
            <w:pPr>
              <w:rPr>
                <w:snapToGrid w:val="0"/>
              </w:rPr>
            </w:pPr>
            <w:r w:rsidRPr="00C03241">
              <w:rPr>
                <w:snapToGrid w:val="0"/>
              </w:rPr>
              <w:t>Total liabilities</w:t>
            </w:r>
          </w:p>
        </w:tc>
        <w:tc>
          <w:tcPr>
            <w:tcW w:w="478" w:type="dxa"/>
          </w:tcPr>
          <w:p w14:paraId="77130AB3" w14:textId="77777777" w:rsidR="007F32E9" w:rsidRPr="00C03241" w:rsidRDefault="007F32E9" w:rsidP="002730CA">
            <w:pPr>
              <w:jc w:val="right"/>
              <w:rPr>
                <w:snapToGrid w:val="0"/>
              </w:rPr>
            </w:pPr>
          </w:p>
        </w:tc>
        <w:tc>
          <w:tcPr>
            <w:tcW w:w="1208" w:type="dxa"/>
          </w:tcPr>
          <w:p w14:paraId="308E5B02" w14:textId="77777777" w:rsidR="007F32E9" w:rsidRPr="00C03241" w:rsidRDefault="007F32E9" w:rsidP="002730CA">
            <w:pPr>
              <w:jc w:val="right"/>
              <w:rPr>
                <w:snapToGrid w:val="0"/>
              </w:rPr>
            </w:pPr>
          </w:p>
        </w:tc>
        <w:tc>
          <w:tcPr>
            <w:tcW w:w="1208" w:type="dxa"/>
          </w:tcPr>
          <w:p w14:paraId="60461771" w14:textId="77777777" w:rsidR="007F32E9" w:rsidRPr="00C03241" w:rsidRDefault="007F32E9" w:rsidP="002730CA">
            <w:pPr>
              <w:jc w:val="right"/>
              <w:rPr>
                <w:snapToGrid w:val="0"/>
              </w:rPr>
            </w:pPr>
          </w:p>
        </w:tc>
        <w:tc>
          <w:tcPr>
            <w:tcW w:w="1208" w:type="dxa"/>
          </w:tcPr>
          <w:p w14:paraId="7BFE4155" w14:textId="77777777" w:rsidR="007F32E9" w:rsidRPr="00C03241" w:rsidRDefault="007F32E9" w:rsidP="002730CA">
            <w:pPr>
              <w:tabs>
                <w:tab w:val="left" w:pos="150"/>
                <w:tab w:val="decimal" w:pos="960"/>
              </w:tabs>
              <w:rPr>
                <w:snapToGrid w:val="0"/>
              </w:rPr>
            </w:pPr>
            <w:r w:rsidRPr="00C03241">
              <w:rPr>
                <w:snapToGrid w:val="0"/>
              </w:rPr>
              <w:t>$</w:t>
            </w:r>
            <w:r w:rsidRPr="00C03241">
              <w:rPr>
                <w:snapToGrid w:val="0"/>
              </w:rPr>
              <w:tab/>
            </w:r>
            <w:r w:rsidRPr="00C03241">
              <w:rPr>
                <w:snapToGrid w:val="0"/>
              </w:rPr>
              <w:tab/>
            </w:r>
            <w:r>
              <w:rPr>
                <w:snapToGrid w:val="0"/>
              </w:rPr>
              <w:t>6,404</w:t>
            </w:r>
          </w:p>
        </w:tc>
        <w:tc>
          <w:tcPr>
            <w:tcW w:w="1208" w:type="dxa"/>
          </w:tcPr>
          <w:p w14:paraId="641D60AC" w14:textId="77777777" w:rsidR="007F32E9" w:rsidRPr="00C03241" w:rsidRDefault="007F32E9" w:rsidP="002730CA">
            <w:pPr>
              <w:tabs>
                <w:tab w:val="left" w:pos="165"/>
                <w:tab w:val="decimal" w:pos="1005"/>
              </w:tabs>
              <w:rPr>
                <w:snapToGrid w:val="0"/>
              </w:rPr>
            </w:pPr>
            <w:r w:rsidRPr="00C03241">
              <w:rPr>
                <w:snapToGrid w:val="0"/>
              </w:rPr>
              <w:t>$</w:t>
            </w:r>
            <w:r w:rsidRPr="00C03241">
              <w:rPr>
                <w:snapToGrid w:val="0"/>
              </w:rPr>
              <w:tab/>
            </w:r>
            <w:r w:rsidRPr="00C03241">
              <w:rPr>
                <w:snapToGrid w:val="0"/>
              </w:rPr>
              <w:tab/>
            </w:r>
            <w:r>
              <w:rPr>
                <w:snapToGrid w:val="0"/>
              </w:rPr>
              <w:t>3,520</w:t>
            </w:r>
          </w:p>
        </w:tc>
      </w:tr>
      <w:tr w:rsidR="007F32E9" w:rsidRPr="00C03241" w14:paraId="0584D870" w14:textId="77777777" w:rsidTr="002730CA">
        <w:trPr>
          <w:trHeight w:val="276"/>
        </w:trPr>
        <w:tc>
          <w:tcPr>
            <w:tcW w:w="237" w:type="dxa"/>
          </w:tcPr>
          <w:p w14:paraId="23440E9D" w14:textId="77777777" w:rsidR="007F32E9" w:rsidRPr="00C03241" w:rsidRDefault="007F32E9" w:rsidP="002730CA">
            <w:pPr>
              <w:jc w:val="right"/>
              <w:rPr>
                <w:snapToGrid w:val="0"/>
              </w:rPr>
            </w:pPr>
          </w:p>
        </w:tc>
        <w:tc>
          <w:tcPr>
            <w:tcW w:w="4383" w:type="dxa"/>
            <w:gridSpan w:val="2"/>
          </w:tcPr>
          <w:p w14:paraId="04F161C0" w14:textId="77777777" w:rsidR="007F32E9" w:rsidRPr="00C03241" w:rsidRDefault="007F32E9" w:rsidP="002730CA">
            <w:pPr>
              <w:rPr>
                <w:snapToGrid w:val="0"/>
              </w:rPr>
            </w:pPr>
            <w:r w:rsidRPr="00C03241">
              <w:rPr>
                <w:snapToGrid w:val="0"/>
              </w:rPr>
              <w:t>Stockholders’ equity</w:t>
            </w:r>
            <w:r>
              <w:rPr>
                <w:snapToGrid w:val="0"/>
              </w:rPr>
              <w:t xml:space="preserve"> (deficit)</w:t>
            </w:r>
          </w:p>
        </w:tc>
        <w:tc>
          <w:tcPr>
            <w:tcW w:w="478" w:type="dxa"/>
          </w:tcPr>
          <w:p w14:paraId="3B3FA584" w14:textId="77777777" w:rsidR="007F32E9" w:rsidRPr="00C03241" w:rsidRDefault="007F32E9" w:rsidP="002730CA">
            <w:pPr>
              <w:jc w:val="right"/>
              <w:rPr>
                <w:snapToGrid w:val="0"/>
              </w:rPr>
            </w:pPr>
          </w:p>
        </w:tc>
        <w:tc>
          <w:tcPr>
            <w:tcW w:w="1208" w:type="dxa"/>
          </w:tcPr>
          <w:p w14:paraId="13BD9D96" w14:textId="77777777" w:rsidR="007F32E9" w:rsidRPr="00C03241" w:rsidRDefault="007F32E9" w:rsidP="002730CA">
            <w:pPr>
              <w:jc w:val="right"/>
              <w:rPr>
                <w:snapToGrid w:val="0"/>
              </w:rPr>
            </w:pPr>
          </w:p>
        </w:tc>
        <w:tc>
          <w:tcPr>
            <w:tcW w:w="1208" w:type="dxa"/>
          </w:tcPr>
          <w:p w14:paraId="6C5334CB" w14:textId="77777777" w:rsidR="007F32E9" w:rsidRPr="00C03241" w:rsidRDefault="007F32E9" w:rsidP="002730CA">
            <w:pPr>
              <w:jc w:val="right"/>
              <w:rPr>
                <w:snapToGrid w:val="0"/>
              </w:rPr>
            </w:pPr>
          </w:p>
        </w:tc>
        <w:tc>
          <w:tcPr>
            <w:tcW w:w="1208" w:type="dxa"/>
            <w:tcBorders>
              <w:bottom w:val="single" w:sz="4" w:space="0" w:color="auto"/>
            </w:tcBorders>
          </w:tcPr>
          <w:p w14:paraId="4F1D3D84" w14:textId="77777777" w:rsidR="007F32E9" w:rsidRPr="00C03241" w:rsidRDefault="007F32E9" w:rsidP="002730CA">
            <w:pPr>
              <w:tabs>
                <w:tab w:val="decimal" w:pos="960"/>
              </w:tabs>
              <w:rPr>
                <w:snapToGrid w:val="0"/>
              </w:rPr>
            </w:pPr>
            <w:r>
              <w:rPr>
                <w:snapToGrid w:val="0"/>
              </w:rPr>
              <w:t>(2,309)</w:t>
            </w:r>
          </w:p>
        </w:tc>
        <w:tc>
          <w:tcPr>
            <w:tcW w:w="1208" w:type="dxa"/>
            <w:tcBorders>
              <w:bottom w:val="single" w:sz="4" w:space="0" w:color="auto"/>
            </w:tcBorders>
          </w:tcPr>
          <w:p w14:paraId="2FCDCED7" w14:textId="77777777" w:rsidR="007F32E9" w:rsidRPr="00C03241" w:rsidRDefault="007F32E9" w:rsidP="002730CA">
            <w:pPr>
              <w:tabs>
                <w:tab w:val="decimal" w:pos="1005"/>
              </w:tabs>
              <w:rPr>
                <w:snapToGrid w:val="0"/>
              </w:rPr>
            </w:pPr>
            <w:r>
              <w:rPr>
                <w:snapToGrid w:val="0"/>
              </w:rPr>
              <w:t>5,763</w:t>
            </w:r>
          </w:p>
        </w:tc>
      </w:tr>
      <w:tr w:rsidR="007F32E9" w:rsidRPr="00C03241" w14:paraId="0534EEE9" w14:textId="77777777" w:rsidTr="002730CA">
        <w:trPr>
          <w:trHeight w:val="276"/>
        </w:trPr>
        <w:tc>
          <w:tcPr>
            <w:tcW w:w="237" w:type="dxa"/>
          </w:tcPr>
          <w:p w14:paraId="546FFB5B" w14:textId="77777777" w:rsidR="007F32E9" w:rsidRPr="00C03241" w:rsidRDefault="007F32E9" w:rsidP="002730CA">
            <w:pPr>
              <w:jc w:val="right"/>
              <w:rPr>
                <w:snapToGrid w:val="0"/>
              </w:rPr>
            </w:pPr>
          </w:p>
        </w:tc>
        <w:tc>
          <w:tcPr>
            <w:tcW w:w="6069" w:type="dxa"/>
            <w:gridSpan w:val="4"/>
          </w:tcPr>
          <w:p w14:paraId="670AB483" w14:textId="77777777" w:rsidR="007F32E9" w:rsidRPr="00C03241" w:rsidRDefault="007F32E9" w:rsidP="002730CA">
            <w:pPr>
              <w:rPr>
                <w:snapToGrid w:val="0"/>
              </w:rPr>
            </w:pPr>
            <w:r w:rsidRPr="00C03241">
              <w:rPr>
                <w:snapToGrid w:val="0"/>
              </w:rPr>
              <w:t>Total liabilities and stockholders’ equity</w:t>
            </w:r>
            <w:r>
              <w:rPr>
                <w:snapToGrid w:val="0"/>
              </w:rPr>
              <w:t xml:space="preserve"> (deficit)</w:t>
            </w:r>
          </w:p>
        </w:tc>
        <w:tc>
          <w:tcPr>
            <w:tcW w:w="1208" w:type="dxa"/>
          </w:tcPr>
          <w:p w14:paraId="20BBF95B" w14:textId="77777777" w:rsidR="007F32E9" w:rsidRPr="00C03241" w:rsidRDefault="007F32E9" w:rsidP="002730CA">
            <w:pPr>
              <w:jc w:val="right"/>
              <w:rPr>
                <w:snapToGrid w:val="0"/>
              </w:rPr>
            </w:pPr>
          </w:p>
        </w:tc>
        <w:tc>
          <w:tcPr>
            <w:tcW w:w="1208" w:type="dxa"/>
            <w:tcBorders>
              <w:top w:val="single" w:sz="4" w:space="0" w:color="auto"/>
              <w:bottom w:val="double" w:sz="4" w:space="0" w:color="auto"/>
            </w:tcBorders>
          </w:tcPr>
          <w:p w14:paraId="6659E3E2" w14:textId="77777777" w:rsidR="007F32E9" w:rsidRPr="00C03241" w:rsidRDefault="007F32E9" w:rsidP="002730CA">
            <w:pPr>
              <w:tabs>
                <w:tab w:val="left" w:pos="165"/>
                <w:tab w:val="decimal" w:pos="960"/>
              </w:tabs>
              <w:rPr>
                <w:snapToGrid w:val="0"/>
              </w:rPr>
            </w:pPr>
            <w:r w:rsidRPr="00C03241">
              <w:rPr>
                <w:snapToGrid w:val="0"/>
              </w:rPr>
              <w:t>$</w:t>
            </w:r>
            <w:r w:rsidRPr="00C03241">
              <w:rPr>
                <w:snapToGrid w:val="0"/>
              </w:rPr>
              <w:tab/>
            </w:r>
            <w:r w:rsidRPr="00C03241">
              <w:rPr>
                <w:snapToGrid w:val="0"/>
              </w:rPr>
              <w:tab/>
            </w:r>
            <w:r>
              <w:rPr>
                <w:snapToGrid w:val="0"/>
              </w:rPr>
              <w:t>4,095</w:t>
            </w:r>
          </w:p>
        </w:tc>
        <w:tc>
          <w:tcPr>
            <w:tcW w:w="1208" w:type="dxa"/>
            <w:tcBorders>
              <w:top w:val="single" w:sz="4" w:space="0" w:color="auto"/>
              <w:bottom w:val="double" w:sz="4" w:space="0" w:color="auto"/>
            </w:tcBorders>
          </w:tcPr>
          <w:p w14:paraId="21884E6A" w14:textId="77777777" w:rsidR="007F32E9" w:rsidRPr="00C03241" w:rsidRDefault="007F32E9" w:rsidP="002730CA">
            <w:pPr>
              <w:tabs>
                <w:tab w:val="left" w:pos="105"/>
                <w:tab w:val="decimal" w:pos="1005"/>
              </w:tabs>
              <w:rPr>
                <w:snapToGrid w:val="0"/>
              </w:rPr>
            </w:pPr>
            <w:r w:rsidRPr="00C03241">
              <w:rPr>
                <w:snapToGrid w:val="0"/>
              </w:rPr>
              <w:t>$</w:t>
            </w:r>
            <w:r w:rsidRPr="00C03241">
              <w:rPr>
                <w:snapToGrid w:val="0"/>
              </w:rPr>
              <w:tab/>
            </w:r>
            <w:r>
              <w:rPr>
                <w:snapToGrid w:val="0"/>
              </w:rPr>
              <w:tab/>
              <w:t>9,283</w:t>
            </w:r>
          </w:p>
        </w:tc>
      </w:tr>
      <w:tr w:rsidR="007F32E9" w:rsidRPr="00C03241" w14:paraId="2032D007" w14:textId="77777777" w:rsidTr="002730CA">
        <w:trPr>
          <w:trHeight w:val="276"/>
        </w:trPr>
        <w:tc>
          <w:tcPr>
            <w:tcW w:w="237" w:type="dxa"/>
          </w:tcPr>
          <w:p w14:paraId="5ABE0F2C" w14:textId="77777777" w:rsidR="007F32E9" w:rsidRPr="00C03241" w:rsidRDefault="007F32E9" w:rsidP="002730CA">
            <w:pPr>
              <w:jc w:val="right"/>
              <w:rPr>
                <w:snapToGrid w:val="0"/>
              </w:rPr>
            </w:pPr>
          </w:p>
        </w:tc>
        <w:tc>
          <w:tcPr>
            <w:tcW w:w="4383" w:type="dxa"/>
            <w:gridSpan w:val="2"/>
          </w:tcPr>
          <w:p w14:paraId="48590378" w14:textId="77777777" w:rsidR="007F32E9" w:rsidRPr="00C03241" w:rsidRDefault="007F32E9" w:rsidP="002730CA">
            <w:pPr>
              <w:rPr>
                <w:snapToGrid w:val="0"/>
              </w:rPr>
            </w:pPr>
          </w:p>
        </w:tc>
        <w:tc>
          <w:tcPr>
            <w:tcW w:w="478" w:type="dxa"/>
          </w:tcPr>
          <w:p w14:paraId="19E6EF6F" w14:textId="77777777" w:rsidR="007F32E9" w:rsidRPr="00C03241" w:rsidRDefault="007F32E9" w:rsidP="002730CA">
            <w:pPr>
              <w:jc w:val="right"/>
              <w:rPr>
                <w:snapToGrid w:val="0"/>
              </w:rPr>
            </w:pPr>
          </w:p>
        </w:tc>
        <w:tc>
          <w:tcPr>
            <w:tcW w:w="1208" w:type="dxa"/>
          </w:tcPr>
          <w:p w14:paraId="4B7C2AD3" w14:textId="77777777" w:rsidR="007F32E9" w:rsidRPr="00C03241" w:rsidRDefault="007F32E9" w:rsidP="002730CA">
            <w:pPr>
              <w:jc w:val="right"/>
              <w:rPr>
                <w:snapToGrid w:val="0"/>
              </w:rPr>
            </w:pPr>
          </w:p>
        </w:tc>
        <w:tc>
          <w:tcPr>
            <w:tcW w:w="1208" w:type="dxa"/>
          </w:tcPr>
          <w:p w14:paraId="7583AEA6" w14:textId="77777777" w:rsidR="007F32E9" w:rsidRPr="00C03241" w:rsidRDefault="007F32E9" w:rsidP="002730CA">
            <w:pPr>
              <w:jc w:val="right"/>
              <w:rPr>
                <w:snapToGrid w:val="0"/>
              </w:rPr>
            </w:pPr>
          </w:p>
        </w:tc>
        <w:tc>
          <w:tcPr>
            <w:tcW w:w="1208" w:type="dxa"/>
          </w:tcPr>
          <w:p w14:paraId="57D019E1" w14:textId="77777777" w:rsidR="007F32E9" w:rsidRPr="00C03241" w:rsidRDefault="007F32E9" w:rsidP="002730CA">
            <w:pPr>
              <w:jc w:val="right"/>
              <w:rPr>
                <w:snapToGrid w:val="0"/>
              </w:rPr>
            </w:pPr>
          </w:p>
        </w:tc>
        <w:tc>
          <w:tcPr>
            <w:tcW w:w="1208" w:type="dxa"/>
          </w:tcPr>
          <w:p w14:paraId="657DA514" w14:textId="77777777" w:rsidR="007F32E9" w:rsidRPr="00C03241" w:rsidRDefault="007F32E9" w:rsidP="002730CA">
            <w:pPr>
              <w:jc w:val="right"/>
              <w:rPr>
                <w:snapToGrid w:val="0"/>
              </w:rPr>
            </w:pPr>
          </w:p>
        </w:tc>
      </w:tr>
      <w:tr w:rsidR="007F32E9" w:rsidRPr="00C03241" w14:paraId="5AA2653D" w14:textId="77777777" w:rsidTr="002730CA">
        <w:trPr>
          <w:trHeight w:val="276"/>
        </w:trPr>
        <w:tc>
          <w:tcPr>
            <w:tcW w:w="237" w:type="dxa"/>
          </w:tcPr>
          <w:p w14:paraId="58635543" w14:textId="77777777" w:rsidR="007F32E9" w:rsidRPr="00C03241" w:rsidRDefault="007F32E9" w:rsidP="002730CA">
            <w:pPr>
              <w:jc w:val="right"/>
              <w:rPr>
                <w:snapToGrid w:val="0"/>
              </w:rPr>
            </w:pPr>
          </w:p>
        </w:tc>
        <w:tc>
          <w:tcPr>
            <w:tcW w:w="4383" w:type="dxa"/>
            <w:gridSpan w:val="2"/>
          </w:tcPr>
          <w:p w14:paraId="75CAD86F" w14:textId="77777777" w:rsidR="007F32E9" w:rsidRPr="00C03241" w:rsidRDefault="007F32E9" w:rsidP="002730CA">
            <w:pPr>
              <w:rPr>
                <w:snapToGrid w:val="0"/>
              </w:rPr>
            </w:pPr>
            <w:r w:rsidRPr="00C03241">
              <w:rPr>
                <w:snapToGrid w:val="0"/>
              </w:rPr>
              <w:t>Common shares outstanding</w:t>
            </w:r>
          </w:p>
        </w:tc>
        <w:tc>
          <w:tcPr>
            <w:tcW w:w="478" w:type="dxa"/>
          </w:tcPr>
          <w:p w14:paraId="01DE0626" w14:textId="77777777" w:rsidR="007F32E9" w:rsidRPr="00C03241" w:rsidRDefault="007F32E9" w:rsidP="002730CA">
            <w:pPr>
              <w:jc w:val="right"/>
              <w:rPr>
                <w:snapToGrid w:val="0"/>
              </w:rPr>
            </w:pPr>
          </w:p>
        </w:tc>
        <w:tc>
          <w:tcPr>
            <w:tcW w:w="1208" w:type="dxa"/>
          </w:tcPr>
          <w:p w14:paraId="3D9EA1F8" w14:textId="77777777" w:rsidR="007F32E9" w:rsidRPr="00C03241" w:rsidRDefault="007F32E9" w:rsidP="002730CA">
            <w:pPr>
              <w:jc w:val="right"/>
              <w:rPr>
                <w:snapToGrid w:val="0"/>
              </w:rPr>
            </w:pPr>
          </w:p>
        </w:tc>
        <w:tc>
          <w:tcPr>
            <w:tcW w:w="1208" w:type="dxa"/>
          </w:tcPr>
          <w:p w14:paraId="09B8697C" w14:textId="77777777" w:rsidR="007F32E9" w:rsidRPr="00C03241" w:rsidRDefault="007F32E9" w:rsidP="002730CA">
            <w:pPr>
              <w:jc w:val="right"/>
              <w:rPr>
                <w:snapToGrid w:val="0"/>
              </w:rPr>
            </w:pPr>
          </w:p>
        </w:tc>
        <w:tc>
          <w:tcPr>
            <w:tcW w:w="1208" w:type="dxa"/>
          </w:tcPr>
          <w:p w14:paraId="02B381FB" w14:textId="77777777" w:rsidR="007F32E9" w:rsidRPr="00C03241" w:rsidRDefault="007F32E9" w:rsidP="002730CA">
            <w:pPr>
              <w:tabs>
                <w:tab w:val="left" w:pos="150"/>
                <w:tab w:val="decimal" w:pos="960"/>
              </w:tabs>
              <w:rPr>
                <w:snapToGrid w:val="0"/>
              </w:rPr>
            </w:pPr>
            <w:r w:rsidRPr="00C03241">
              <w:rPr>
                <w:snapToGrid w:val="0"/>
              </w:rPr>
              <w:tab/>
            </w:r>
            <w:r w:rsidRPr="00C03241">
              <w:rPr>
                <w:snapToGrid w:val="0"/>
              </w:rPr>
              <w:tab/>
            </w:r>
            <w:r>
              <w:rPr>
                <w:snapToGrid w:val="0"/>
              </w:rPr>
              <w:t>4,178,700</w:t>
            </w:r>
          </w:p>
        </w:tc>
        <w:tc>
          <w:tcPr>
            <w:tcW w:w="1208" w:type="dxa"/>
          </w:tcPr>
          <w:p w14:paraId="3B8E3C0C" w14:textId="77777777" w:rsidR="007F32E9" w:rsidRPr="00C03241" w:rsidRDefault="007F32E9" w:rsidP="002730CA">
            <w:pPr>
              <w:tabs>
                <w:tab w:val="left" w:pos="165"/>
                <w:tab w:val="decimal" w:pos="1005"/>
              </w:tabs>
              <w:rPr>
                <w:snapToGrid w:val="0"/>
              </w:rPr>
            </w:pPr>
            <w:r w:rsidRPr="00C03241">
              <w:rPr>
                <w:snapToGrid w:val="0"/>
              </w:rPr>
              <w:tab/>
            </w:r>
            <w:r w:rsidRPr="00C03241">
              <w:rPr>
                <w:snapToGrid w:val="0"/>
              </w:rPr>
              <w:tab/>
            </w:r>
            <w:r>
              <w:rPr>
                <w:snapToGrid w:val="0"/>
              </w:rPr>
              <w:t>1,977,152</w:t>
            </w:r>
          </w:p>
        </w:tc>
      </w:tr>
    </w:tbl>
    <w:p w14:paraId="2312AD94" w14:textId="77777777" w:rsidR="007F32E9" w:rsidRPr="00C03241" w:rsidRDefault="007F32E9" w:rsidP="007F32E9">
      <w:pPr>
        <w:jc w:val="both"/>
      </w:pPr>
    </w:p>
    <w:p w14:paraId="1E99C722" w14:textId="77777777" w:rsidR="007F32E9" w:rsidRPr="00C03241" w:rsidRDefault="007F32E9" w:rsidP="007F32E9">
      <w:pPr>
        <w:jc w:val="both"/>
      </w:pPr>
    </w:p>
    <w:p w14:paraId="2B519A86" w14:textId="0EFDD61B" w:rsidR="004B3179" w:rsidRPr="008D7E3A" w:rsidRDefault="004B3179" w:rsidP="008D7E3A"/>
    <w:sectPr w:rsidR="004B3179" w:rsidRPr="008D7E3A" w:rsidSect="007F32E9">
      <w:headerReference w:type="first" r:id="rId23"/>
      <w:footerReference w:type="first" r:id="rId24"/>
      <w:pgSz w:w="12240" w:h="15840" w:code="1"/>
      <w:pgMar w:top="1440" w:right="1296" w:bottom="1008" w:left="1296" w:header="547" w:footer="70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EA9E4" w14:textId="77777777" w:rsidR="003A30B2" w:rsidRDefault="003A30B2" w:rsidP="004422FB">
      <w:r>
        <w:separator/>
      </w:r>
    </w:p>
  </w:endnote>
  <w:endnote w:type="continuationSeparator" w:id="0">
    <w:p w14:paraId="61777CC2" w14:textId="77777777" w:rsidR="003A30B2" w:rsidRDefault="003A30B2"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7448" w14:textId="77777777" w:rsidR="002F020C" w:rsidRDefault="002F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4C0C3" w14:textId="77777777" w:rsidR="002F020C" w:rsidRDefault="002F02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FB2DD" w14:textId="77777777" w:rsidR="007F32E9" w:rsidRPr="00AA6838" w:rsidRDefault="007F32E9" w:rsidP="00AA6838">
    <w:pPr>
      <w:pStyle w:val="Footer"/>
      <w:jc w:val="center"/>
      <w:rPr>
        <w:b/>
      </w:rPr>
    </w:pPr>
    <w:r>
      <w:rPr>
        <w:b/>
      </w:rPr>
      <w:t>MORE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95554" w14:textId="77777777" w:rsidR="007F32E9" w:rsidRPr="00AA6838" w:rsidRDefault="007F32E9" w:rsidP="00AA6838">
    <w:pPr>
      <w:pStyle w:val="Footer"/>
      <w:jc w:val="center"/>
      <w:rPr>
        <w:b/>
      </w:rPr>
    </w:pPr>
    <w:r>
      <w:rPr>
        <w:b/>
      </w:rPr>
      <w:t>MORE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9558B" w14:textId="77777777" w:rsidR="007F32E9" w:rsidRDefault="007F32E9" w:rsidP="00472920">
    <w:pPr>
      <w:pStyle w:val="Footer"/>
      <w:jc w:val="center"/>
      <w:rPr>
        <w:b/>
      </w:rPr>
    </w:pP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6860A" w14:textId="77777777" w:rsidR="003A30B2" w:rsidRDefault="003A30B2" w:rsidP="004422FB">
      <w:r>
        <w:separator/>
      </w:r>
    </w:p>
  </w:footnote>
  <w:footnote w:type="continuationSeparator" w:id="0">
    <w:p w14:paraId="6ECA29AD" w14:textId="77777777" w:rsidR="003A30B2" w:rsidRDefault="003A30B2"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32558" w14:textId="77777777" w:rsidR="002F020C" w:rsidRDefault="002F0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5FF51" w14:textId="77777777" w:rsidR="002F020C" w:rsidRDefault="002F0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A308" w14:textId="77777777" w:rsidR="002F020C" w:rsidRDefault="002F0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9AA6" w14:textId="77777777" w:rsidR="007F32E9" w:rsidRDefault="007F32E9">
    <w:pPr>
      <w:pStyle w:val="Header"/>
    </w:pPr>
    <w:r w:rsidRPr="004F39CB">
      <w:rPr>
        <w:noProof/>
      </w:rPr>
      <w:drawing>
        <wp:inline distT="0" distB="0" distL="0" distR="0" wp14:anchorId="0415980D" wp14:editId="4B76E23F">
          <wp:extent cx="1892878" cy="501875"/>
          <wp:effectExtent l="19050" t="0" r="0" b="0"/>
          <wp:docPr id="4"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25538" w14:textId="77777777" w:rsidR="007F32E9" w:rsidRPr="00472920" w:rsidRDefault="007F32E9" w:rsidP="0047292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B312F"/>
    <w:multiLevelType w:val="hybridMultilevel"/>
    <w:tmpl w:val="85A6953C"/>
    <w:lvl w:ilvl="0" w:tplc="D3F026D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977875">
    <w:abstractNumId w:val="1"/>
  </w:num>
  <w:num w:numId="2" w16cid:durableId="1845196331">
    <w:abstractNumId w:val="2"/>
  </w:num>
  <w:num w:numId="3" w16cid:durableId="160919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520F7"/>
    <w:rsid w:val="000871C8"/>
    <w:rsid w:val="00087359"/>
    <w:rsid w:val="00096511"/>
    <w:rsid w:val="000E6508"/>
    <w:rsid w:val="00134BBC"/>
    <w:rsid w:val="00144D4F"/>
    <w:rsid w:val="00153CF3"/>
    <w:rsid w:val="00172B54"/>
    <w:rsid w:val="001800F5"/>
    <w:rsid w:val="00186A50"/>
    <w:rsid w:val="001A687F"/>
    <w:rsid w:val="001D3520"/>
    <w:rsid w:val="002049D0"/>
    <w:rsid w:val="00220B1A"/>
    <w:rsid w:val="00220F69"/>
    <w:rsid w:val="00241DEF"/>
    <w:rsid w:val="00246139"/>
    <w:rsid w:val="00251615"/>
    <w:rsid w:val="00277674"/>
    <w:rsid w:val="00296BF7"/>
    <w:rsid w:val="002E7A44"/>
    <w:rsid w:val="002F020C"/>
    <w:rsid w:val="002F47BC"/>
    <w:rsid w:val="00304DE8"/>
    <w:rsid w:val="0036369E"/>
    <w:rsid w:val="003643C1"/>
    <w:rsid w:val="00376DEC"/>
    <w:rsid w:val="0038612B"/>
    <w:rsid w:val="003A30B2"/>
    <w:rsid w:val="003A4BB3"/>
    <w:rsid w:val="003B3474"/>
    <w:rsid w:val="003B670F"/>
    <w:rsid w:val="003F3DEB"/>
    <w:rsid w:val="00401F33"/>
    <w:rsid w:val="00404B0F"/>
    <w:rsid w:val="00414E31"/>
    <w:rsid w:val="004422FB"/>
    <w:rsid w:val="004433D8"/>
    <w:rsid w:val="00451802"/>
    <w:rsid w:val="004562CE"/>
    <w:rsid w:val="004641B9"/>
    <w:rsid w:val="00494777"/>
    <w:rsid w:val="004B3179"/>
    <w:rsid w:val="004C2859"/>
    <w:rsid w:val="004D4E0A"/>
    <w:rsid w:val="004F383B"/>
    <w:rsid w:val="00516CAC"/>
    <w:rsid w:val="00552D47"/>
    <w:rsid w:val="00583D37"/>
    <w:rsid w:val="005A1F60"/>
    <w:rsid w:val="005A5B22"/>
    <w:rsid w:val="006131D7"/>
    <w:rsid w:val="00652DCC"/>
    <w:rsid w:val="00677F25"/>
    <w:rsid w:val="00691E45"/>
    <w:rsid w:val="006959EC"/>
    <w:rsid w:val="006A30B4"/>
    <w:rsid w:val="006B4011"/>
    <w:rsid w:val="006C4831"/>
    <w:rsid w:val="006E7AA3"/>
    <w:rsid w:val="007150B5"/>
    <w:rsid w:val="00716A75"/>
    <w:rsid w:val="00734084"/>
    <w:rsid w:val="00766EB9"/>
    <w:rsid w:val="0079268C"/>
    <w:rsid w:val="007B1C14"/>
    <w:rsid w:val="007B5113"/>
    <w:rsid w:val="007C095B"/>
    <w:rsid w:val="007E3D57"/>
    <w:rsid w:val="007F32E9"/>
    <w:rsid w:val="00833F99"/>
    <w:rsid w:val="00846F5B"/>
    <w:rsid w:val="00851166"/>
    <w:rsid w:val="0089446A"/>
    <w:rsid w:val="008A3A73"/>
    <w:rsid w:val="008A45B8"/>
    <w:rsid w:val="008A5F28"/>
    <w:rsid w:val="008B7616"/>
    <w:rsid w:val="008D7E3A"/>
    <w:rsid w:val="008E4E77"/>
    <w:rsid w:val="00903941"/>
    <w:rsid w:val="00922B4A"/>
    <w:rsid w:val="00922FCF"/>
    <w:rsid w:val="0095070C"/>
    <w:rsid w:val="00995863"/>
    <w:rsid w:val="009B15B2"/>
    <w:rsid w:val="009F16FD"/>
    <w:rsid w:val="009F32C7"/>
    <w:rsid w:val="009F7B30"/>
    <w:rsid w:val="00A213F5"/>
    <w:rsid w:val="00A30573"/>
    <w:rsid w:val="00A345F7"/>
    <w:rsid w:val="00A7343F"/>
    <w:rsid w:val="00A7489D"/>
    <w:rsid w:val="00A7711D"/>
    <w:rsid w:val="00AA2DDC"/>
    <w:rsid w:val="00AA3D35"/>
    <w:rsid w:val="00AC4D41"/>
    <w:rsid w:val="00B02C57"/>
    <w:rsid w:val="00B2632B"/>
    <w:rsid w:val="00B44E7B"/>
    <w:rsid w:val="00B4616E"/>
    <w:rsid w:val="00B4673C"/>
    <w:rsid w:val="00B51502"/>
    <w:rsid w:val="00B61191"/>
    <w:rsid w:val="00B66B45"/>
    <w:rsid w:val="00BB7014"/>
    <w:rsid w:val="00BC0F2B"/>
    <w:rsid w:val="00BC6263"/>
    <w:rsid w:val="00BC6551"/>
    <w:rsid w:val="00BD027C"/>
    <w:rsid w:val="00BF415F"/>
    <w:rsid w:val="00C36B57"/>
    <w:rsid w:val="00C528BC"/>
    <w:rsid w:val="00C53991"/>
    <w:rsid w:val="00C77462"/>
    <w:rsid w:val="00C815CE"/>
    <w:rsid w:val="00C936D4"/>
    <w:rsid w:val="00CB1EAA"/>
    <w:rsid w:val="00CB3D5C"/>
    <w:rsid w:val="00CB74B0"/>
    <w:rsid w:val="00CC52F4"/>
    <w:rsid w:val="00CD55C2"/>
    <w:rsid w:val="00CE3919"/>
    <w:rsid w:val="00CE3B4D"/>
    <w:rsid w:val="00D03053"/>
    <w:rsid w:val="00D128D7"/>
    <w:rsid w:val="00D17971"/>
    <w:rsid w:val="00D46FAD"/>
    <w:rsid w:val="00D60567"/>
    <w:rsid w:val="00D74319"/>
    <w:rsid w:val="00D95C48"/>
    <w:rsid w:val="00DE728B"/>
    <w:rsid w:val="00E115D3"/>
    <w:rsid w:val="00E633E7"/>
    <w:rsid w:val="00EB5CF9"/>
    <w:rsid w:val="00EC3F8A"/>
    <w:rsid w:val="00F073F4"/>
    <w:rsid w:val="00F100FC"/>
    <w:rsid w:val="00F13A9C"/>
    <w:rsid w:val="00F228DB"/>
    <w:rsid w:val="00F27385"/>
    <w:rsid w:val="00F404C4"/>
    <w:rsid w:val="00F470EC"/>
    <w:rsid w:val="00F53643"/>
    <w:rsid w:val="00F65C64"/>
    <w:rsid w:val="00F737D0"/>
    <w:rsid w:val="00F958BB"/>
    <w:rsid w:val="00FD1599"/>
    <w:rsid w:val="00FD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995863"/>
    <w:rPr>
      <w:sz w:val="24"/>
      <w:szCs w:val="24"/>
    </w:rPr>
  </w:style>
  <w:style w:type="character" w:styleId="UnresolvedMention">
    <w:name w:val="Unresolved Mention"/>
    <w:basedOn w:val="DefaultParagraphFont"/>
    <w:uiPriority w:val="99"/>
    <w:semiHidden/>
    <w:unhideWhenUsed/>
    <w:rsid w:val="0018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ustin.murtagh@precisionaq.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geovax.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geovax.com"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sr@roberts-communication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dge.media-server.com/mmc/p/qj3e68n8" TargetMode="External"/><Relationship Id="rId22"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2</cp:revision>
  <cp:lastPrinted>2022-05-03T12:55:00Z</cp:lastPrinted>
  <dcterms:created xsi:type="dcterms:W3CDTF">2024-08-07T19:45:00Z</dcterms:created>
  <dcterms:modified xsi:type="dcterms:W3CDTF">2024-08-07T19:45:00Z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