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035ABA"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5AC23BEF" w:rsidR="008D7E3A" w:rsidRDefault="008D7E3A" w:rsidP="008D7E3A">
      <w:pPr>
        <w:ind w:left="144" w:right="144"/>
        <w:jc w:val="center"/>
        <w:rPr>
          <w:sz w:val="20"/>
          <w:szCs w:val="20"/>
        </w:rPr>
      </w:pPr>
      <w:r>
        <w:rPr>
          <w:b/>
          <w:bCs/>
          <w:sz w:val="20"/>
          <w:szCs w:val="20"/>
        </w:rPr>
        <w:t>Date of report (Date of earliest event reported)</w:t>
      </w:r>
      <w:proofErr w:type="gramStart"/>
      <w:r>
        <w:rPr>
          <w:b/>
          <w:bCs/>
          <w:sz w:val="20"/>
          <w:szCs w:val="20"/>
        </w:rPr>
        <w:t>:  </w:t>
      </w:r>
      <w:r w:rsidR="005B1E76">
        <w:rPr>
          <w:b/>
          <w:bCs/>
          <w:sz w:val="20"/>
          <w:szCs w:val="20"/>
        </w:rPr>
        <w:t>November</w:t>
      </w:r>
      <w:proofErr w:type="gramEnd"/>
      <w:r w:rsidR="004D4E0A">
        <w:rPr>
          <w:b/>
          <w:bCs/>
          <w:sz w:val="20"/>
          <w:szCs w:val="20"/>
        </w:rPr>
        <w:t xml:space="preserve"> </w:t>
      </w:r>
      <w:r w:rsidR="005B1E76">
        <w:rPr>
          <w:b/>
          <w:bCs/>
          <w:sz w:val="20"/>
          <w:szCs w:val="20"/>
        </w:rPr>
        <w:t>12</w:t>
      </w:r>
      <w:r>
        <w:rPr>
          <w:b/>
          <w:bCs/>
          <w:sz w:val="20"/>
          <w:szCs w:val="20"/>
        </w:rPr>
        <w:t>, 202</w:t>
      </w:r>
      <w:r w:rsidR="005A5B22">
        <w:rPr>
          <w:b/>
          <w:bCs/>
          <w:sz w:val="20"/>
          <w:szCs w:val="20"/>
        </w:rPr>
        <w:t>4</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035ABA"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06EB8D1A" w14:textId="68ACC2AE" w:rsidR="003F3DEB" w:rsidRPr="003F3DEB" w:rsidRDefault="008D7E3A" w:rsidP="003F3DEB">
      <w:pPr>
        <w:ind w:left="144" w:right="144"/>
        <w:rPr>
          <w:sz w:val="20"/>
          <w:szCs w:val="20"/>
        </w:rPr>
      </w:pPr>
      <w:r>
        <w:rPr>
          <w:sz w:val="20"/>
          <w:szCs w:val="20"/>
        </w:rPr>
        <w:br w:type="page"/>
      </w:r>
      <w:r w:rsidR="003F3DEB" w:rsidRPr="00C36B57">
        <w:rPr>
          <w:b/>
          <w:sz w:val="20"/>
          <w:szCs w:val="20"/>
        </w:rPr>
        <w:lastRenderedPageBreak/>
        <w:t>Forward-Looking Statements</w:t>
      </w:r>
    </w:p>
    <w:p w14:paraId="1590C75C" w14:textId="77777777" w:rsidR="003F3DEB" w:rsidRDefault="003F3DEB" w:rsidP="003F3DEB">
      <w:pPr>
        <w:ind w:left="144" w:right="144"/>
        <w:jc w:val="both"/>
        <w:rPr>
          <w:sz w:val="20"/>
          <w:szCs w:val="20"/>
        </w:rPr>
      </w:pPr>
    </w:p>
    <w:p w14:paraId="357A8194" w14:textId="2CC25E54" w:rsidR="003F3DEB" w:rsidRDefault="003F3DEB" w:rsidP="005F417E">
      <w:pPr>
        <w:ind w:left="144" w:right="144"/>
        <w:jc w:val="both"/>
        <w:rPr>
          <w:sz w:val="20"/>
          <w:szCs w:val="20"/>
        </w:rPr>
      </w:pPr>
      <w:r>
        <w:rPr>
          <w:sz w:val="20"/>
          <w:szCs w:val="20"/>
        </w:rPr>
        <w:t>This Current Report on Form 8-K and other reports filed by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4C7EA2DE" w14:textId="40984A59" w:rsidR="003F3DEB" w:rsidRDefault="003F3DEB" w:rsidP="003F3DEB">
      <w:pPr>
        <w:ind w:left="144" w:right="144"/>
        <w:rPr>
          <w:sz w:val="20"/>
          <w:szCs w:val="20"/>
        </w:rPr>
      </w:pPr>
    </w:p>
    <w:p w14:paraId="74A5F13B" w14:textId="05A52D2A" w:rsidR="005F417E" w:rsidRPr="005F417E" w:rsidRDefault="005F417E" w:rsidP="005F417E">
      <w:pPr>
        <w:pBdr>
          <w:left w:val="none" w:sz="0" w:space="7" w:color="auto"/>
          <w:right w:val="none" w:sz="0" w:space="7" w:color="auto"/>
        </w:pBdr>
        <w:ind w:left="180" w:right="144"/>
        <w:jc w:val="both"/>
        <w:rPr>
          <w:sz w:val="20"/>
          <w:szCs w:val="20"/>
        </w:rPr>
      </w:pPr>
      <w:r w:rsidRPr="005F417E">
        <w:rPr>
          <w:b/>
          <w:bCs/>
          <w:sz w:val="20"/>
          <w:szCs w:val="20"/>
        </w:rPr>
        <w:t xml:space="preserve">Item </w:t>
      </w:r>
      <w:r>
        <w:rPr>
          <w:b/>
          <w:bCs/>
          <w:sz w:val="20"/>
          <w:szCs w:val="20"/>
        </w:rPr>
        <w:t>2.02</w:t>
      </w:r>
      <w:r w:rsidRPr="005F417E">
        <w:rPr>
          <w:b/>
          <w:bCs/>
          <w:sz w:val="20"/>
          <w:szCs w:val="20"/>
        </w:rPr>
        <w:tab/>
      </w:r>
      <w:r>
        <w:rPr>
          <w:b/>
          <w:bCs/>
          <w:sz w:val="20"/>
          <w:szCs w:val="20"/>
        </w:rPr>
        <w:t>Results of Operations and Financial Condition</w:t>
      </w:r>
      <w:r w:rsidRPr="005F417E">
        <w:rPr>
          <w:b/>
          <w:bCs/>
          <w:sz w:val="20"/>
          <w:szCs w:val="20"/>
        </w:rPr>
        <w:t>.</w:t>
      </w:r>
    </w:p>
    <w:p w14:paraId="310DE021" w14:textId="77777777" w:rsidR="005F417E" w:rsidRDefault="005F417E" w:rsidP="003F3DEB">
      <w:pPr>
        <w:ind w:left="144" w:right="144"/>
        <w:rPr>
          <w:sz w:val="20"/>
          <w:szCs w:val="20"/>
        </w:rPr>
      </w:pPr>
    </w:p>
    <w:p w14:paraId="313AF3C5" w14:textId="2D8BFBB7" w:rsidR="003F3DEB" w:rsidRDefault="003F3DEB" w:rsidP="003F3DEB">
      <w:pPr>
        <w:ind w:left="144" w:right="144"/>
        <w:jc w:val="both"/>
        <w:rPr>
          <w:sz w:val="20"/>
          <w:szCs w:val="20"/>
        </w:rPr>
      </w:pPr>
      <w:r>
        <w:rPr>
          <w:bCs/>
          <w:sz w:val="20"/>
          <w:szCs w:val="20"/>
        </w:rPr>
        <w:t xml:space="preserve">On </w:t>
      </w:r>
      <w:r w:rsidR="005B1E76">
        <w:rPr>
          <w:bCs/>
          <w:sz w:val="20"/>
          <w:szCs w:val="20"/>
        </w:rPr>
        <w:t>November</w:t>
      </w:r>
      <w:r>
        <w:rPr>
          <w:bCs/>
          <w:sz w:val="20"/>
          <w:szCs w:val="20"/>
        </w:rPr>
        <w:t xml:space="preserve"> </w:t>
      </w:r>
      <w:r w:rsidR="005B1E76">
        <w:rPr>
          <w:bCs/>
          <w:sz w:val="20"/>
          <w:szCs w:val="20"/>
        </w:rPr>
        <w:t>12</w:t>
      </w:r>
      <w:r>
        <w:rPr>
          <w:bCs/>
          <w:sz w:val="20"/>
          <w:szCs w:val="20"/>
        </w:rPr>
        <w:t>, 202</w:t>
      </w:r>
      <w:r w:rsidR="005A5B22">
        <w:rPr>
          <w:bCs/>
          <w:sz w:val="20"/>
          <w:szCs w:val="20"/>
        </w:rPr>
        <w:t>4</w:t>
      </w:r>
      <w:r>
        <w:rPr>
          <w:bCs/>
          <w:sz w:val="20"/>
          <w:szCs w:val="20"/>
        </w:rPr>
        <w:t xml:space="preserve">, </w:t>
      </w:r>
      <w:r w:rsidR="00EC3F8A">
        <w:rPr>
          <w:bCs/>
          <w:sz w:val="20"/>
          <w:szCs w:val="20"/>
        </w:rPr>
        <w:t xml:space="preserve">GeoVax Labs, Inc. (the “Company”) </w:t>
      </w:r>
      <w:r>
        <w:rPr>
          <w:bCs/>
          <w:sz w:val="20"/>
          <w:szCs w:val="20"/>
        </w:rPr>
        <w:t xml:space="preserve">issued a press release reporting </w:t>
      </w:r>
      <w:r w:rsidR="00EC3F8A">
        <w:rPr>
          <w:bCs/>
          <w:sz w:val="20"/>
          <w:szCs w:val="20"/>
        </w:rPr>
        <w:t xml:space="preserve">its </w:t>
      </w:r>
      <w:r>
        <w:rPr>
          <w:bCs/>
          <w:sz w:val="20"/>
          <w:szCs w:val="20"/>
        </w:rPr>
        <w:t xml:space="preserve">results of operations for the </w:t>
      </w:r>
      <w:r w:rsidR="00516CAC">
        <w:rPr>
          <w:bCs/>
          <w:sz w:val="20"/>
          <w:szCs w:val="20"/>
        </w:rPr>
        <w:t>quarter</w:t>
      </w:r>
      <w:r>
        <w:rPr>
          <w:bCs/>
          <w:sz w:val="20"/>
          <w:szCs w:val="20"/>
        </w:rPr>
        <w:t xml:space="preserve"> ended </w:t>
      </w:r>
      <w:r w:rsidR="005B1E76">
        <w:rPr>
          <w:bCs/>
          <w:sz w:val="20"/>
          <w:szCs w:val="20"/>
        </w:rPr>
        <w:t>September</w:t>
      </w:r>
      <w:r w:rsidR="00F470EC">
        <w:rPr>
          <w:bCs/>
          <w:sz w:val="20"/>
          <w:szCs w:val="20"/>
        </w:rPr>
        <w:t xml:space="preserve"> 3</w:t>
      </w:r>
      <w:r w:rsidR="00BD027C">
        <w:rPr>
          <w:bCs/>
          <w:sz w:val="20"/>
          <w:szCs w:val="20"/>
        </w:rPr>
        <w:t>0</w:t>
      </w:r>
      <w:r w:rsidR="005A5B22">
        <w:rPr>
          <w:bCs/>
          <w:sz w:val="20"/>
          <w:szCs w:val="20"/>
        </w:rPr>
        <w:t>,</w:t>
      </w:r>
      <w:r>
        <w:rPr>
          <w:bCs/>
          <w:sz w:val="20"/>
          <w:szCs w:val="20"/>
        </w:rPr>
        <w:t xml:space="preserve"> 202</w:t>
      </w:r>
      <w:r w:rsidR="005A5B22">
        <w:rPr>
          <w:bCs/>
          <w:sz w:val="20"/>
          <w:szCs w:val="20"/>
        </w:rPr>
        <w:t>4</w:t>
      </w:r>
      <w:r>
        <w:rPr>
          <w:bCs/>
          <w:sz w:val="20"/>
          <w:szCs w:val="20"/>
        </w:rPr>
        <w:t>.</w:t>
      </w:r>
      <w:r>
        <w:rPr>
          <w:sz w:val="20"/>
          <w:szCs w:val="20"/>
        </w:rPr>
        <w:t xml:space="preserve"> A copy of the press release is attached as Exhibit 99.</w:t>
      </w:r>
      <w:r w:rsidR="00EC3F8A">
        <w:rPr>
          <w:sz w:val="20"/>
          <w:szCs w:val="20"/>
        </w:rPr>
        <w:t>1</w:t>
      </w:r>
      <w:r>
        <w:rPr>
          <w:sz w:val="20"/>
          <w:szCs w:val="20"/>
        </w:rPr>
        <w:t xml:space="preserve"> to this Current Report on Form 8-K</w:t>
      </w:r>
      <w:r>
        <w:rPr>
          <w:bCs/>
          <w:sz w:val="20"/>
          <w:szCs w:val="20"/>
        </w:rPr>
        <w:t>.</w:t>
      </w:r>
      <w:r>
        <w:rPr>
          <w:sz w:val="20"/>
          <w:szCs w:val="20"/>
        </w:rPr>
        <w:t xml:space="preserve"> </w:t>
      </w:r>
    </w:p>
    <w:p w14:paraId="1C41C417" w14:textId="77777777" w:rsidR="00F404C4" w:rsidRDefault="00F404C4" w:rsidP="00C36B57">
      <w:pPr>
        <w:ind w:right="144"/>
        <w:rPr>
          <w:sz w:val="20"/>
          <w:szCs w:val="20"/>
        </w:rPr>
      </w:pPr>
    </w:p>
    <w:p w14:paraId="1E073666" w14:textId="77777777" w:rsidR="005F417E" w:rsidRPr="005F417E" w:rsidRDefault="005F417E" w:rsidP="005F417E">
      <w:pPr>
        <w:pBdr>
          <w:left w:val="none" w:sz="0" w:space="7" w:color="auto"/>
          <w:right w:val="none" w:sz="0" w:space="7" w:color="auto"/>
        </w:pBdr>
        <w:ind w:left="180" w:right="144"/>
        <w:jc w:val="both"/>
        <w:rPr>
          <w:sz w:val="20"/>
          <w:szCs w:val="20"/>
        </w:rPr>
      </w:pPr>
      <w:r w:rsidRPr="005F417E">
        <w:rPr>
          <w:b/>
          <w:bCs/>
          <w:sz w:val="20"/>
          <w:szCs w:val="20"/>
        </w:rPr>
        <w:t>Item 8.01 </w:t>
      </w:r>
      <w:r w:rsidRPr="005F417E">
        <w:rPr>
          <w:b/>
          <w:bCs/>
          <w:sz w:val="20"/>
          <w:szCs w:val="20"/>
        </w:rPr>
        <w:tab/>
        <w:t>Other Events.</w:t>
      </w:r>
    </w:p>
    <w:p w14:paraId="15BEA805" w14:textId="77777777" w:rsidR="005F417E" w:rsidRPr="005F417E" w:rsidRDefault="005F417E" w:rsidP="005F417E">
      <w:pPr>
        <w:pBdr>
          <w:left w:val="none" w:sz="0" w:space="7" w:color="auto"/>
          <w:right w:val="none" w:sz="0" w:space="7" w:color="auto"/>
        </w:pBdr>
        <w:ind w:left="180" w:right="144"/>
        <w:jc w:val="both"/>
        <w:rPr>
          <w:sz w:val="20"/>
          <w:szCs w:val="20"/>
        </w:rPr>
      </w:pPr>
      <w:r w:rsidRPr="005F417E">
        <w:rPr>
          <w:sz w:val="20"/>
          <w:szCs w:val="20"/>
        </w:rPr>
        <w:t> </w:t>
      </w:r>
    </w:p>
    <w:p w14:paraId="4E408DCD" w14:textId="7B5FBE9A" w:rsidR="005F417E" w:rsidRPr="005F417E" w:rsidRDefault="005F417E" w:rsidP="005F417E">
      <w:pPr>
        <w:pBdr>
          <w:left w:val="none" w:sz="0" w:space="7" w:color="auto"/>
          <w:right w:val="none" w:sz="0" w:space="7" w:color="auto"/>
        </w:pBdr>
        <w:ind w:left="180" w:right="144"/>
        <w:jc w:val="both"/>
        <w:rPr>
          <w:bCs/>
          <w:sz w:val="20"/>
          <w:szCs w:val="20"/>
        </w:rPr>
      </w:pPr>
      <w:r w:rsidRPr="005F417E">
        <w:rPr>
          <w:sz w:val="20"/>
          <w:szCs w:val="20"/>
        </w:rPr>
        <w:t xml:space="preserve">The Company re-convened a Special Meeting of Stockholders (the “Special Meeting”) on </w:t>
      </w:r>
      <w:r>
        <w:rPr>
          <w:sz w:val="20"/>
          <w:szCs w:val="20"/>
        </w:rPr>
        <w:t>November</w:t>
      </w:r>
      <w:r w:rsidRPr="005F417E">
        <w:rPr>
          <w:sz w:val="20"/>
          <w:szCs w:val="20"/>
        </w:rPr>
        <w:t xml:space="preserve"> 1</w:t>
      </w:r>
      <w:r>
        <w:rPr>
          <w:sz w:val="20"/>
          <w:szCs w:val="20"/>
        </w:rPr>
        <w:t>2</w:t>
      </w:r>
      <w:r w:rsidRPr="005F417E">
        <w:rPr>
          <w:sz w:val="20"/>
          <w:szCs w:val="20"/>
        </w:rPr>
        <w:t xml:space="preserve">, 2024 (originally convened on September 17, 2024) and </w:t>
      </w:r>
      <w:r w:rsidRPr="005F417E">
        <w:rPr>
          <w:bCs/>
          <w:sz w:val="20"/>
          <w:szCs w:val="20"/>
        </w:rPr>
        <w:t xml:space="preserve">adjourned the Special Meeting without any business being conducted due to lack of the required quorum.  The Company has determined to keep the polls open and reconvene the Special Meeting on </w:t>
      </w:r>
      <w:r>
        <w:rPr>
          <w:bCs/>
          <w:sz w:val="20"/>
          <w:szCs w:val="20"/>
        </w:rPr>
        <w:t>December</w:t>
      </w:r>
      <w:r w:rsidR="004137F1">
        <w:rPr>
          <w:bCs/>
          <w:sz w:val="20"/>
          <w:szCs w:val="20"/>
        </w:rPr>
        <w:t xml:space="preserve"> 18</w:t>
      </w:r>
      <w:r w:rsidRPr="005F417E">
        <w:rPr>
          <w:bCs/>
          <w:sz w:val="20"/>
          <w:szCs w:val="20"/>
        </w:rPr>
        <w:t xml:space="preserve">, 2024 at 8:30 a.m. Eastern Time to provide its </w:t>
      </w:r>
      <w:proofErr w:type="gramStart"/>
      <w:r w:rsidRPr="005F417E">
        <w:rPr>
          <w:bCs/>
          <w:sz w:val="20"/>
          <w:szCs w:val="20"/>
        </w:rPr>
        <w:t>stockholders</w:t>
      </w:r>
      <w:proofErr w:type="gramEnd"/>
      <w:r w:rsidRPr="005F417E">
        <w:rPr>
          <w:bCs/>
          <w:sz w:val="20"/>
          <w:szCs w:val="20"/>
        </w:rPr>
        <w:t xml:space="preserve"> additional time to vote on the proposals described in the proxy statement filed with the Securities and Exchange Commission on August 1, 2024. No changes have been made to the proposals to be voted on by stockholders at the Special Meeting.</w:t>
      </w:r>
    </w:p>
    <w:p w14:paraId="1D8CBDFA" w14:textId="77777777" w:rsidR="005F417E" w:rsidRPr="005F417E" w:rsidRDefault="005F417E" w:rsidP="005F417E">
      <w:pPr>
        <w:pBdr>
          <w:left w:val="none" w:sz="0" w:space="7" w:color="auto"/>
          <w:right w:val="none" w:sz="0" w:space="7" w:color="auto"/>
        </w:pBdr>
        <w:ind w:left="180" w:right="144"/>
        <w:jc w:val="both"/>
        <w:rPr>
          <w:sz w:val="20"/>
          <w:szCs w:val="20"/>
        </w:rPr>
      </w:pPr>
    </w:p>
    <w:p w14:paraId="3B60E4C1" w14:textId="372DDE5D" w:rsidR="005F417E" w:rsidRPr="005F417E" w:rsidRDefault="005F417E" w:rsidP="005F417E">
      <w:pPr>
        <w:pBdr>
          <w:left w:val="none" w:sz="0" w:space="7" w:color="auto"/>
          <w:right w:val="none" w:sz="0" w:space="7" w:color="auto"/>
        </w:pBdr>
        <w:ind w:left="180" w:right="144"/>
        <w:jc w:val="both"/>
        <w:rPr>
          <w:sz w:val="20"/>
          <w:szCs w:val="20"/>
        </w:rPr>
      </w:pPr>
      <w:r w:rsidRPr="005F417E">
        <w:rPr>
          <w:bCs/>
          <w:sz w:val="20"/>
          <w:szCs w:val="20"/>
        </w:rPr>
        <w:t xml:space="preserve">At the time the Special Meeting was adjourned, proxies had been submitted by stockholders representing approximately </w:t>
      </w:r>
      <w:r w:rsidR="00044315">
        <w:rPr>
          <w:bCs/>
          <w:sz w:val="20"/>
          <w:szCs w:val="20"/>
        </w:rPr>
        <w:t>30.4</w:t>
      </w:r>
      <w:r w:rsidRPr="005F417E">
        <w:rPr>
          <w:bCs/>
          <w:sz w:val="20"/>
          <w:szCs w:val="20"/>
        </w:rPr>
        <w:t>% of the shares of the Company’s common stock outstanding and entitled to vote. Proxies previously submitted in respect of the Special Meeting will be voted at the reconvened Special Meeting unless properly revoked, and stockholders who have previously submitted a proxy or otherwise voted need not take any action.</w:t>
      </w:r>
    </w:p>
    <w:p w14:paraId="413D330F" w14:textId="77777777" w:rsidR="00BB7014" w:rsidRDefault="00BB7014" w:rsidP="005F417E">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6F934415" w:rsidR="008D7E3A" w:rsidRDefault="00EC3F8A" w:rsidP="00EC3F8A">
            <w:pPr>
              <w:rPr>
                <w:sz w:val="20"/>
                <w:szCs w:val="20"/>
              </w:rPr>
            </w:pPr>
            <w:r w:rsidRPr="00B02C57">
              <w:rPr>
                <w:bCs/>
                <w:sz w:val="20"/>
                <w:szCs w:val="20"/>
              </w:rPr>
              <w:t xml:space="preserve">Press Release dated </w:t>
            </w:r>
            <w:r w:rsidR="005B1E76">
              <w:rPr>
                <w:bCs/>
                <w:sz w:val="20"/>
                <w:szCs w:val="20"/>
              </w:rPr>
              <w:t>November</w:t>
            </w:r>
            <w:r w:rsidR="00BD027C">
              <w:rPr>
                <w:bCs/>
                <w:sz w:val="20"/>
                <w:szCs w:val="20"/>
              </w:rPr>
              <w:t xml:space="preserve"> </w:t>
            </w:r>
            <w:r w:rsidR="005B1E76">
              <w:rPr>
                <w:bCs/>
                <w:sz w:val="20"/>
                <w:szCs w:val="20"/>
              </w:rPr>
              <w:t>12</w:t>
            </w:r>
            <w:r w:rsidRPr="00B02C57">
              <w:rPr>
                <w:bCs/>
                <w:sz w:val="20"/>
                <w:szCs w:val="20"/>
              </w:rPr>
              <w:t>, 202</w:t>
            </w:r>
            <w:r w:rsidR="005A5B22">
              <w:rPr>
                <w:bCs/>
                <w:sz w:val="20"/>
                <w:szCs w:val="20"/>
              </w:rPr>
              <w:t>4</w:t>
            </w:r>
          </w:p>
        </w:tc>
      </w:tr>
      <w:tr w:rsidR="00BC6263" w14:paraId="2D4C5F1F" w14:textId="77777777" w:rsidTr="008D7E3A">
        <w:tc>
          <w:tcPr>
            <w:tcW w:w="600" w:type="pct"/>
            <w:tcMar>
              <w:top w:w="5" w:type="dxa"/>
              <w:left w:w="5" w:type="dxa"/>
              <w:bottom w:w="5" w:type="dxa"/>
              <w:right w:w="5" w:type="dxa"/>
            </w:tcMar>
          </w:tcPr>
          <w:p w14:paraId="21AF7946" w14:textId="40C001CF" w:rsidR="00BC6263" w:rsidRDefault="00BC6263" w:rsidP="00BC6263">
            <w:pPr>
              <w:ind w:left="180"/>
              <w:rPr>
                <w:sz w:val="20"/>
                <w:szCs w:val="20"/>
              </w:rPr>
            </w:pPr>
            <w:r>
              <w:rPr>
                <w:sz w:val="20"/>
                <w:szCs w:val="20"/>
              </w:rPr>
              <w:t>104</w:t>
            </w:r>
          </w:p>
        </w:tc>
        <w:tc>
          <w:tcPr>
            <w:tcW w:w="4400" w:type="pct"/>
            <w:tcMar>
              <w:top w:w="5" w:type="dxa"/>
              <w:left w:w="5" w:type="dxa"/>
              <w:bottom w:w="5" w:type="dxa"/>
              <w:right w:w="5" w:type="dxa"/>
            </w:tcMar>
          </w:tcPr>
          <w:p w14:paraId="63CC3CFB" w14:textId="584ABFD9" w:rsidR="00BC6263" w:rsidRDefault="00BC6263" w:rsidP="00BC6263">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77777777"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1A1B7E49" w:rsidR="008D7E3A" w:rsidRDefault="008D7E3A" w:rsidP="008D7E3A">
      <w:pPr>
        <w:ind w:left="144" w:right="144"/>
        <w:rPr>
          <w:sz w:val="20"/>
          <w:szCs w:val="20"/>
        </w:rPr>
      </w:pPr>
      <w:r>
        <w:rPr>
          <w:sz w:val="20"/>
          <w:szCs w:val="20"/>
        </w:rPr>
        <w:t xml:space="preserve">Date: </w:t>
      </w:r>
      <w:r w:rsidR="005B1E76">
        <w:rPr>
          <w:sz w:val="20"/>
          <w:szCs w:val="20"/>
        </w:rPr>
        <w:t>November</w:t>
      </w:r>
      <w:r w:rsidR="004D4E0A">
        <w:rPr>
          <w:sz w:val="20"/>
          <w:szCs w:val="20"/>
        </w:rPr>
        <w:t xml:space="preserve"> </w:t>
      </w:r>
      <w:r w:rsidR="005B1E76">
        <w:rPr>
          <w:sz w:val="20"/>
          <w:szCs w:val="20"/>
        </w:rPr>
        <w:t>13</w:t>
      </w:r>
      <w:r>
        <w:rPr>
          <w:sz w:val="20"/>
          <w:szCs w:val="20"/>
        </w:rPr>
        <w:t>, 202</w:t>
      </w:r>
      <w:r w:rsidR="005A5B22">
        <w:rPr>
          <w:sz w:val="20"/>
          <w:szCs w:val="20"/>
        </w:rPr>
        <w:t>4</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312AB54F" w14:textId="77777777" w:rsidR="00035ABA" w:rsidRDefault="00035ABA" w:rsidP="008D7E3A">
      <w:pPr>
        <w:sectPr w:rsidR="00035ABA">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144" w:footer="432" w:gutter="0"/>
          <w:cols w:space="720"/>
        </w:sectPr>
      </w:pPr>
    </w:p>
    <w:p w14:paraId="0EED903D" w14:textId="77777777" w:rsidR="00035ABA" w:rsidRPr="00035ABA" w:rsidRDefault="00035ABA" w:rsidP="00035ABA">
      <w:pPr>
        <w:widowControl w:val="0"/>
        <w:autoSpaceDE w:val="0"/>
        <w:autoSpaceDN w:val="0"/>
        <w:adjustRightInd w:val="0"/>
        <w:rPr>
          <w:b/>
          <w:sz w:val="20"/>
          <w:szCs w:val="20"/>
        </w:rPr>
      </w:pPr>
      <w:r w:rsidRPr="00035ABA">
        <w:rPr>
          <w:b/>
          <w:noProof/>
          <w:sz w:val="20"/>
          <w:szCs w:val="20"/>
        </w:rPr>
        <w:lastRenderedPageBreak/>
        <mc:AlternateContent>
          <mc:Choice Requires="wps">
            <w:drawing>
              <wp:anchor distT="45720" distB="45720" distL="114300" distR="114300" simplePos="0" relativeHeight="251659264" behindDoc="1" locked="0" layoutInCell="1" allowOverlap="1" wp14:anchorId="2F026425" wp14:editId="09C89BEA">
                <wp:simplePos x="0" y="0"/>
                <wp:positionH relativeFrom="column">
                  <wp:posOffset>3821430</wp:posOffset>
                </wp:positionH>
                <wp:positionV relativeFrom="paragraph">
                  <wp:posOffset>-315595</wp:posOffset>
                </wp:positionV>
                <wp:extent cx="236093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DF0BBA" w14:textId="77777777" w:rsidR="00035ABA" w:rsidRPr="001D781B" w:rsidRDefault="00035ABA" w:rsidP="00035ABA">
                            <w:pPr>
                              <w:jc w:val="right"/>
                              <w:rPr>
                                <w:b/>
                                <w:bCs/>
                              </w:rPr>
                            </w:pPr>
                            <w:r w:rsidRPr="001D781B">
                              <w:rPr>
                                <w:b/>
                                <w:bCs/>
                              </w:rPr>
                              <w:t>Exhibit 99.1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026425" id="_x0000_t202" coordsize="21600,21600" o:spt="202" path="m,l,21600r21600,l21600,xe">
                <v:stroke joinstyle="miter"/>
                <v:path gradientshapeok="t" o:connecttype="rect"/>
              </v:shapetype>
              <v:shape id="Text Box 2" o:spid="_x0000_s1026" type="#_x0000_t202" style="position:absolute;margin-left:300.9pt;margin-top:-24.8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ki/IU4gAAAAsBAAAPAAAAZHJzL2Rvd25yZXYueG1sTI/LTsMwEEX3SPyDNUhsUOskQEJDnKo8&#10;umHXEiSWbjxNAvE4it028PUMK1iO7tG9Z4rlZHtxxNF3jhTE8wgEUu1MR42C6nU9uwPhgyaje0eo&#10;4As9LMvzs0Lnxp1og8dtaASXkM+1gjaEIZfS1y1a7eduQOJs70arA59jI82oT1xue5lEUSqt7ogX&#10;Wj3gY4v15/ZgFXw/VE+r56sQ75Pwnrxt7EtVf2ilLi+m1T2IgFP4g+FXn9WhZKedO5DxoleQRjGr&#10;BwWzm0UGgolFdp2C2DGaxbcgy0L+/6H8AQAA//8DAFBLAQItABQABgAIAAAAIQC2gziS/gAAAOEB&#10;AAATAAAAAAAAAAAAAAAAAAAAAABbQ29udGVudF9UeXBlc10ueG1sUEsBAi0AFAAGAAgAAAAhADj9&#10;If/WAAAAlAEAAAsAAAAAAAAAAAAAAAAALwEAAF9yZWxzLy5yZWxzUEsBAi0AFAAGAAgAAAAhALVB&#10;GHEOAgAA9wMAAA4AAAAAAAAAAAAAAAAALgIAAGRycy9lMm9Eb2MueG1sUEsBAi0AFAAGAAgAAAAh&#10;AGSL8hTiAAAACwEAAA8AAAAAAAAAAAAAAAAAaAQAAGRycy9kb3ducmV2LnhtbFBLBQYAAAAABAAE&#10;APMAAAB3BQAAAAA=&#10;" stroked="f">
                <v:textbox style="mso-fit-shape-to-text:t">
                  <w:txbxContent>
                    <w:p w14:paraId="07DF0BBA" w14:textId="77777777" w:rsidR="00035ABA" w:rsidRPr="001D781B" w:rsidRDefault="00035ABA" w:rsidP="00035ABA">
                      <w:pPr>
                        <w:jc w:val="right"/>
                        <w:rPr>
                          <w:b/>
                          <w:bCs/>
                        </w:rPr>
                      </w:pPr>
                      <w:r w:rsidRPr="001D781B">
                        <w:rPr>
                          <w:b/>
                          <w:bCs/>
                        </w:rPr>
                        <w:t>Exhibit 99.1</w:t>
                      </w:r>
                    </w:p>
                  </w:txbxContent>
                </v:textbox>
              </v:shape>
            </w:pict>
          </mc:Fallback>
        </mc:AlternateContent>
      </w:r>
    </w:p>
    <w:p w14:paraId="4AC3302D" w14:textId="77777777" w:rsidR="00035ABA" w:rsidRPr="00035ABA" w:rsidRDefault="00035ABA" w:rsidP="00035ABA">
      <w:pPr>
        <w:jc w:val="center"/>
        <w:rPr>
          <w:b/>
          <w:bCs/>
          <w:color w:val="000000"/>
          <w:sz w:val="40"/>
          <w:szCs w:val="40"/>
        </w:rPr>
      </w:pPr>
      <w:r w:rsidRPr="00035ABA">
        <w:rPr>
          <w:b/>
          <w:bCs/>
          <w:color w:val="000000"/>
          <w:sz w:val="40"/>
          <w:szCs w:val="40"/>
        </w:rPr>
        <w:t>GeoVax Reports Third Quarter 2024 Financial Results</w:t>
      </w:r>
    </w:p>
    <w:p w14:paraId="3D1C1B25" w14:textId="77777777" w:rsidR="00035ABA" w:rsidRPr="00035ABA" w:rsidRDefault="00035ABA" w:rsidP="00035ABA">
      <w:pPr>
        <w:jc w:val="center"/>
        <w:rPr>
          <w:b/>
          <w:bCs/>
          <w:color w:val="000000"/>
          <w:sz w:val="40"/>
          <w:szCs w:val="40"/>
        </w:rPr>
      </w:pPr>
      <w:r w:rsidRPr="00035ABA">
        <w:rPr>
          <w:b/>
          <w:bCs/>
          <w:color w:val="000000"/>
          <w:sz w:val="40"/>
          <w:szCs w:val="40"/>
        </w:rPr>
        <w:t>and Provides Business Update</w:t>
      </w:r>
    </w:p>
    <w:p w14:paraId="7A4A2A63" w14:textId="77777777" w:rsidR="00035ABA" w:rsidRPr="00035ABA" w:rsidRDefault="00035ABA" w:rsidP="00035ABA">
      <w:pPr>
        <w:rPr>
          <w:i/>
          <w:iCs/>
          <w:sz w:val="22"/>
          <w:szCs w:val="22"/>
          <w:highlight w:val="yellow"/>
        </w:rPr>
      </w:pPr>
    </w:p>
    <w:p w14:paraId="0A4910E7" w14:textId="77777777" w:rsidR="00035ABA" w:rsidRPr="00035ABA" w:rsidRDefault="00035ABA" w:rsidP="00035ABA">
      <w:pPr>
        <w:jc w:val="center"/>
        <w:rPr>
          <w:i/>
          <w:iCs/>
          <w:sz w:val="22"/>
          <w:szCs w:val="22"/>
        </w:rPr>
      </w:pPr>
      <w:r w:rsidRPr="00035ABA">
        <w:rPr>
          <w:i/>
          <w:iCs/>
          <w:sz w:val="22"/>
          <w:szCs w:val="22"/>
        </w:rPr>
        <w:t>Progress in GEO-CM04S1 BARDA/Project NextGen Phase 2b trial; multiple data readouts of existing COVID-19 vaccine Phase 2 trials expected during fourth quarter 2024</w:t>
      </w:r>
    </w:p>
    <w:p w14:paraId="301A27FD" w14:textId="77777777" w:rsidR="00035ABA" w:rsidRPr="00035ABA" w:rsidRDefault="00035ABA" w:rsidP="00035ABA">
      <w:pPr>
        <w:jc w:val="center"/>
        <w:rPr>
          <w:i/>
          <w:iCs/>
          <w:sz w:val="22"/>
          <w:szCs w:val="22"/>
        </w:rPr>
      </w:pPr>
    </w:p>
    <w:p w14:paraId="767CE5FB" w14:textId="77777777" w:rsidR="00035ABA" w:rsidRPr="00035ABA" w:rsidRDefault="00035ABA" w:rsidP="00035ABA">
      <w:pPr>
        <w:jc w:val="center"/>
        <w:rPr>
          <w:i/>
          <w:iCs/>
          <w:sz w:val="22"/>
          <w:szCs w:val="22"/>
        </w:rPr>
      </w:pPr>
      <w:r w:rsidRPr="00035ABA">
        <w:rPr>
          <w:i/>
          <w:iCs/>
          <w:sz w:val="22"/>
          <w:szCs w:val="22"/>
        </w:rPr>
        <w:t>Gedeptin</w:t>
      </w:r>
      <w:r w:rsidRPr="00035ABA">
        <w:rPr>
          <w:i/>
          <w:iCs/>
          <w:sz w:val="22"/>
          <w:szCs w:val="22"/>
          <w:vertAlign w:val="superscript"/>
        </w:rPr>
        <w:t>®</w:t>
      </w:r>
      <w:r w:rsidRPr="00035ABA">
        <w:rPr>
          <w:i/>
          <w:iCs/>
          <w:sz w:val="22"/>
          <w:szCs w:val="22"/>
        </w:rPr>
        <w:t xml:space="preserve"> on track to advance into Phase 2 clinical trial for first recurrent head and neck cancer in the first half of 2025</w:t>
      </w:r>
    </w:p>
    <w:p w14:paraId="308FBC8E" w14:textId="77777777" w:rsidR="00035ABA" w:rsidRPr="00035ABA" w:rsidRDefault="00035ABA" w:rsidP="00035ABA">
      <w:pPr>
        <w:jc w:val="center"/>
        <w:rPr>
          <w:i/>
          <w:iCs/>
          <w:sz w:val="22"/>
          <w:szCs w:val="22"/>
          <w:highlight w:val="yellow"/>
        </w:rPr>
      </w:pPr>
    </w:p>
    <w:p w14:paraId="15415C7E" w14:textId="77777777" w:rsidR="00035ABA" w:rsidRPr="00035ABA" w:rsidRDefault="00035ABA" w:rsidP="00035ABA">
      <w:pPr>
        <w:jc w:val="center"/>
        <w:rPr>
          <w:i/>
          <w:iCs/>
          <w:sz w:val="22"/>
          <w:szCs w:val="22"/>
        </w:rPr>
      </w:pPr>
      <w:r w:rsidRPr="00035ABA">
        <w:rPr>
          <w:i/>
          <w:iCs/>
          <w:sz w:val="22"/>
          <w:szCs w:val="22"/>
        </w:rPr>
        <w:t xml:space="preserve">GEO-MVA Mpox vaccine advancing with cGMP clinical batch anticipated during fourth quarter 2024  </w:t>
      </w:r>
    </w:p>
    <w:p w14:paraId="07861D80" w14:textId="77777777" w:rsidR="00035ABA" w:rsidRPr="00035ABA" w:rsidRDefault="00035ABA" w:rsidP="00035ABA">
      <w:pPr>
        <w:jc w:val="center"/>
        <w:rPr>
          <w:i/>
          <w:iCs/>
          <w:sz w:val="22"/>
          <w:szCs w:val="22"/>
          <w:highlight w:val="yellow"/>
        </w:rPr>
      </w:pPr>
    </w:p>
    <w:p w14:paraId="3F26752B" w14:textId="77777777" w:rsidR="00035ABA" w:rsidRPr="00035ABA" w:rsidRDefault="00035ABA" w:rsidP="00035ABA">
      <w:pPr>
        <w:jc w:val="center"/>
        <w:rPr>
          <w:bCs/>
          <w:i/>
          <w:iCs/>
          <w:sz w:val="22"/>
          <w:szCs w:val="22"/>
        </w:rPr>
      </w:pPr>
      <w:r w:rsidRPr="00035ABA">
        <w:rPr>
          <w:bCs/>
          <w:i/>
          <w:iCs/>
          <w:sz w:val="22"/>
          <w:szCs w:val="22"/>
        </w:rPr>
        <w:t xml:space="preserve">Company to host conference call and webcast today at 4:30 p.m. ET </w:t>
      </w:r>
    </w:p>
    <w:p w14:paraId="4169B8E7" w14:textId="77777777" w:rsidR="00035ABA" w:rsidRPr="00035ABA" w:rsidRDefault="00035ABA" w:rsidP="00035ABA">
      <w:pPr>
        <w:tabs>
          <w:tab w:val="left" w:pos="6399"/>
        </w:tabs>
        <w:rPr>
          <w:color w:val="000000"/>
          <w:szCs w:val="20"/>
        </w:rPr>
      </w:pPr>
    </w:p>
    <w:p w14:paraId="0FE75E4C" w14:textId="77777777" w:rsidR="00035ABA" w:rsidRPr="00035ABA" w:rsidRDefault="00035ABA" w:rsidP="00035ABA">
      <w:pPr>
        <w:widowControl w:val="0"/>
        <w:autoSpaceDE w:val="0"/>
        <w:autoSpaceDN w:val="0"/>
        <w:adjustRightInd w:val="0"/>
        <w:jc w:val="both"/>
        <w:rPr>
          <w:color w:val="000000"/>
          <w:sz w:val="22"/>
          <w:szCs w:val="22"/>
        </w:rPr>
      </w:pPr>
      <w:r w:rsidRPr="00035ABA">
        <w:rPr>
          <w:b/>
          <w:bCs/>
          <w:color w:val="000000"/>
          <w:sz w:val="22"/>
          <w:szCs w:val="22"/>
        </w:rPr>
        <w:t>ATLANTA, GA, November 12, 2024 –</w:t>
      </w:r>
      <w:r w:rsidRPr="00035ABA">
        <w:rPr>
          <w:color w:val="000000"/>
          <w:sz w:val="22"/>
          <w:szCs w:val="22"/>
        </w:rPr>
        <w:t xml:space="preserve"> GeoVax Labs, Inc. (Nasdaq: GOVX), a biotechnology company developing immunotherapies and vaccines against cancers and infectious diseases, today announced financial results for the third quarter ended September 30, 2024, and provided a business update. </w:t>
      </w:r>
    </w:p>
    <w:p w14:paraId="3A193E0F" w14:textId="77777777" w:rsidR="00035ABA" w:rsidRPr="00035ABA" w:rsidRDefault="00035ABA" w:rsidP="00035ABA">
      <w:pPr>
        <w:widowControl w:val="0"/>
        <w:autoSpaceDE w:val="0"/>
        <w:autoSpaceDN w:val="0"/>
        <w:adjustRightInd w:val="0"/>
        <w:jc w:val="both"/>
        <w:rPr>
          <w:color w:val="000000"/>
          <w:sz w:val="22"/>
          <w:szCs w:val="22"/>
        </w:rPr>
      </w:pPr>
    </w:p>
    <w:p w14:paraId="756EA4FB" w14:textId="77777777" w:rsidR="00035ABA" w:rsidRPr="00035ABA" w:rsidRDefault="00035ABA" w:rsidP="00035ABA">
      <w:pPr>
        <w:widowControl w:val="0"/>
        <w:autoSpaceDE w:val="0"/>
        <w:autoSpaceDN w:val="0"/>
        <w:adjustRightInd w:val="0"/>
        <w:jc w:val="both"/>
        <w:rPr>
          <w:color w:val="000000"/>
          <w:sz w:val="22"/>
          <w:szCs w:val="22"/>
        </w:rPr>
      </w:pPr>
      <w:r w:rsidRPr="00035ABA">
        <w:rPr>
          <w:color w:val="000000"/>
          <w:sz w:val="22"/>
          <w:szCs w:val="22"/>
        </w:rPr>
        <w:t>David Dodd, GeoVax’s Chairman and CEO, stated, “2024 has shaped up to be a year of steady progress and execution across our development programs. Following the BARDA/RRPV award of nearly $400 million in support of evaluating GEO-CM04S1 in the Project NextGen program, we continue to collaborate closely with the BARDA Project NextGen team and our CRO, Allucent, preparing for the activation of the 10,000-patient Phase 2b clinical study. The necessary sites are confirmed, and we are working closely with Oxford Biomedica (“OXB”), our manufacturing partner, to produce the vaccine product required for study activation. We look forward to sharing further updates related to this exciting Phase 2b study.”</w:t>
      </w:r>
    </w:p>
    <w:p w14:paraId="30BC21BA" w14:textId="77777777" w:rsidR="00035ABA" w:rsidRPr="00035ABA" w:rsidRDefault="00035ABA" w:rsidP="00035ABA">
      <w:pPr>
        <w:jc w:val="both"/>
        <w:rPr>
          <w:rFonts w:eastAsia="Calibri"/>
          <w:b/>
          <w:bCs/>
          <w:color w:val="000000"/>
          <w:kern w:val="2"/>
          <w:sz w:val="22"/>
          <w:szCs w:val="22"/>
          <w14:ligatures w14:val="standardContextual"/>
        </w:rPr>
      </w:pPr>
    </w:p>
    <w:p w14:paraId="3C66AFD1" w14:textId="77777777" w:rsidR="00035ABA" w:rsidRPr="00035ABA" w:rsidRDefault="00035ABA" w:rsidP="00035ABA">
      <w:pPr>
        <w:jc w:val="both"/>
        <w:rPr>
          <w:rFonts w:eastAsia="Calibri"/>
          <w:color w:val="000000"/>
          <w:kern w:val="2"/>
          <w:sz w:val="22"/>
          <w:szCs w:val="22"/>
          <w14:ligatures w14:val="standardContextual"/>
        </w:rPr>
      </w:pPr>
      <w:r w:rsidRPr="00035ABA">
        <w:rPr>
          <w:rFonts w:eastAsia="Calibri"/>
          <w:color w:val="000000"/>
          <w:kern w:val="2"/>
          <w:sz w:val="22"/>
          <w:szCs w:val="22"/>
          <w14:ligatures w14:val="standardContextual"/>
        </w:rPr>
        <w:t>“In the third quarter, we also strengthened our balance sheet with additional funding, enabling us to confirm plans towards initiating a Phase 2 trial of Gedeptin in conjunction with an immune checkpoint inhibitor, as therapy for first recurrent head and neck cancer patients,” Dodd continued. “We anticipate initiating this study during the first half of 2025. We have also made significant progress with GEO-MVA, our vaccine candidate for Mpox, and expect to achieve production of a cGMP clinical batch during the fourth quarter. With GEO-MVA, we intend to create the first U.S.-based source for a Mpox vaccine, an important biodefense goal.”</w:t>
      </w:r>
    </w:p>
    <w:p w14:paraId="4A73B732" w14:textId="77777777" w:rsidR="00035ABA" w:rsidRPr="00035ABA" w:rsidRDefault="00035ABA" w:rsidP="00035ABA">
      <w:pPr>
        <w:jc w:val="both"/>
        <w:rPr>
          <w:rFonts w:eastAsia="Calibri"/>
          <w:color w:val="000000"/>
          <w:kern w:val="2"/>
          <w:sz w:val="22"/>
          <w:szCs w:val="22"/>
          <w14:ligatures w14:val="standardContextual"/>
        </w:rPr>
      </w:pPr>
    </w:p>
    <w:p w14:paraId="5447E3F0" w14:textId="77777777" w:rsidR="00035ABA" w:rsidRPr="00035ABA" w:rsidRDefault="00035ABA" w:rsidP="00035ABA">
      <w:pPr>
        <w:jc w:val="both"/>
        <w:rPr>
          <w:rFonts w:eastAsia="Calibri"/>
          <w:color w:val="000000"/>
          <w:kern w:val="2"/>
          <w:sz w:val="22"/>
          <w:szCs w:val="22"/>
          <w14:ligatures w14:val="standardContextual"/>
        </w:rPr>
      </w:pPr>
      <w:r w:rsidRPr="00035ABA">
        <w:rPr>
          <w:rFonts w:eastAsia="Calibri"/>
          <w:color w:val="000000"/>
          <w:kern w:val="2"/>
          <w:sz w:val="22"/>
          <w:szCs w:val="22"/>
          <w14:ligatures w14:val="standardContextual"/>
        </w:rPr>
        <w:t>“Supported by our recent progress, we believe we are well-positioned to advance our priority programs in support of developing innovative solid tumor therapies and infectious disease vaccines. Our commitment to advancing life-changing treatments continues to drive us in our mission to improve patient care worldwide through innovative developments.”</w:t>
      </w:r>
    </w:p>
    <w:p w14:paraId="650041CE" w14:textId="77777777" w:rsidR="00035ABA" w:rsidRPr="00035ABA" w:rsidRDefault="00035ABA" w:rsidP="00035ABA">
      <w:pPr>
        <w:jc w:val="both"/>
        <w:rPr>
          <w:rFonts w:eastAsia="Calibri"/>
          <w:b/>
          <w:bCs/>
          <w:color w:val="000000"/>
          <w:kern w:val="2"/>
          <w:sz w:val="22"/>
          <w:szCs w:val="22"/>
          <w14:ligatures w14:val="standardContextual"/>
        </w:rPr>
      </w:pPr>
    </w:p>
    <w:p w14:paraId="55E970F3" w14:textId="77777777" w:rsidR="00035ABA" w:rsidRPr="00035ABA" w:rsidRDefault="00035ABA" w:rsidP="00035ABA">
      <w:pPr>
        <w:jc w:val="both"/>
        <w:rPr>
          <w:rFonts w:eastAsia="Calibri"/>
          <w:b/>
          <w:bCs/>
          <w:color w:val="000000"/>
          <w:kern w:val="2"/>
          <w:sz w:val="22"/>
          <w:szCs w:val="22"/>
          <w14:ligatures w14:val="standardContextual"/>
        </w:rPr>
      </w:pPr>
      <w:r w:rsidRPr="00035ABA">
        <w:rPr>
          <w:rFonts w:eastAsia="Calibri"/>
          <w:b/>
          <w:bCs/>
          <w:color w:val="000000"/>
          <w:kern w:val="2"/>
          <w:sz w:val="22"/>
          <w:szCs w:val="22"/>
          <w14:ligatures w14:val="standardContextual"/>
        </w:rPr>
        <w:t>Third Quarter Business Achievements and Updates</w:t>
      </w:r>
    </w:p>
    <w:p w14:paraId="779EF071" w14:textId="77777777" w:rsidR="00035ABA" w:rsidRPr="00035ABA" w:rsidRDefault="00035ABA" w:rsidP="00035ABA">
      <w:pPr>
        <w:rPr>
          <w:color w:val="000000"/>
          <w:sz w:val="22"/>
          <w:szCs w:val="22"/>
        </w:rPr>
      </w:pPr>
    </w:p>
    <w:p w14:paraId="277B1AE9" w14:textId="77777777" w:rsidR="00035ABA" w:rsidRPr="00035ABA" w:rsidRDefault="00035ABA" w:rsidP="00035ABA">
      <w:pPr>
        <w:shd w:val="clear" w:color="auto" w:fill="FFFFFF"/>
        <w:rPr>
          <w:b/>
          <w:bCs/>
          <w:color w:val="000000"/>
          <w:sz w:val="22"/>
          <w:szCs w:val="22"/>
        </w:rPr>
      </w:pPr>
      <w:r w:rsidRPr="00035ABA">
        <w:rPr>
          <w:b/>
          <w:bCs/>
          <w:color w:val="000000"/>
          <w:sz w:val="22"/>
          <w:szCs w:val="22"/>
        </w:rPr>
        <w:t>GEO-CM04S1</w:t>
      </w:r>
    </w:p>
    <w:p w14:paraId="38C419DD" w14:textId="77777777" w:rsidR="00035ABA" w:rsidRPr="00035ABA" w:rsidRDefault="00035ABA" w:rsidP="00035ABA">
      <w:pPr>
        <w:rPr>
          <w:color w:val="000000"/>
          <w:sz w:val="22"/>
          <w:szCs w:val="22"/>
        </w:rPr>
      </w:pPr>
    </w:p>
    <w:p w14:paraId="5620F61F" w14:textId="77777777" w:rsidR="00035ABA" w:rsidRPr="00035ABA" w:rsidRDefault="00035ABA" w:rsidP="00035ABA">
      <w:pPr>
        <w:widowControl w:val="0"/>
        <w:numPr>
          <w:ilvl w:val="0"/>
          <w:numId w:val="3"/>
        </w:numPr>
        <w:autoSpaceDE w:val="0"/>
        <w:autoSpaceDN w:val="0"/>
        <w:adjustRightInd w:val="0"/>
        <w:ind w:left="360"/>
        <w:jc w:val="both"/>
        <w:rPr>
          <w:color w:val="000000"/>
          <w:sz w:val="22"/>
          <w:szCs w:val="22"/>
        </w:rPr>
      </w:pPr>
      <w:r w:rsidRPr="00035ABA">
        <w:rPr>
          <w:color w:val="000000"/>
          <w:sz w:val="22"/>
          <w:szCs w:val="22"/>
        </w:rPr>
        <w:t xml:space="preserve">BARDA Project NextGen Phase 2b trial: Target sites are confirmed, and activities are underway in support of initiating the 10,000-participant, randomized, Phase 2b double-blinded study to compare the efficacy, safety, and immunogenicity of GEO-CM04S1 with a U.S. Food and Drug Administration (FDA) approved mRNA COVID-19 vaccine. </w:t>
      </w:r>
    </w:p>
    <w:p w14:paraId="498EDE00" w14:textId="77777777" w:rsidR="00035ABA" w:rsidRPr="00035ABA" w:rsidRDefault="00035ABA" w:rsidP="00035ABA">
      <w:pPr>
        <w:widowControl w:val="0"/>
        <w:numPr>
          <w:ilvl w:val="0"/>
          <w:numId w:val="3"/>
        </w:numPr>
        <w:autoSpaceDE w:val="0"/>
        <w:autoSpaceDN w:val="0"/>
        <w:adjustRightInd w:val="0"/>
        <w:ind w:left="360"/>
        <w:jc w:val="both"/>
        <w:rPr>
          <w:color w:val="000000"/>
          <w:sz w:val="22"/>
          <w:szCs w:val="22"/>
        </w:rPr>
      </w:pPr>
      <w:r w:rsidRPr="00035ABA">
        <w:rPr>
          <w:color w:val="000000"/>
          <w:sz w:val="22"/>
          <w:szCs w:val="22"/>
        </w:rPr>
        <w:t>Existing Phase 2 clinical studies: During the fourth quarter of 2024, GeoVax anticipates reporting interim results from (a) the comparative trial among Immunocompromised/Chronic Lymphocytic Leukemia (CLL) patients and (b) the booster trial among healthy adults. For the Immunocompromised/Stem Cell Transplant patient trial, additional sites have been added and patient enrollment continues.</w:t>
      </w:r>
    </w:p>
    <w:p w14:paraId="08E77E92" w14:textId="77777777" w:rsidR="00035ABA" w:rsidRPr="00035ABA" w:rsidRDefault="00035ABA" w:rsidP="00035ABA">
      <w:pPr>
        <w:jc w:val="both"/>
        <w:rPr>
          <w:color w:val="000000"/>
          <w:sz w:val="22"/>
          <w:szCs w:val="22"/>
        </w:rPr>
      </w:pPr>
    </w:p>
    <w:p w14:paraId="33EF4EFA" w14:textId="77777777" w:rsidR="00035ABA" w:rsidRPr="00035ABA" w:rsidRDefault="00035ABA" w:rsidP="00035ABA">
      <w:pPr>
        <w:jc w:val="both"/>
        <w:rPr>
          <w:sz w:val="22"/>
          <w:szCs w:val="22"/>
        </w:rPr>
      </w:pPr>
      <w:r w:rsidRPr="00035ABA">
        <w:rPr>
          <w:b/>
          <w:bCs/>
          <w:sz w:val="22"/>
          <w:szCs w:val="22"/>
        </w:rPr>
        <w:lastRenderedPageBreak/>
        <w:t>Gedeptin</w:t>
      </w:r>
      <w:r w:rsidRPr="00035ABA">
        <w:rPr>
          <w:b/>
          <w:bCs/>
          <w:sz w:val="22"/>
          <w:szCs w:val="22"/>
          <w:vertAlign w:val="superscript"/>
        </w:rPr>
        <w:t>®</w:t>
      </w:r>
    </w:p>
    <w:p w14:paraId="7EB59F8A" w14:textId="77777777" w:rsidR="00035ABA" w:rsidRPr="00035ABA" w:rsidRDefault="00035ABA" w:rsidP="00035ABA">
      <w:pPr>
        <w:rPr>
          <w:sz w:val="22"/>
          <w:szCs w:val="22"/>
        </w:rPr>
      </w:pPr>
    </w:p>
    <w:p w14:paraId="18B65F5B" w14:textId="77777777" w:rsidR="00035ABA" w:rsidRPr="00035ABA" w:rsidRDefault="00035ABA" w:rsidP="00035ABA">
      <w:pPr>
        <w:widowControl w:val="0"/>
        <w:numPr>
          <w:ilvl w:val="0"/>
          <w:numId w:val="3"/>
        </w:numPr>
        <w:autoSpaceDE w:val="0"/>
        <w:autoSpaceDN w:val="0"/>
        <w:adjustRightInd w:val="0"/>
        <w:ind w:left="360"/>
        <w:jc w:val="both"/>
        <w:rPr>
          <w:sz w:val="22"/>
          <w:szCs w:val="22"/>
        </w:rPr>
      </w:pPr>
      <w:r w:rsidRPr="00035ABA">
        <w:rPr>
          <w:sz w:val="22"/>
          <w:szCs w:val="22"/>
        </w:rPr>
        <w:t xml:space="preserve">Activities underway in support of Phase 2 study of Gedeptin combined with an immune checkpoint inhibitor as therapy among patients with first recurrent head and neck cancer.  </w:t>
      </w:r>
    </w:p>
    <w:p w14:paraId="2774E107" w14:textId="77777777" w:rsidR="00035ABA" w:rsidRPr="00035ABA" w:rsidRDefault="00035ABA" w:rsidP="00035ABA">
      <w:pPr>
        <w:widowControl w:val="0"/>
        <w:numPr>
          <w:ilvl w:val="0"/>
          <w:numId w:val="3"/>
        </w:numPr>
        <w:autoSpaceDE w:val="0"/>
        <w:autoSpaceDN w:val="0"/>
        <w:adjustRightInd w:val="0"/>
        <w:ind w:left="360"/>
        <w:jc w:val="both"/>
        <w:rPr>
          <w:sz w:val="22"/>
          <w:szCs w:val="22"/>
        </w:rPr>
      </w:pPr>
      <w:r w:rsidRPr="00035ABA">
        <w:rPr>
          <w:sz w:val="22"/>
          <w:szCs w:val="22"/>
        </w:rPr>
        <w:t xml:space="preserve">This trial is anticipated to be a single-cycle trial in approximately 36 patients with a pathologic response rate as the primary endpoint. The primary goal of this trial will be to establish efficacy of neoadjuvant Gedeptin therapy combined with an immune checkpoint inhibitor in squamous cell head and neck cancer. </w:t>
      </w:r>
    </w:p>
    <w:p w14:paraId="49E9A182" w14:textId="77777777" w:rsidR="00035ABA" w:rsidRPr="00035ABA" w:rsidRDefault="00035ABA" w:rsidP="00035ABA">
      <w:pPr>
        <w:jc w:val="both"/>
        <w:rPr>
          <w:color w:val="000000"/>
          <w:kern w:val="2"/>
          <w:sz w:val="22"/>
          <w:szCs w:val="22"/>
          <w14:ligatures w14:val="standardContextual"/>
        </w:rPr>
      </w:pPr>
    </w:p>
    <w:p w14:paraId="22E5DB82" w14:textId="77777777" w:rsidR="00035ABA" w:rsidRPr="00035ABA" w:rsidRDefault="00035ABA" w:rsidP="00035ABA">
      <w:pPr>
        <w:rPr>
          <w:rFonts w:eastAsia="Calibri"/>
          <w:b/>
          <w:bCs/>
          <w:color w:val="000000"/>
          <w:kern w:val="2"/>
          <w:sz w:val="22"/>
          <w:szCs w:val="22"/>
          <w14:ligatures w14:val="standardContextual"/>
        </w:rPr>
      </w:pPr>
      <w:r w:rsidRPr="00035ABA">
        <w:rPr>
          <w:rFonts w:eastAsia="Calibri"/>
          <w:b/>
          <w:bCs/>
          <w:color w:val="000000"/>
          <w:kern w:val="2"/>
          <w:sz w:val="22"/>
          <w:szCs w:val="22"/>
          <w14:ligatures w14:val="standardContextual"/>
        </w:rPr>
        <w:t xml:space="preserve">Mpox and Smallpox Vaccine Platform </w:t>
      </w:r>
    </w:p>
    <w:p w14:paraId="6722D78D" w14:textId="77777777" w:rsidR="00035ABA" w:rsidRPr="00035ABA" w:rsidRDefault="00035ABA" w:rsidP="00035ABA">
      <w:pPr>
        <w:rPr>
          <w:rFonts w:eastAsia="Calibri"/>
          <w:b/>
          <w:bCs/>
          <w:color w:val="000000"/>
          <w:kern w:val="2"/>
          <w:sz w:val="22"/>
          <w:szCs w:val="22"/>
          <w14:ligatures w14:val="standardContextual"/>
        </w:rPr>
      </w:pPr>
    </w:p>
    <w:p w14:paraId="3EB42772" w14:textId="77777777" w:rsidR="00035ABA" w:rsidRPr="00035ABA" w:rsidRDefault="00035ABA" w:rsidP="00035ABA">
      <w:pPr>
        <w:widowControl w:val="0"/>
        <w:numPr>
          <w:ilvl w:val="0"/>
          <w:numId w:val="3"/>
        </w:numPr>
        <w:autoSpaceDE w:val="0"/>
        <w:autoSpaceDN w:val="0"/>
        <w:adjustRightInd w:val="0"/>
        <w:ind w:left="360"/>
        <w:jc w:val="both"/>
        <w:rPr>
          <w:rFonts w:eastAsia="Calibri"/>
          <w:color w:val="000000"/>
          <w:kern w:val="2"/>
          <w:sz w:val="22"/>
          <w:szCs w:val="22"/>
          <w14:ligatures w14:val="standardContextual"/>
        </w:rPr>
      </w:pPr>
      <w:r w:rsidRPr="00035ABA">
        <w:rPr>
          <w:rFonts w:eastAsia="Calibri"/>
          <w:color w:val="000000"/>
          <w:kern w:val="2"/>
          <w:sz w:val="22"/>
          <w:szCs w:val="22"/>
          <w14:ligatures w14:val="standardContextual"/>
        </w:rPr>
        <w:t xml:space="preserve">GEO-MVA is GeoVax’s vaccine candidate in development for protection against Mpox and Smallpox. </w:t>
      </w:r>
    </w:p>
    <w:p w14:paraId="205A177C" w14:textId="77777777" w:rsidR="00035ABA" w:rsidRPr="00035ABA" w:rsidRDefault="00035ABA" w:rsidP="00035ABA">
      <w:pPr>
        <w:widowControl w:val="0"/>
        <w:numPr>
          <w:ilvl w:val="0"/>
          <w:numId w:val="3"/>
        </w:numPr>
        <w:autoSpaceDE w:val="0"/>
        <w:autoSpaceDN w:val="0"/>
        <w:adjustRightInd w:val="0"/>
        <w:ind w:left="360"/>
        <w:jc w:val="both"/>
        <w:rPr>
          <w:rFonts w:eastAsia="Calibri"/>
          <w:color w:val="000000"/>
          <w:kern w:val="2"/>
          <w:sz w:val="22"/>
          <w:szCs w:val="22"/>
          <w14:ligatures w14:val="standardContextual"/>
        </w:rPr>
      </w:pPr>
      <w:r w:rsidRPr="00035ABA">
        <w:rPr>
          <w:rFonts w:eastAsia="Calibri"/>
          <w:color w:val="000000"/>
          <w:kern w:val="2"/>
          <w:sz w:val="22"/>
          <w:szCs w:val="22"/>
          <w14:ligatures w14:val="standardContextual"/>
        </w:rPr>
        <w:t xml:space="preserve">A cGMP Master Seed Virus has been successfully manufactured and released by OXB and a cGMP clinical batch is currently in production, anticipated to be completed during Q4.  </w:t>
      </w:r>
    </w:p>
    <w:p w14:paraId="3B43A612" w14:textId="77777777" w:rsidR="00035ABA" w:rsidRPr="00035ABA" w:rsidRDefault="00035ABA" w:rsidP="00035ABA">
      <w:pPr>
        <w:widowControl w:val="0"/>
        <w:numPr>
          <w:ilvl w:val="0"/>
          <w:numId w:val="3"/>
        </w:numPr>
        <w:autoSpaceDE w:val="0"/>
        <w:autoSpaceDN w:val="0"/>
        <w:adjustRightInd w:val="0"/>
        <w:ind w:left="360"/>
        <w:jc w:val="both"/>
        <w:rPr>
          <w:rFonts w:eastAsia="Calibri"/>
          <w:color w:val="000000"/>
          <w:kern w:val="2"/>
          <w:sz w:val="22"/>
          <w:szCs w:val="22"/>
          <w14:ligatures w14:val="standardContextual"/>
        </w:rPr>
      </w:pPr>
      <w:r w:rsidRPr="00035ABA">
        <w:rPr>
          <w:rFonts w:eastAsia="Calibri"/>
          <w:color w:val="000000"/>
          <w:kern w:val="2"/>
          <w:sz w:val="22"/>
          <w:szCs w:val="22"/>
          <w14:ligatures w14:val="standardContextual"/>
        </w:rPr>
        <w:t xml:space="preserve">MVA is the vaccine recommended by both WHO and the CDC against both Mpox and Smallpox, recognized for its safety and efficacy among all patient populations, including pregnant women, children and immunocompromised individuals.  MVA is the vaccine currently used and stockpiled in the United States Strategic National Stockpile for immunization against potential bioterrorism threats based on the smallpox virus. </w:t>
      </w:r>
    </w:p>
    <w:p w14:paraId="2D46D8F5" w14:textId="77777777" w:rsidR="00035ABA" w:rsidRPr="00035ABA" w:rsidRDefault="00035ABA" w:rsidP="00035ABA">
      <w:pPr>
        <w:jc w:val="both"/>
        <w:rPr>
          <w:rFonts w:eastAsia="Calibri"/>
          <w:b/>
          <w:bCs/>
          <w:color w:val="000000"/>
          <w:kern w:val="2"/>
          <w:sz w:val="22"/>
          <w:szCs w:val="22"/>
          <w14:ligatures w14:val="standardContextual"/>
        </w:rPr>
      </w:pPr>
    </w:p>
    <w:p w14:paraId="11FDEF5F" w14:textId="77777777" w:rsidR="00035ABA" w:rsidRPr="00035ABA" w:rsidRDefault="00035ABA" w:rsidP="00035ABA">
      <w:pPr>
        <w:rPr>
          <w:rFonts w:eastAsia="Calibri"/>
          <w:b/>
          <w:bCs/>
          <w:color w:val="000000"/>
          <w:kern w:val="2"/>
          <w:sz w:val="22"/>
          <w:szCs w:val="22"/>
          <w14:ligatures w14:val="standardContextual"/>
        </w:rPr>
      </w:pPr>
      <w:r w:rsidRPr="00035ABA">
        <w:rPr>
          <w:b/>
          <w:bCs/>
          <w:color w:val="000000"/>
          <w:sz w:val="22"/>
          <w:szCs w:val="22"/>
        </w:rPr>
        <w:t>Continuous Cell-line MVA Manufacturing Process Development</w:t>
      </w:r>
    </w:p>
    <w:p w14:paraId="55D4C41C" w14:textId="77777777" w:rsidR="00035ABA" w:rsidRPr="00035ABA" w:rsidRDefault="00035ABA" w:rsidP="00035ABA">
      <w:pPr>
        <w:rPr>
          <w:rFonts w:eastAsia="Calibri"/>
          <w:b/>
          <w:bCs/>
          <w:color w:val="000000"/>
          <w:kern w:val="2"/>
          <w:sz w:val="22"/>
          <w:szCs w:val="22"/>
          <w14:ligatures w14:val="standardContextual"/>
        </w:rPr>
      </w:pPr>
    </w:p>
    <w:p w14:paraId="5E7453A4" w14:textId="77777777" w:rsidR="00035ABA" w:rsidRPr="00035ABA" w:rsidRDefault="00035ABA" w:rsidP="00035ABA">
      <w:pPr>
        <w:widowControl w:val="0"/>
        <w:numPr>
          <w:ilvl w:val="0"/>
          <w:numId w:val="3"/>
        </w:numPr>
        <w:autoSpaceDE w:val="0"/>
        <w:autoSpaceDN w:val="0"/>
        <w:adjustRightInd w:val="0"/>
        <w:ind w:left="360"/>
        <w:jc w:val="both"/>
        <w:rPr>
          <w:color w:val="000000"/>
          <w:sz w:val="22"/>
          <w:szCs w:val="22"/>
        </w:rPr>
      </w:pPr>
      <w:r w:rsidRPr="00035ABA">
        <w:rPr>
          <w:rFonts w:eastAsia="Calibri"/>
          <w:color w:val="000000"/>
          <w:kern w:val="2"/>
          <w:sz w:val="22"/>
          <w:szCs w:val="22"/>
          <w14:ligatures w14:val="standardContextual"/>
        </w:rPr>
        <w:t xml:space="preserve">Development activities are underway in support of the AGE.1 continuous MVA manufacturing process.  Additional progress is expected to be reported during Q4.  </w:t>
      </w:r>
    </w:p>
    <w:p w14:paraId="2FB9A2E1" w14:textId="77777777" w:rsidR="00035ABA" w:rsidRPr="00035ABA" w:rsidRDefault="00035ABA" w:rsidP="00035ABA">
      <w:pPr>
        <w:jc w:val="both"/>
        <w:rPr>
          <w:b/>
          <w:bCs/>
          <w:color w:val="000000"/>
          <w:sz w:val="22"/>
          <w:szCs w:val="22"/>
        </w:rPr>
      </w:pPr>
    </w:p>
    <w:p w14:paraId="7FAA6594" w14:textId="77777777" w:rsidR="00035ABA" w:rsidRPr="00035ABA" w:rsidRDefault="00035ABA" w:rsidP="00035ABA">
      <w:pPr>
        <w:jc w:val="both"/>
        <w:rPr>
          <w:b/>
          <w:bCs/>
          <w:color w:val="000000"/>
          <w:sz w:val="22"/>
          <w:szCs w:val="22"/>
        </w:rPr>
      </w:pPr>
      <w:r w:rsidRPr="00035ABA">
        <w:rPr>
          <w:b/>
          <w:bCs/>
          <w:color w:val="000000"/>
          <w:sz w:val="22"/>
          <w:szCs w:val="22"/>
        </w:rPr>
        <w:t>Corporate Updates</w:t>
      </w:r>
    </w:p>
    <w:p w14:paraId="4707E8C9" w14:textId="77777777" w:rsidR="00035ABA" w:rsidRPr="00035ABA" w:rsidRDefault="00035ABA" w:rsidP="00035ABA">
      <w:pPr>
        <w:jc w:val="both"/>
        <w:rPr>
          <w:b/>
          <w:bCs/>
          <w:color w:val="000000"/>
          <w:sz w:val="22"/>
          <w:szCs w:val="22"/>
        </w:rPr>
      </w:pPr>
    </w:p>
    <w:p w14:paraId="157A30FA" w14:textId="77777777" w:rsidR="00035ABA" w:rsidRPr="00035ABA" w:rsidRDefault="00035ABA" w:rsidP="00035ABA">
      <w:pPr>
        <w:widowControl w:val="0"/>
        <w:numPr>
          <w:ilvl w:val="0"/>
          <w:numId w:val="3"/>
        </w:numPr>
        <w:autoSpaceDE w:val="0"/>
        <w:autoSpaceDN w:val="0"/>
        <w:adjustRightInd w:val="0"/>
        <w:ind w:left="360"/>
        <w:jc w:val="both"/>
        <w:rPr>
          <w:color w:val="000000"/>
          <w:sz w:val="22"/>
          <w:szCs w:val="22"/>
        </w:rPr>
      </w:pPr>
      <w:r w:rsidRPr="00035ABA">
        <w:rPr>
          <w:color w:val="000000"/>
          <w:sz w:val="22"/>
          <w:szCs w:val="22"/>
        </w:rPr>
        <w:t xml:space="preserve">GeoVax Scientific Advisory Board: Appointed Teresa Lambe, PhD, OBE, </w:t>
      </w:r>
      <w:proofErr w:type="spellStart"/>
      <w:r w:rsidRPr="00035ABA">
        <w:rPr>
          <w:color w:val="000000"/>
          <w:sz w:val="22"/>
          <w:szCs w:val="22"/>
        </w:rPr>
        <w:t>FMedSci</w:t>
      </w:r>
      <w:proofErr w:type="spellEnd"/>
      <w:r w:rsidRPr="00035ABA">
        <w:rPr>
          <w:color w:val="000000"/>
          <w:sz w:val="22"/>
          <w:szCs w:val="22"/>
        </w:rPr>
        <w:t xml:space="preserve">, professor of Vaccinology and Immunology at the Oxford Vaccine Group within the University of Oxford, to the Scientific Advisory Board. </w:t>
      </w:r>
    </w:p>
    <w:p w14:paraId="0BB5A504" w14:textId="77777777" w:rsidR="00035ABA" w:rsidRPr="00035ABA" w:rsidRDefault="00035ABA" w:rsidP="00035ABA">
      <w:pPr>
        <w:rPr>
          <w:rFonts w:eastAsia="Calibri"/>
          <w:b/>
          <w:bCs/>
          <w:color w:val="000000"/>
          <w:kern w:val="2"/>
          <w:sz w:val="22"/>
          <w:szCs w:val="22"/>
          <w14:ligatures w14:val="standardContextual"/>
        </w:rPr>
      </w:pPr>
    </w:p>
    <w:p w14:paraId="528834C9" w14:textId="77777777" w:rsidR="00035ABA" w:rsidRPr="00035ABA" w:rsidRDefault="00035ABA" w:rsidP="00035ABA">
      <w:pPr>
        <w:jc w:val="both"/>
        <w:rPr>
          <w:rFonts w:eastAsia="Calibri"/>
          <w:b/>
          <w:bCs/>
          <w:color w:val="000000"/>
          <w:kern w:val="2"/>
          <w:sz w:val="22"/>
          <w:szCs w:val="22"/>
          <w14:ligatures w14:val="standardContextual"/>
        </w:rPr>
      </w:pPr>
      <w:r w:rsidRPr="00035ABA">
        <w:rPr>
          <w:rFonts w:eastAsia="Calibri"/>
          <w:b/>
          <w:bCs/>
          <w:color w:val="000000"/>
          <w:kern w:val="2"/>
          <w:sz w:val="22"/>
          <w:szCs w:val="22"/>
          <w14:ligatures w14:val="standardContextual"/>
        </w:rPr>
        <w:t>Third Quarter 2024 Financial Results</w:t>
      </w:r>
    </w:p>
    <w:p w14:paraId="4E5DF4E9" w14:textId="77777777" w:rsidR="00035ABA" w:rsidRPr="00035ABA" w:rsidRDefault="00035ABA" w:rsidP="00035ABA">
      <w:pPr>
        <w:jc w:val="both"/>
        <w:rPr>
          <w:rFonts w:eastAsia="Calibri"/>
          <w:b/>
          <w:bCs/>
          <w:color w:val="000000"/>
          <w:kern w:val="2"/>
          <w:sz w:val="22"/>
          <w:szCs w:val="22"/>
          <w14:ligatures w14:val="standardContextual"/>
        </w:rPr>
      </w:pPr>
    </w:p>
    <w:p w14:paraId="05896C16" w14:textId="77777777" w:rsidR="00035ABA" w:rsidRPr="00035ABA" w:rsidRDefault="00035ABA" w:rsidP="00035ABA">
      <w:pPr>
        <w:widowControl w:val="0"/>
        <w:numPr>
          <w:ilvl w:val="0"/>
          <w:numId w:val="3"/>
        </w:numPr>
        <w:autoSpaceDE w:val="0"/>
        <w:autoSpaceDN w:val="0"/>
        <w:adjustRightInd w:val="0"/>
        <w:ind w:left="360"/>
        <w:jc w:val="both"/>
        <w:rPr>
          <w:color w:val="000000"/>
          <w:sz w:val="22"/>
          <w:szCs w:val="22"/>
        </w:rPr>
      </w:pPr>
      <w:r w:rsidRPr="00035ABA">
        <w:rPr>
          <w:b/>
          <w:bCs/>
          <w:color w:val="000000"/>
          <w:sz w:val="22"/>
          <w:szCs w:val="22"/>
        </w:rPr>
        <w:t>Net Loss</w:t>
      </w:r>
      <w:r w:rsidRPr="00035ABA">
        <w:rPr>
          <w:color w:val="000000"/>
          <w:sz w:val="22"/>
          <w:szCs w:val="22"/>
        </w:rPr>
        <w:t>: Net loss for the three-month period ended September 30, 2024, was $5,815,468, or $0.91 per share, as compared to $8,408,818, or $4.75 per share, for the comparable period in 2023.</w:t>
      </w:r>
      <w:r w:rsidRPr="00035ABA">
        <w:rPr>
          <w:sz w:val="20"/>
          <w:szCs w:val="20"/>
        </w:rPr>
        <w:t xml:space="preserve"> F</w:t>
      </w:r>
      <w:r w:rsidRPr="00035ABA">
        <w:rPr>
          <w:sz w:val="22"/>
          <w:szCs w:val="22"/>
        </w:rPr>
        <w:t xml:space="preserve">or the nine months </w:t>
      </w:r>
      <w:proofErr w:type="gramStart"/>
      <w:r w:rsidRPr="00035ABA">
        <w:rPr>
          <w:sz w:val="22"/>
          <w:szCs w:val="22"/>
        </w:rPr>
        <w:t>ended</w:t>
      </w:r>
      <w:proofErr w:type="gramEnd"/>
      <w:r w:rsidRPr="00035ABA">
        <w:rPr>
          <w:sz w:val="22"/>
          <w:szCs w:val="22"/>
        </w:rPr>
        <w:t xml:space="preserve"> September 30, 2024, the Company’s net loss was $16,729,642, or $4.52 per share, as compared to $18,374,354, or $10.42 per share, in 2023. </w:t>
      </w:r>
    </w:p>
    <w:p w14:paraId="04042884" w14:textId="77777777" w:rsidR="00035ABA" w:rsidRPr="00035ABA" w:rsidRDefault="00035ABA" w:rsidP="00035ABA">
      <w:pPr>
        <w:widowControl w:val="0"/>
        <w:numPr>
          <w:ilvl w:val="0"/>
          <w:numId w:val="3"/>
        </w:numPr>
        <w:autoSpaceDE w:val="0"/>
        <w:autoSpaceDN w:val="0"/>
        <w:adjustRightInd w:val="0"/>
        <w:ind w:left="360"/>
        <w:jc w:val="both"/>
        <w:rPr>
          <w:color w:val="000000"/>
          <w:sz w:val="22"/>
          <w:szCs w:val="22"/>
        </w:rPr>
      </w:pPr>
      <w:r w:rsidRPr="00035ABA">
        <w:rPr>
          <w:b/>
          <w:bCs/>
          <w:color w:val="000000"/>
          <w:sz w:val="22"/>
          <w:szCs w:val="22"/>
        </w:rPr>
        <w:t>Revenue.</w:t>
      </w:r>
      <w:r w:rsidRPr="00035ABA">
        <w:rPr>
          <w:color w:val="000000"/>
          <w:sz w:val="22"/>
          <w:szCs w:val="22"/>
        </w:rPr>
        <w:t xml:space="preserve">  </w:t>
      </w:r>
      <w:r w:rsidRPr="00035ABA">
        <w:rPr>
          <w:sz w:val="22"/>
          <w:szCs w:val="22"/>
        </w:rPr>
        <w:t>During the three-month and nine-month periods ending September 30, 2024, the Company reported $2,789,484 and $3,090,161 of government contract revenues associated with the BARDA/RRPV Project NextGen award. There were no revenues reported during the comparable 2023 periods.</w:t>
      </w:r>
    </w:p>
    <w:p w14:paraId="2E92FCFD" w14:textId="77777777" w:rsidR="00035ABA" w:rsidRPr="00035ABA" w:rsidRDefault="00035ABA" w:rsidP="00035ABA">
      <w:pPr>
        <w:widowControl w:val="0"/>
        <w:numPr>
          <w:ilvl w:val="0"/>
          <w:numId w:val="3"/>
        </w:numPr>
        <w:autoSpaceDE w:val="0"/>
        <w:autoSpaceDN w:val="0"/>
        <w:adjustRightInd w:val="0"/>
        <w:ind w:left="360"/>
        <w:jc w:val="both"/>
        <w:rPr>
          <w:color w:val="000000"/>
          <w:sz w:val="22"/>
          <w:szCs w:val="22"/>
        </w:rPr>
      </w:pPr>
      <w:r w:rsidRPr="00035ABA">
        <w:rPr>
          <w:b/>
          <w:bCs/>
          <w:color w:val="000000"/>
          <w:sz w:val="22"/>
          <w:szCs w:val="22"/>
        </w:rPr>
        <w:t>R&amp;D Expenses</w:t>
      </w:r>
      <w:r w:rsidRPr="00035ABA">
        <w:rPr>
          <w:color w:val="000000"/>
          <w:sz w:val="22"/>
          <w:szCs w:val="22"/>
        </w:rPr>
        <w:t>: Research and development expenses were $7,402,884 and $16,105,480 for the three-month and nine-month periods ended September 30, 2024, compared with $6,947,979 and $14,486,896 for the comparable period in 2023, with the changes primarily due to costs of manufacturing materials for use in our clinical trials of GEO-CM04S1 and other costs associated with the BARDA Contract.</w:t>
      </w:r>
    </w:p>
    <w:p w14:paraId="58002FC1" w14:textId="77777777" w:rsidR="00035ABA" w:rsidRPr="00035ABA" w:rsidRDefault="00035ABA" w:rsidP="00035ABA">
      <w:pPr>
        <w:widowControl w:val="0"/>
        <w:numPr>
          <w:ilvl w:val="0"/>
          <w:numId w:val="3"/>
        </w:numPr>
        <w:autoSpaceDE w:val="0"/>
        <w:autoSpaceDN w:val="0"/>
        <w:adjustRightInd w:val="0"/>
        <w:ind w:left="360"/>
        <w:jc w:val="both"/>
        <w:rPr>
          <w:color w:val="000000"/>
          <w:sz w:val="22"/>
          <w:szCs w:val="22"/>
        </w:rPr>
      </w:pPr>
      <w:r w:rsidRPr="00035ABA">
        <w:rPr>
          <w:b/>
          <w:bCs/>
          <w:color w:val="000000"/>
          <w:sz w:val="22"/>
          <w:szCs w:val="22"/>
        </w:rPr>
        <w:t>G&amp;A Expenses</w:t>
      </w:r>
      <w:r w:rsidRPr="00035ABA">
        <w:rPr>
          <w:color w:val="000000"/>
          <w:sz w:val="22"/>
          <w:szCs w:val="22"/>
        </w:rPr>
        <w:t xml:space="preserve">: General and administrative expenses were $1,241,176 and $3,784,559 for the three-month and nine-month periods </w:t>
      </w:r>
      <w:proofErr w:type="gramStart"/>
      <w:r w:rsidRPr="00035ABA">
        <w:rPr>
          <w:color w:val="000000"/>
          <w:sz w:val="22"/>
          <w:szCs w:val="22"/>
        </w:rPr>
        <w:t>ended</w:t>
      </w:r>
      <w:proofErr w:type="gramEnd"/>
      <w:r w:rsidRPr="00035ABA">
        <w:rPr>
          <w:color w:val="000000"/>
          <w:sz w:val="22"/>
          <w:szCs w:val="22"/>
        </w:rPr>
        <w:t xml:space="preserve"> September 30, 2024, compared to $1,651,775 and $4,562,293 for the comparable periods in 2023, with the changes primarily due to lower stock-based compensation expense, consulting costs, legal and patent costs and franchise tax cost.</w:t>
      </w:r>
    </w:p>
    <w:p w14:paraId="1A34E1A6" w14:textId="77777777" w:rsidR="00035ABA" w:rsidRPr="00035ABA" w:rsidRDefault="00035ABA" w:rsidP="00035ABA">
      <w:pPr>
        <w:widowControl w:val="0"/>
        <w:numPr>
          <w:ilvl w:val="0"/>
          <w:numId w:val="3"/>
        </w:numPr>
        <w:autoSpaceDE w:val="0"/>
        <w:autoSpaceDN w:val="0"/>
        <w:adjustRightInd w:val="0"/>
        <w:ind w:left="360"/>
        <w:jc w:val="both"/>
        <w:rPr>
          <w:color w:val="000000"/>
          <w:sz w:val="22"/>
          <w:szCs w:val="22"/>
        </w:rPr>
      </w:pPr>
      <w:r w:rsidRPr="00035ABA">
        <w:rPr>
          <w:b/>
          <w:bCs/>
          <w:color w:val="000000"/>
          <w:sz w:val="22"/>
          <w:szCs w:val="22"/>
        </w:rPr>
        <w:t>Cash Position</w:t>
      </w:r>
      <w:r w:rsidRPr="00035ABA">
        <w:rPr>
          <w:color w:val="000000"/>
          <w:sz w:val="22"/>
          <w:szCs w:val="22"/>
        </w:rPr>
        <w:t xml:space="preserve">: GeoVax reported cash balances of $8,592,523 at September 30, 2024, as compared to $6,452,589 at December 31, 2023. </w:t>
      </w:r>
    </w:p>
    <w:p w14:paraId="79C14B4F" w14:textId="77777777" w:rsidR="00035ABA" w:rsidRPr="00035ABA" w:rsidRDefault="00035ABA" w:rsidP="00035ABA">
      <w:pPr>
        <w:shd w:val="clear" w:color="auto" w:fill="FFFFFF"/>
        <w:jc w:val="both"/>
        <w:rPr>
          <w:color w:val="000000"/>
          <w:sz w:val="22"/>
          <w:szCs w:val="22"/>
        </w:rPr>
      </w:pPr>
    </w:p>
    <w:p w14:paraId="077303C6" w14:textId="77777777" w:rsidR="00035ABA" w:rsidRPr="00035ABA" w:rsidRDefault="00035ABA" w:rsidP="00035ABA">
      <w:pPr>
        <w:jc w:val="both"/>
        <w:rPr>
          <w:color w:val="000000"/>
          <w:sz w:val="22"/>
          <w:szCs w:val="22"/>
        </w:rPr>
      </w:pPr>
      <w:r w:rsidRPr="00035ABA">
        <w:rPr>
          <w:color w:val="000000"/>
          <w:sz w:val="22"/>
          <w:szCs w:val="22"/>
        </w:rPr>
        <w:t xml:space="preserve">Summarized financial information is attached. Further information is included in the Company’s Quarterly Report on Form 10-Q filed with the Securities and Exchange Commission. </w:t>
      </w:r>
    </w:p>
    <w:p w14:paraId="62646FF6" w14:textId="77777777" w:rsidR="00035ABA" w:rsidRPr="00035ABA" w:rsidRDefault="00035ABA" w:rsidP="00035ABA">
      <w:pPr>
        <w:jc w:val="both"/>
        <w:rPr>
          <w:rFonts w:eastAsia="Calibri"/>
          <w:b/>
          <w:bCs/>
          <w:color w:val="000000"/>
          <w:kern w:val="2"/>
          <w:sz w:val="22"/>
          <w:szCs w:val="22"/>
          <w14:ligatures w14:val="standardContextual"/>
        </w:rPr>
      </w:pPr>
    </w:p>
    <w:p w14:paraId="42281093" w14:textId="77777777" w:rsidR="00035ABA" w:rsidRPr="00035ABA" w:rsidRDefault="00035ABA" w:rsidP="00035ABA">
      <w:pPr>
        <w:jc w:val="both"/>
        <w:rPr>
          <w:rFonts w:eastAsia="Calibri"/>
          <w:b/>
          <w:bCs/>
          <w:color w:val="000000"/>
          <w:kern w:val="2"/>
          <w:sz w:val="22"/>
          <w:szCs w:val="22"/>
          <w14:ligatures w14:val="standardContextual"/>
        </w:rPr>
      </w:pPr>
      <w:r w:rsidRPr="00035ABA">
        <w:rPr>
          <w:rFonts w:eastAsia="Calibri"/>
          <w:b/>
          <w:bCs/>
          <w:color w:val="000000"/>
          <w:kern w:val="2"/>
          <w:sz w:val="22"/>
          <w:szCs w:val="22"/>
          <w14:ligatures w14:val="standardContextual"/>
        </w:rPr>
        <w:t>Conference Call Details</w:t>
      </w:r>
    </w:p>
    <w:p w14:paraId="1610B9F0" w14:textId="77777777" w:rsidR="00035ABA" w:rsidRPr="00035ABA" w:rsidRDefault="00035ABA" w:rsidP="00035ABA">
      <w:pPr>
        <w:jc w:val="both"/>
        <w:rPr>
          <w:rFonts w:eastAsia="Calibri"/>
          <w:b/>
          <w:bCs/>
          <w:color w:val="000000"/>
          <w:kern w:val="2"/>
          <w:sz w:val="22"/>
          <w:szCs w:val="22"/>
          <w14:ligatures w14:val="standardContextual"/>
        </w:rPr>
      </w:pPr>
    </w:p>
    <w:p w14:paraId="1AB9DA32" w14:textId="77777777" w:rsidR="00035ABA" w:rsidRPr="00035ABA" w:rsidRDefault="00035ABA" w:rsidP="00035ABA">
      <w:pPr>
        <w:widowControl w:val="0"/>
        <w:autoSpaceDE w:val="0"/>
        <w:autoSpaceDN w:val="0"/>
        <w:adjustRightInd w:val="0"/>
        <w:jc w:val="both"/>
        <w:rPr>
          <w:rFonts w:eastAsia="Calibri"/>
          <w:color w:val="000000"/>
          <w:kern w:val="2"/>
          <w:sz w:val="22"/>
          <w:szCs w:val="22"/>
          <w14:ligatures w14:val="standardContextual"/>
        </w:rPr>
      </w:pPr>
      <w:r w:rsidRPr="00035ABA">
        <w:rPr>
          <w:rFonts w:eastAsia="Calibri"/>
          <w:color w:val="000000"/>
          <w:kern w:val="2"/>
          <w:sz w:val="22"/>
          <w:szCs w:val="22"/>
          <w14:ligatures w14:val="standardContextual"/>
        </w:rPr>
        <w:t xml:space="preserve">Management will host a conference call and live audio webcast to discuss third quarter 2024 financial results and provide a business update today, November 12, 2024, at 4:30 p.m. ET. To access the live conference call, participants may register </w:t>
      </w:r>
      <w:hyperlink r:id="rId14" w:history="1">
        <w:r w:rsidRPr="00035ABA">
          <w:rPr>
            <w:rFonts w:eastAsia="Calibri"/>
            <w:color w:val="0000FF"/>
            <w:sz w:val="20"/>
            <w:szCs w:val="20"/>
            <w:u w:val="single"/>
          </w:rPr>
          <w:t>here</w:t>
        </w:r>
      </w:hyperlink>
      <w:r w:rsidRPr="00035ABA">
        <w:rPr>
          <w:rFonts w:eastAsia="Calibri"/>
          <w:color w:val="000000"/>
          <w:kern w:val="2"/>
          <w:sz w:val="22"/>
          <w:szCs w:val="22"/>
          <w14:ligatures w14:val="standardContextual"/>
        </w:rPr>
        <w:t xml:space="preserve">. The live audio webcast of the call will be available under "Events and Presentations" in the Investor Relations section of the GeoVax website at </w:t>
      </w:r>
      <w:hyperlink r:id="rId15" w:history="1">
        <w:r w:rsidRPr="00035ABA">
          <w:rPr>
            <w:rFonts w:eastAsia="Calibri"/>
            <w:color w:val="0000FF"/>
            <w:kern w:val="2"/>
            <w:sz w:val="22"/>
            <w:szCs w:val="22"/>
            <w:u w:val="single"/>
            <w14:ligatures w14:val="standardContextual"/>
          </w:rPr>
          <w:t>geovax.com/investors</w:t>
        </w:r>
      </w:hyperlink>
      <w:r w:rsidRPr="00035ABA">
        <w:rPr>
          <w:rFonts w:eastAsia="Calibri"/>
          <w:color w:val="000000"/>
          <w:kern w:val="2"/>
          <w:sz w:val="22"/>
          <w:szCs w:val="22"/>
          <w14:ligatures w14:val="standardContextual"/>
        </w:rPr>
        <w:t xml:space="preserve">. To participate via telephone, please register in advance </w:t>
      </w:r>
      <w:hyperlink r:id="rId16" w:history="1">
        <w:r w:rsidRPr="00035ABA">
          <w:rPr>
            <w:rFonts w:eastAsia="Calibri"/>
            <w:color w:val="0000FF"/>
            <w:sz w:val="20"/>
            <w:szCs w:val="20"/>
            <w:u w:val="single"/>
          </w:rPr>
          <w:t>here</w:t>
        </w:r>
      </w:hyperlink>
      <w:r w:rsidRPr="00035ABA">
        <w:rPr>
          <w:rFonts w:eastAsia="Calibri"/>
          <w:color w:val="000000"/>
          <w:kern w:val="2"/>
          <w:sz w:val="22"/>
          <w:szCs w:val="22"/>
          <w14:ligatures w14:val="standardContextual"/>
        </w:rPr>
        <w:t>. Upon registration, all telephone participants will receive a confirmation email detailing how to join the conference call, including the dial-in number along with a unique passcode and registrant ID that can be used to access the call. While not required, it is recommended that participants join the call ten minutes prior to the scheduled start. An archive of the audio webcast will be available on GeoVax’s website approximately two hours after the conference call and will remain available for at least 90 days following the event.</w:t>
      </w:r>
    </w:p>
    <w:p w14:paraId="66F477DE" w14:textId="77777777" w:rsidR="00035ABA" w:rsidRPr="00035ABA" w:rsidRDefault="00035ABA" w:rsidP="00035ABA">
      <w:pPr>
        <w:jc w:val="both"/>
        <w:rPr>
          <w:color w:val="000000"/>
          <w:sz w:val="22"/>
          <w:szCs w:val="22"/>
        </w:rPr>
      </w:pPr>
    </w:p>
    <w:p w14:paraId="4BA77955" w14:textId="77777777" w:rsidR="00035ABA" w:rsidRPr="00035ABA" w:rsidRDefault="00035ABA" w:rsidP="00035ABA">
      <w:pPr>
        <w:widowControl w:val="0"/>
        <w:autoSpaceDE w:val="0"/>
        <w:autoSpaceDN w:val="0"/>
        <w:adjustRightInd w:val="0"/>
        <w:jc w:val="both"/>
        <w:outlineLvl w:val="0"/>
        <w:rPr>
          <w:rFonts w:eastAsia="SimSun"/>
          <w:color w:val="000000"/>
          <w:sz w:val="22"/>
          <w:szCs w:val="22"/>
        </w:rPr>
      </w:pPr>
      <w:bookmarkStart w:id="0" w:name="_Hlk135652404"/>
      <w:r w:rsidRPr="00035ABA">
        <w:rPr>
          <w:rFonts w:eastAsia="SimSun"/>
          <w:b/>
          <w:bCs/>
          <w:color w:val="000000"/>
          <w:sz w:val="22"/>
          <w:szCs w:val="22"/>
        </w:rPr>
        <w:t>About GeoVax</w:t>
      </w:r>
    </w:p>
    <w:bookmarkEnd w:id="0"/>
    <w:p w14:paraId="72E68B1E" w14:textId="77777777" w:rsidR="00035ABA" w:rsidRPr="00035ABA" w:rsidRDefault="00035ABA" w:rsidP="00035ABA">
      <w:pPr>
        <w:widowControl w:val="0"/>
        <w:autoSpaceDE w:val="0"/>
        <w:autoSpaceDN w:val="0"/>
        <w:adjustRightInd w:val="0"/>
        <w:jc w:val="both"/>
        <w:outlineLvl w:val="0"/>
        <w:rPr>
          <w:rFonts w:eastAsia="SimSun"/>
          <w:color w:val="000000"/>
          <w:sz w:val="22"/>
          <w:szCs w:val="22"/>
        </w:rPr>
      </w:pPr>
    </w:p>
    <w:p w14:paraId="1173E48E" w14:textId="77777777" w:rsidR="00035ABA" w:rsidRPr="00035ABA" w:rsidRDefault="00035ABA" w:rsidP="00035ABA">
      <w:pPr>
        <w:widowControl w:val="0"/>
        <w:autoSpaceDE w:val="0"/>
        <w:autoSpaceDN w:val="0"/>
        <w:adjustRightInd w:val="0"/>
        <w:jc w:val="both"/>
        <w:rPr>
          <w:rFonts w:eastAsia="SimSun"/>
          <w:color w:val="000000"/>
          <w:sz w:val="22"/>
          <w:szCs w:val="22"/>
        </w:rPr>
      </w:pPr>
      <w:r w:rsidRPr="00035ABA">
        <w:rPr>
          <w:rFonts w:eastAsia="SimSun"/>
          <w:color w:val="000000"/>
          <w:sz w:val="22"/>
          <w:szCs w:val="22"/>
        </w:rPr>
        <w:t>GeoVax Labs, Inc. is a clinical-stage biotechnology company developing novel vaccines for many of the world’s most threatening infectious diseases and therapies for solid tumor cancers. The company’s lead clinical program is GEO-CM04S1, a next-generation COVID-19 vaccine for which GeoVax was recently awarded a BARDA-funded contract to sponsor a 10,000-participant Phase 2b clinical trial to evaluate the efficacy of GEO-CM04S1 versus an approved COVID-19 vaccine. In addition, GEO-CM04S1 is currently in three Phase 2 clinical trials, being evaluated as (1) a primary vaccine for immunocompromised patients such as those suffering from hematologic cancers and other patient populations for whom the current authorized COVID-19 vaccines are insufficient, (2) a booster vaccine in patients with chronic lymphocytic leukemia (CLL) and (3) a more robust, durable COVID-19 booster among healthy patients who previously received the mRNA vaccines. In oncology the lead clinical program is evaluating a novel oncolytic solid tumor gene-directed therapy, Gedeptin®, having recently completed a multicenter Phase 1/2 clinical trial for advanced head and neck cancers. A Phase 2 clinical trial in first recurrent head and neck cancer, evaluating Gedeptin</w:t>
      </w:r>
      <w:r w:rsidRPr="00035ABA">
        <w:rPr>
          <w:rFonts w:eastAsia="SimSun"/>
          <w:color w:val="000000"/>
          <w:sz w:val="22"/>
          <w:szCs w:val="22"/>
          <w:vertAlign w:val="superscript"/>
        </w:rPr>
        <w:t>®</w:t>
      </w:r>
      <w:r w:rsidRPr="00035ABA">
        <w:rPr>
          <w:rFonts w:eastAsia="SimSun"/>
          <w:color w:val="000000"/>
          <w:sz w:val="22"/>
          <w:szCs w:val="22"/>
        </w:rPr>
        <w:t xml:space="preserve"> combined with an immune checkpoint inhibitor is planned to initiate during the first </w:t>
      </w:r>
      <w:proofErr w:type="gramStart"/>
      <w:r w:rsidRPr="00035ABA">
        <w:rPr>
          <w:rFonts w:eastAsia="SimSun"/>
          <w:color w:val="000000"/>
          <w:sz w:val="22"/>
          <w:szCs w:val="22"/>
        </w:rPr>
        <w:t>half</w:t>
      </w:r>
      <w:proofErr w:type="gramEnd"/>
      <w:r w:rsidRPr="00035ABA">
        <w:rPr>
          <w:rFonts w:eastAsia="SimSun"/>
          <w:color w:val="000000"/>
          <w:sz w:val="22"/>
          <w:szCs w:val="22"/>
        </w:rPr>
        <w:t xml:space="preserve"> 2025. GeoVax has a strong IP portfolio in support of its technologies and product candidates, holding worldwide rights for its technologies and products. The Company has a leadership team who have driven significant value creation across multiple life science companies over the past several decades. For more information about the </w:t>
      </w:r>
      <w:proofErr w:type="gramStart"/>
      <w:r w:rsidRPr="00035ABA">
        <w:rPr>
          <w:rFonts w:eastAsia="SimSun"/>
          <w:color w:val="000000"/>
          <w:sz w:val="22"/>
          <w:szCs w:val="22"/>
        </w:rPr>
        <w:t>current status</w:t>
      </w:r>
      <w:proofErr w:type="gramEnd"/>
      <w:r w:rsidRPr="00035ABA">
        <w:rPr>
          <w:rFonts w:eastAsia="SimSun"/>
          <w:color w:val="000000"/>
          <w:sz w:val="22"/>
          <w:szCs w:val="22"/>
        </w:rPr>
        <w:t xml:space="preserve"> of our clinical trials and other updates, visit our website: </w:t>
      </w:r>
      <w:hyperlink r:id="rId17" w:history="1">
        <w:r w:rsidRPr="00035ABA">
          <w:rPr>
            <w:rFonts w:eastAsia="SimSun"/>
            <w:color w:val="0000FF"/>
            <w:sz w:val="22"/>
            <w:szCs w:val="22"/>
            <w:u w:val="single"/>
          </w:rPr>
          <w:t>www.geovax.com</w:t>
        </w:r>
      </w:hyperlink>
      <w:r w:rsidRPr="00035ABA">
        <w:rPr>
          <w:rFonts w:eastAsia="SimSun"/>
          <w:color w:val="000000"/>
          <w:sz w:val="22"/>
          <w:szCs w:val="22"/>
        </w:rPr>
        <w:t>.</w:t>
      </w:r>
    </w:p>
    <w:p w14:paraId="2613C95E" w14:textId="77777777" w:rsidR="00035ABA" w:rsidRPr="00035ABA" w:rsidRDefault="00035ABA" w:rsidP="00035ABA">
      <w:pPr>
        <w:widowControl w:val="0"/>
        <w:autoSpaceDE w:val="0"/>
        <w:autoSpaceDN w:val="0"/>
        <w:adjustRightInd w:val="0"/>
        <w:jc w:val="both"/>
        <w:outlineLvl w:val="0"/>
        <w:rPr>
          <w:rFonts w:eastAsia="SimSun"/>
          <w:bCs/>
          <w:iCs/>
          <w:sz w:val="22"/>
          <w:szCs w:val="22"/>
        </w:rPr>
      </w:pPr>
    </w:p>
    <w:p w14:paraId="6020F450" w14:textId="77777777" w:rsidR="00035ABA" w:rsidRPr="00035ABA" w:rsidRDefault="00035ABA" w:rsidP="00035ABA">
      <w:pPr>
        <w:jc w:val="both"/>
        <w:rPr>
          <w:i/>
          <w:iCs/>
          <w:sz w:val="20"/>
          <w:szCs w:val="20"/>
        </w:rPr>
      </w:pPr>
      <w:r w:rsidRPr="00035ABA">
        <w:rPr>
          <w:i/>
          <w:iCs/>
          <w:sz w:val="20"/>
          <w:szCs w:val="20"/>
        </w:rPr>
        <w:t>Forward-Looking Statements</w:t>
      </w:r>
    </w:p>
    <w:p w14:paraId="6B4980BE" w14:textId="77777777" w:rsidR="00035ABA" w:rsidRPr="00035ABA" w:rsidRDefault="00035ABA" w:rsidP="00035ABA">
      <w:pPr>
        <w:shd w:val="clear" w:color="auto" w:fill="FFFFFF"/>
        <w:jc w:val="both"/>
        <w:rPr>
          <w:sz w:val="22"/>
          <w:szCs w:val="22"/>
        </w:rPr>
      </w:pPr>
    </w:p>
    <w:p w14:paraId="7DDCF780" w14:textId="77777777" w:rsidR="00035ABA" w:rsidRPr="00035ABA" w:rsidRDefault="00035ABA" w:rsidP="00035ABA">
      <w:pPr>
        <w:shd w:val="clear" w:color="auto" w:fill="FFFFFF"/>
        <w:jc w:val="both"/>
        <w:rPr>
          <w:rFonts w:eastAsia="SimSun"/>
          <w:i/>
          <w:iCs/>
          <w:sz w:val="20"/>
          <w:szCs w:val="20"/>
        </w:rPr>
      </w:pPr>
      <w:r w:rsidRPr="00035ABA">
        <w:rPr>
          <w:rFonts w:eastAsia="SimSun"/>
          <w:i/>
          <w:iCs/>
          <w:sz w:val="20"/>
          <w:szCs w:val="20"/>
        </w:rPr>
        <w:t xml:space="preserve">This release contains forward-looking statements regarding GeoVax’s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 obtain acceptable results from ongoing or future clinical trials of its investigational products, GeoVax’s immuno-oncology products and preventative vaccines can provoke the desired responses, and those products or vaccines can be used effectively, GeoVax’s viral vector technology adequately amplifies immune responses to cancer antigens, GeoVax can develop and manufacture its immuno-oncology products and preventative vaccines with the desired characteristics in a timely manner, GeoVax’s immuno-oncology products and preventative vaccines will be safe for human use, GeoVax’s vaccines will effectively prevent targeted infections in humans, GeoVax’s immuno-oncology products and preventative vaccines will receive regulatory approvals necessary to be licensed and marketed, GeoVax raises required capital to complete development, there is development of competitive products that may be more effective or easier to use than GeoVax’s products, GeoVax will be able to enter into favorable manufacturing and distribution agreements, and other factors, over which GeoVax has no control. </w:t>
      </w:r>
    </w:p>
    <w:p w14:paraId="210FDAB8" w14:textId="77777777" w:rsidR="00035ABA" w:rsidRPr="00035ABA" w:rsidRDefault="00035ABA" w:rsidP="00035ABA">
      <w:pPr>
        <w:shd w:val="clear" w:color="auto" w:fill="FFFFFF"/>
        <w:jc w:val="both"/>
        <w:rPr>
          <w:rFonts w:eastAsia="SimSun"/>
          <w:i/>
          <w:iCs/>
          <w:sz w:val="20"/>
          <w:szCs w:val="20"/>
        </w:rPr>
      </w:pPr>
    </w:p>
    <w:p w14:paraId="78468A00" w14:textId="77777777" w:rsidR="00035ABA" w:rsidRPr="00035ABA" w:rsidRDefault="00035ABA" w:rsidP="00035ABA">
      <w:pPr>
        <w:shd w:val="clear" w:color="auto" w:fill="FFFFFF"/>
        <w:jc w:val="both"/>
        <w:rPr>
          <w:rFonts w:eastAsia="SimSun"/>
          <w:i/>
          <w:iCs/>
          <w:sz w:val="20"/>
          <w:szCs w:val="20"/>
        </w:rPr>
      </w:pPr>
      <w:r w:rsidRPr="00035ABA">
        <w:rPr>
          <w:rFonts w:eastAsia="SimSun"/>
          <w:i/>
          <w:iCs/>
          <w:sz w:val="20"/>
          <w:szCs w:val="20"/>
        </w:rPr>
        <w:t xml:space="preserve">Further information on our risk factors is contained in our periodic reports on Form 10-Q and Form 10-K that we have filed and will file with the SEC. Any forward-looking statement made by us herein speaks only as of the date on which it is made. </w:t>
      </w:r>
      <w:r w:rsidRPr="00035ABA">
        <w:rPr>
          <w:rFonts w:eastAsia="SimSun"/>
          <w:i/>
          <w:iCs/>
          <w:sz w:val="20"/>
          <w:szCs w:val="20"/>
        </w:rPr>
        <w:lastRenderedPageBreak/>
        <w:t xml:space="preserve">Factors or events that could cause our actual results to differ may emerge from time to time, and it is not possible for us to predict all of them. We undertake no obligation to publicly update any forward-looking statement, whether </w:t>
      </w:r>
      <w:proofErr w:type="gramStart"/>
      <w:r w:rsidRPr="00035ABA">
        <w:rPr>
          <w:rFonts w:eastAsia="SimSun"/>
          <w:i/>
          <w:iCs/>
          <w:sz w:val="20"/>
          <w:szCs w:val="20"/>
        </w:rPr>
        <w:t>as a result of</w:t>
      </w:r>
      <w:proofErr w:type="gramEnd"/>
      <w:r w:rsidRPr="00035ABA">
        <w:rPr>
          <w:rFonts w:eastAsia="SimSun"/>
          <w:i/>
          <w:iCs/>
          <w:sz w:val="20"/>
          <w:szCs w:val="20"/>
        </w:rPr>
        <w:t xml:space="preserve"> new information, future developments or otherwise, except as may be required by law. </w:t>
      </w:r>
    </w:p>
    <w:p w14:paraId="452914F1" w14:textId="77777777" w:rsidR="00035ABA" w:rsidRPr="00035ABA" w:rsidRDefault="00035ABA" w:rsidP="00035ABA">
      <w:pPr>
        <w:jc w:val="both"/>
        <w:rPr>
          <w:bCs/>
          <w:sz w:val="22"/>
          <w:szCs w:val="22"/>
        </w:rPr>
      </w:pPr>
    </w:p>
    <w:p w14:paraId="54152D9A" w14:textId="77777777" w:rsidR="00035ABA" w:rsidRPr="00035ABA" w:rsidRDefault="00035ABA" w:rsidP="00035ABA">
      <w:pPr>
        <w:tabs>
          <w:tab w:val="left" w:pos="2880"/>
          <w:tab w:val="left" w:pos="6480"/>
        </w:tabs>
        <w:jc w:val="both"/>
        <w:rPr>
          <w:b/>
          <w:bCs/>
          <w:color w:val="000000"/>
          <w:sz w:val="22"/>
          <w:szCs w:val="22"/>
        </w:rPr>
      </w:pPr>
      <w:r w:rsidRPr="00035ABA">
        <w:rPr>
          <w:b/>
          <w:bCs/>
          <w:color w:val="000000"/>
          <w:sz w:val="22"/>
          <w:szCs w:val="22"/>
        </w:rPr>
        <w:t>Company Contact:</w:t>
      </w:r>
      <w:r w:rsidRPr="00035ABA">
        <w:rPr>
          <w:szCs w:val="20"/>
        </w:rPr>
        <w:tab/>
      </w:r>
      <w:r w:rsidRPr="00035ABA">
        <w:rPr>
          <w:b/>
          <w:bCs/>
          <w:color w:val="000000"/>
          <w:sz w:val="22"/>
          <w:szCs w:val="22"/>
        </w:rPr>
        <w:t>Investor Relations Contact:</w:t>
      </w:r>
      <w:r w:rsidRPr="00035ABA">
        <w:rPr>
          <w:szCs w:val="20"/>
        </w:rPr>
        <w:tab/>
      </w:r>
      <w:r w:rsidRPr="00035ABA">
        <w:rPr>
          <w:b/>
          <w:bCs/>
          <w:color w:val="000000"/>
          <w:sz w:val="22"/>
          <w:szCs w:val="22"/>
        </w:rPr>
        <w:t>Media Contact:</w:t>
      </w:r>
    </w:p>
    <w:p w14:paraId="4B8354CC" w14:textId="77777777" w:rsidR="00035ABA" w:rsidRPr="00035ABA" w:rsidRDefault="00035ABA" w:rsidP="00035ABA">
      <w:pPr>
        <w:tabs>
          <w:tab w:val="left" w:pos="2880"/>
          <w:tab w:val="left" w:pos="6480"/>
        </w:tabs>
        <w:jc w:val="both"/>
        <w:rPr>
          <w:bCs/>
          <w:sz w:val="22"/>
          <w:szCs w:val="22"/>
        </w:rPr>
      </w:pPr>
      <w:hyperlink r:id="rId18" w:history="1">
        <w:r w:rsidRPr="00035ABA">
          <w:rPr>
            <w:bCs/>
            <w:color w:val="0000FF"/>
            <w:sz w:val="22"/>
            <w:szCs w:val="22"/>
            <w:u w:val="single"/>
          </w:rPr>
          <w:t>info@geovax.com</w:t>
        </w:r>
      </w:hyperlink>
      <w:r w:rsidRPr="00035ABA">
        <w:rPr>
          <w:bCs/>
          <w:sz w:val="22"/>
          <w:szCs w:val="22"/>
        </w:rPr>
        <w:tab/>
      </w:r>
      <w:hyperlink r:id="rId19" w:history="1"/>
      <w:hyperlink r:id="rId20" w:history="1">
        <w:r w:rsidRPr="00035ABA">
          <w:rPr>
            <w:bCs/>
            <w:color w:val="0000FF"/>
            <w:sz w:val="22"/>
            <w:szCs w:val="22"/>
            <w:u w:val="single"/>
          </w:rPr>
          <w:t>austin.murtagh@precisionaq.com</w:t>
        </w:r>
      </w:hyperlink>
      <w:r w:rsidRPr="00035ABA">
        <w:rPr>
          <w:bCs/>
          <w:sz w:val="22"/>
          <w:szCs w:val="22"/>
        </w:rPr>
        <w:tab/>
      </w:r>
      <w:hyperlink r:id="rId21" w:history="1">
        <w:r w:rsidRPr="00035ABA">
          <w:rPr>
            <w:bCs/>
            <w:color w:val="0000FF"/>
            <w:sz w:val="22"/>
            <w:szCs w:val="22"/>
            <w:u w:val="single"/>
          </w:rPr>
          <w:t>sr@roberts-communications.com</w:t>
        </w:r>
      </w:hyperlink>
    </w:p>
    <w:p w14:paraId="0858E683" w14:textId="77777777" w:rsidR="00035ABA" w:rsidRPr="00035ABA" w:rsidRDefault="00035ABA" w:rsidP="00035ABA">
      <w:pPr>
        <w:tabs>
          <w:tab w:val="left" w:pos="2880"/>
          <w:tab w:val="left" w:pos="6480"/>
        </w:tabs>
        <w:jc w:val="both"/>
        <w:rPr>
          <w:bCs/>
          <w:sz w:val="22"/>
          <w:szCs w:val="22"/>
        </w:rPr>
      </w:pPr>
      <w:r w:rsidRPr="00035ABA">
        <w:rPr>
          <w:bCs/>
          <w:sz w:val="22"/>
          <w:szCs w:val="22"/>
        </w:rPr>
        <w:t>678-384-7220</w:t>
      </w:r>
      <w:r w:rsidRPr="00035ABA">
        <w:rPr>
          <w:bCs/>
          <w:sz w:val="22"/>
          <w:szCs w:val="22"/>
        </w:rPr>
        <w:tab/>
        <w:t>212-698-8696</w:t>
      </w:r>
      <w:r w:rsidRPr="00035ABA">
        <w:rPr>
          <w:bCs/>
          <w:sz w:val="22"/>
          <w:szCs w:val="22"/>
        </w:rPr>
        <w:tab/>
        <w:t>202-779-0929</w:t>
      </w:r>
    </w:p>
    <w:p w14:paraId="558FDF3E" w14:textId="77777777" w:rsidR="00035ABA" w:rsidRPr="00035ABA" w:rsidRDefault="00035ABA" w:rsidP="00035ABA">
      <w:pPr>
        <w:rPr>
          <w:sz w:val="20"/>
          <w:szCs w:val="20"/>
        </w:rPr>
      </w:pPr>
    </w:p>
    <w:p w14:paraId="0B743B72" w14:textId="77777777" w:rsidR="00035ABA" w:rsidRPr="00035ABA" w:rsidRDefault="00035ABA" w:rsidP="00035ABA">
      <w:pPr>
        <w:widowControl w:val="0"/>
        <w:autoSpaceDE w:val="0"/>
        <w:autoSpaceDN w:val="0"/>
        <w:adjustRightInd w:val="0"/>
        <w:jc w:val="both"/>
        <w:rPr>
          <w:sz w:val="20"/>
          <w:szCs w:val="20"/>
        </w:rPr>
      </w:pPr>
    </w:p>
    <w:p w14:paraId="051949CD" w14:textId="77777777" w:rsidR="00035ABA" w:rsidRPr="00035ABA" w:rsidRDefault="00035ABA" w:rsidP="00035ABA">
      <w:pPr>
        <w:widowControl w:val="0"/>
        <w:autoSpaceDE w:val="0"/>
        <w:autoSpaceDN w:val="0"/>
        <w:adjustRightInd w:val="0"/>
        <w:jc w:val="center"/>
        <w:rPr>
          <w:sz w:val="20"/>
          <w:szCs w:val="20"/>
        </w:rPr>
      </w:pPr>
      <w:r w:rsidRPr="00035ABA">
        <w:rPr>
          <w:b/>
          <w:sz w:val="20"/>
          <w:szCs w:val="20"/>
        </w:rPr>
        <w:t>FINANCIAL TABLES FOLLOW</w:t>
      </w:r>
    </w:p>
    <w:p w14:paraId="3630F898" w14:textId="77777777" w:rsidR="00035ABA" w:rsidRPr="00035ABA" w:rsidRDefault="00035ABA" w:rsidP="00035ABA">
      <w:pPr>
        <w:widowControl w:val="0"/>
        <w:autoSpaceDE w:val="0"/>
        <w:autoSpaceDN w:val="0"/>
        <w:adjustRightInd w:val="0"/>
        <w:rPr>
          <w:sz w:val="20"/>
          <w:szCs w:val="20"/>
        </w:rPr>
        <w:sectPr w:rsidR="00035ABA" w:rsidRPr="00035ABA" w:rsidSect="00035ABA">
          <w:footerReference w:type="default" r:id="rId22"/>
          <w:headerReference w:type="first" r:id="rId23"/>
          <w:footerReference w:type="first" r:id="rId24"/>
          <w:pgSz w:w="12240" w:h="15840" w:code="1"/>
          <w:pgMar w:top="1296" w:right="1152" w:bottom="1008" w:left="1152"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30"/>
        <w:gridCol w:w="448"/>
        <w:gridCol w:w="1208"/>
        <w:gridCol w:w="1208"/>
        <w:gridCol w:w="1208"/>
        <w:gridCol w:w="1208"/>
      </w:tblGrid>
      <w:tr w:rsidR="00035ABA" w:rsidRPr="00035ABA" w14:paraId="78805383" w14:textId="77777777" w:rsidTr="00487863">
        <w:trPr>
          <w:cantSplit/>
          <w:trHeight w:val="293"/>
        </w:trPr>
        <w:tc>
          <w:tcPr>
            <w:tcW w:w="9930" w:type="dxa"/>
            <w:gridSpan w:val="9"/>
          </w:tcPr>
          <w:p w14:paraId="0FBD9EC3" w14:textId="77777777" w:rsidR="00035ABA" w:rsidRPr="00035ABA" w:rsidRDefault="00035ABA" w:rsidP="00035ABA">
            <w:pPr>
              <w:widowControl w:val="0"/>
              <w:autoSpaceDE w:val="0"/>
              <w:autoSpaceDN w:val="0"/>
              <w:adjustRightInd w:val="0"/>
              <w:jc w:val="center"/>
              <w:rPr>
                <w:snapToGrid w:val="0"/>
                <w:sz w:val="20"/>
                <w:szCs w:val="20"/>
              </w:rPr>
            </w:pPr>
            <w:r w:rsidRPr="00035ABA">
              <w:rPr>
                <w:b/>
                <w:bCs/>
                <w:snapToGrid w:val="0"/>
                <w:sz w:val="20"/>
                <w:szCs w:val="20"/>
              </w:rPr>
              <w:lastRenderedPageBreak/>
              <w:t>GEOVAX LABS, INC.</w:t>
            </w:r>
          </w:p>
        </w:tc>
      </w:tr>
      <w:tr w:rsidR="00035ABA" w:rsidRPr="00035ABA" w14:paraId="133099E0" w14:textId="77777777" w:rsidTr="00487863">
        <w:trPr>
          <w:cantSplit/>
          <w:trHeight w:val="293"/>
        </w:trPr>
        <w:tc>
          <w:tcPr>
            <w:tcW w:w="9930" w:type="dxa"/>
            <w:gridSpan w:val="9"/>
          </w:tcPr>
          <w:p w14:paraId="6E10BD07" w14:textId="77777777" w:rsidR="00035ABA" w:rsidRPr="00035ABA" w:rsidRDefault="00035ABA" w:rsidP="00035ABA">
            <w:pPr>
              <w:widowControl w:val="0"/>
              <w:autoSpaceDE w:val="0"/>
              <w:autoSpaceDN w:val="0"/>
              <w:adjustRightInd w:val="0"/>
              <w:jc w:val="center"/>
              <w:rPr>
                <w:snapToGrid w:val="0"/>
                <w:sz w:val="20"/>
                <w:szCs w:val="20"/>
              </w:rPr>
            </w:pPr>
            <w:r w:rsidRPr="00035ABA">
              <w:rPr>
                <w:b/>
                <w:bCs/>
                <w:snapToGrid w:val="0"/>
                <w:sz w:val="20"/>
                <w:szCs w:val="20"/>
              </w:rPr>
              <w:t>Condensed Consolidated Statements of Operations Information</w:t>
            </w:r>
          </w:p>
        </w:tc>
      </w:tr>
      <w:tr w:rsidR="00035ABA" w:rsidRPr="00035ABA" w14:paraId="73734361" w14:textId="77777777" w:rsidTr="00487863">
        <w:trPr>
          <w:cantSplit/>
          <w:trHeight w:val="293"/>
        </w:trPr>
        <w:tc>
          <w:tcPr>
            <w:tcW w:w="9930" w:type="dxa"/>
            <w:gridSpan w:val="9"/>
          </w:tcPr>
          <w:p w14:paraId="4A8BE23E" w14:textId="77777777" w:rsidR="00035ABA" w:rsidRPr="00035ABA" w:rsidRDefault="00035ABA" w:rsidP="00035ABA">
            <w:pPr>
              <w:widowControl w:val="0"/>
              <w:autoSpaceDE w:val="0"/>
              <w:autoSpaceDN w:val="0"/>
              <w:adjustRightInd w:val="0"/>
              <w:jc w:val="center"/>
              <w:rPr>
                <w:i/>
                <w:snapToGrid w:val="0"/>
                <w:sz w:val="20"/>
                <w:szCs w:val="20"/>
              </w:rPr>
            </w:pPr>
            <w:r w:rsidRPr="00035ABA">
              <w:rPr>
                <w:bCs/>
                <w:i/>
                <w:snapToGrid w:val="0"/>
                <w:sz w:val="20"/>
                <w:szCs w:val="20"/>
              </w:rPr>
              <w:t>(amounts in thousands, except common share information)</w:t>
            </w:r>
          </w:p>
        </w:tc>
      </w:tr>
      <w:tr w:rsidR="00035ABA" w:rsidRPr="00035ABA" w14:paraId="452BE3A5" w14:textId="77777777" w:rsidTr="00487863">
        <w:trPr>
          <w:cantSplit/>
          <w:trHeight w:val="293"/>
        </w:trPr>
        <w:tc>
          <w:tcPr>
            <w:tcW w:w="9930" w:type="dxa"/>
            <w:gridSpan w:val="9"/>
          </w:tcPr>
          <w:p w14:paraId="27ECDECB" w14:textId="77777777" w:rsidR="00035ABA" w:rsidRPr="00035ABA" w:rsidRDefault="00035ABA" w:rsidP="00035ABA">
            <w:pPr>
              <w:widowControl w:val="0"/>
              <w:autoSpaceDE w:val="0"/>
              <w:autoSpaceDN w:val="0"/>
              <w:adjustRightInd w:val="0"/>
              <w:jc w:val="center"/>
              <w:rPr>
                <w:bCs/>
                <w:i/>
                <w:snapToGrid w:val="0"/>
                <w:sz w:val="20"/>
                <w:szCs w:val="20"/>
              </w:rPr>
            </w:pPr>
          </w:p>
        </w:tc>
      </w:tr>
      <w:tr w:rsidR="00035ABA" w:rsidRPr="00035ABA" w14:paraId="50C030DC" w14:textId="77777777" w:rsidTr="00487863">
        <w:trPr>
          <w:trHeight w:val="276"/>
        </w:trPr>
        <w:tc>
          <w:tcPr>
            <w:tcW w:w="237" w:type="dxa"/>
          </w:tcPr>
          <w:p w14:paraId="3FC8F8DF"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462" w:type="dxa"/>
          </w:tcPr>
          <w:p w14:paraId="1C006B3D"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2921" w:type="dxa"/>
          </w:tcPr>
          <w:p w14:paraId="571ED009"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478" w:type="dxa"/>
            <w:gridSpan w:val="2"/>
          </w:tcPr>
          <w:p w14:paraId="541FD10B"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2416" w:type="dxa"/>
            <w:gridSpan w:val="2"/>
          </w:tcPr>
          <w:p w14:paraId="63A382CA" w14:textId="77777777" w:rsidR="00035ABA" w:rsidRPr="00035ABA" w:rsidRDefault="00035ABA" w:rsidP="00035ABA">
            <w:pPr>
              <w:widowControl w:val="0"/>
              <w:autoSpaceDE w:val="0"/>
              <w:autoSpaceDN w:val="0"/>
              <w:adjustRightInd w:val="0"/>
              <w:spacing w:line="276" w:lineRule="auto"/>
              <w:jc w:val="center"/>
              <w:rPr>
                <w:snapToGrid w:val="0"/>
                <w:sz w:val="20"/>
                <w:szCs w:val="20"/>
              </w:rPr>
            </w:pPr>
            <w:r w:rsidRPr="00035ABA">
              <w:rPr>
                <w:snapToGrid w:val="0"/>
                <w:sz w:val="20"/>
                <w:szCs w:val="20"/>
              </w:rPr>
              <w:t>Three Months Ended</w:t>
            </w:r>
          </w:p>
        </w:tc>
        <w:tc>
          <w:tcPr>
            <w:tcW w:w="2416" w:type="dxa"/>
            <w:gridSpan w:val="2"/>
          </w:tcPr>
          <w:p w14:paraId="12DD5986" w14:textId="77777777" w:rsidR="00035ABA" w:rsidRPr="00035ABA" w:rsidRDefault="00035ABA" w:rsidP="00035ABA">
            <w:pPr>
              <w:widowControl w:val="0"/>
              <w:autoSpaceDE w:val="0"/>
              <w:autoSpaceDN w:val="0"/>
              <w:adjustRightInd w:val="0"/>
              <w:spacing w:line="276" w:lineRule="auto"/>
              <w:jc w:val="center"/>
              <w:rPr>
                <w:snapToGrid w:val="0"/>
                <w:sz w:val="20"/>
                <w:szCs w:val="20"/>
              </w:rPr>
            </w:pPr>
            <w:r w:rsidRPr="00035ABA">
              <w:rPr>
                <w:snapToGrid w:val="0"/>
                <w:sz w:val="20"/>
                <w:szCs w:val="20"/>
              </w:rPr>
              <w:t>Nine Months Ended</w:t>
            </w:r>
          </w:p>
        </w:tc>
      </w:tr>
      <w:tr w:rsidR="00035ABA" w:rsidRPr="00035ABA" w14:paraId="5BCC9076" w14:textId="77777777" w:rsidTr="00487863">
        <w:trPr>
          <w:trHeight w:val="276"/>
        </w:trPr>
        <w:tc>
          <w:tcPr>
            <w:tcW w:w="237" w:type="dxa"/>
          </w:tcPr>
          <w:p w14:paraId="781F5730"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462" w:type="dxa"/>
          </w:tcPr>
          <w:p w14:paraId="6560C286"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2921" w:type="dxa"/>
          </w:tcPr>
          <w:p w14:paraId="4C1372B5"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478" w:type="dxa"/>
            <w:gridSpan w:val="2"/>
          </w:tcPr>
          <w:p w14:paraId="21247667"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2416" w:type="dxa"/>
            <w:gridSpan w:val="2"/>
            <w:tcBorders>
              <w:bottom w:val="single" w:sz="4" w:space="0" w:color="auto"/>
            </w:tcBorders>
          </w:tcPr>
          <w:p w14:paraId="0EDF0F6F" w14:textId="77777777" w:rsidR="00035ABA" w:rsidRPr="00035ABA" w:rsidRDefault="00035ABA" w:rsidP="00035ABA">
            <w:pPr>
              <w:widowControl w:val="0"/>
              <w:autoSpaceDE w:val="0"/>
              <w:autoSpaceDN w:val="0"/>
              <w:adjustRightInd w:val="0"/>
              <w:spacing w:line="276" w:lineRule="auto"/>
              <w:jc w:val="center"/>
              <w:rPr>
                <w:snapToGrid w:val="0"/>
                <w:sz w:val="20"/>
                <w:szCs w:val="20"/>
              </w:rPr>
            </w:pPr>
            <w:r w:rsidRPr="00035ABA">
              <w:rPr>
                <w:snapToGrid w:val="0"/>
                <w:sz w:val="20"/>
                <w:szCs w:val="20"/>
              </w:rPr>
              <w:t>September 30,</w:t>
            </w:r>
          </w:p>
        </w:tc>
        <w:tc>
          <w:tcPr>
            <w:tcW w:w="2416" w:type="dxa"/>
            <w:gridSpan w:val="2"/>
            <w:tcBorders>
              <w:bottom w:val="single" w:sz="6" w:space="0" w:color="auto"/>
            </w:tcBorders>
          </w:tcPr>
          <w:p w14:paraId="1E5FC9C7" w14:textId="77777777" w:rsidR="00035ABA" w:rsidRPr="00035ABA" w:rsidRDefault="00035ABA" w:rsidP="00035ABA">
            <w:pPr>
              <w:widowControl w:val="0"/>
              <w:autoSpaceDE w:val="0"/>
              <w:autoSpaceDN w:val="0"/>
              <w:adjustRightInd w:val="0"/>
              <w:spacing w:line="276" w:lineRule="auto"/>
              <w:jc w:val="center"/>
              <w:rPr>
                <w:snapToGrid w:val="0"/>
                <w:sz w:val="20"/>
                <w:szCs w:val="20"/>
              </w:rPr>
            </w:pPr>
            <w:r w:rsidRPr="00035ABA">
              <w:rPr>
                <w:snapToGrid w:val="0"/>
                <w:sz w:val="20"/>
                <w:szCs w:val="20"/>
              </w:rPr>
              <w:t xml:space="preserve">September 30, </w:t>
            </w:r>
          </w:p>
        </w:tc>
      </w:tr>
      <w:tr w:rsidR="00035ABA" w:rsidRPr="00035ABA" w14:paraId="7FDAC2FF" w14:textId="77777777" w:rsidTr="00487863">
        <w:trPr>
          <w:trHeight w:val="276"/>
        </w:trPr>
        <w:tc>
          <w:tcPr>
            <w:tcW w:w="237" w:type="dxa"/>
          </w:tcPr>
          <w:p w14:paraId="51CEEF69"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462" w:type="dxa"/>
          </w:tcPr>
          <w:p w14:paraId="0AC3623E"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2921" w:type="dxa"/>
          </w:tcPr>
          <w:p w14:paraId="049CA8DD"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478" w:type="dxa"/>
            <w:gridSpan w:val="2"/>
          </w:tcPr>
          <w:p w14:paraId="0906CC94"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208" w:type="dxa"/>
            <w:tcBorders>
              <w:top w:val="single" w:sz="4" w:space="0" w:color="auto"/>
              <w:bottom w:val="single" w:sz="4" w:space="0" w:color="auto"/>
            </w:tcBorders>
          </w:tcPr>
          <w:p w14:paraId="64E2F645" w14:textId="77777777" w:rsidR="00035ABA" w:rsidRPr="00035ABA" w:rsidRDefault="00035ABA" w:rsidP="00035ABA">
            <w:pPr>
              <w:widowControl w:val="0"/>
              <w:autoSpaceDE w:val="0"/>
              <w:autoSpaceDN w:val="0"/>
              <w:adjustRightInd w:val="0"/>
              <w:spacing w:line="276" w:lineRule="auto"/>
              <w:jc w:val="center"/>
              <w:rPr>
                <w:snapToGrid w:val="0"/>
                <w:sz w:val="20"/>
                <w:szCs w:val="20"/>
              </w:rPr>
            </w:pPr>
            <w:r w:rsidRPr="00035ABA">
              <w:rPr>
                <w:snapToGrid w:val="0"/>
                <w:sz w:val="20"/>
                <w:szCs w:val="20"/>
              </w:rPr>
              <w:t>2024</w:t>
            </w:r>
          </w:p>
        </w:tc>
        <w:tc>
          <w:tcPr>
            <w:tcW w:w="1208" w:type="dxa"/>
            <w:tcBorders>
              <w:top w:val="single" w:sz="4" w:space="0" w:color="auto"/>
              <w:bottom w:val="single" w:sz="4" w:space="0" w:color="auto"/>
            </w:tcBorders>
          </w:tcPr>
          <w:p w14:paraId="720EB138" w14:textId="77777777" w:rsidR="00035ABA" w:rsidRPr="00035ABA" w:rsidRDefault="00035ABA" w:rsidP="00035ABA">
            <w:pPr>
              <w:widowControl w:val="0"/>
              <w:autoSpaceDE w:val="0"/>
              <w:autoSpaceDN w:val="0"/>
              <w:adjustRightInd w:val="0"/>
              <w:spacing w:line="276" w:lineRule="auto"/>
              <w:jc w:val="center"/>
              <w:rPr>
                <w:snapToGrid w:val="0"/>
                <w:sz w:val="20"/>
                <w:szCs w:val="20"/>
              </w:rPr>
            </w:pPr>
            <w:r w:rsidRPr="00035ABA">
              <w:rPr>
                <w:snapToGrid w:val="0"/>
                <w:sz w:val="20"/>
                <w:szCs w:val="20"/>
              </w:rPr>
              <w:t>2023</w:t>
            </w:r>
          </w:p>
        </w:tc>
        <w:tc>
          <w:tcPr>
            <w:tcW w:w="1208" w:type="dxa"/>
            <w:tcBorders>
              <w:bottom w:val="single" w:sz="4" w:space="0" w:color="auto"/>
            </w:tcBorders>
          </w:tcPr>
          <w:p w14:paraId="38B1B0B9" w14:textId="77777777" w:rsidR="00035ABA" w:rsidRPr="00035ABA" w:rsidRDefault="00035ABA" w:rsidP="00035ABA">
            <w:pPr>
              <w:widowControl w:val="0"/>
              <w:autoSpaceDE w:val="0"/>
              <w:autoSpaceDN w:val="0"/>
              <w:adjustRightInd w:val="0"/>
              <w:spacing w:line="276" w:lineRule="auto"/>
              <w:jc w:val="center"/>
              <w:rPr>
                <w:snapToGrid w:val="0"/>
                <w:sz w:val="20"/>
                <w:szCs w:val="20"/>
              </w:rPr>
            </w:pPr>
            <w:r w:rsidRPr="00035ABA">
              <w:rPr>
                <w:snapToGrid w:val="0"/>
                <w:sz w:val="20"/>
                <w:szCs w:val="20"/>
              </w:rPr>
              <w:t>2024</w:t>
            </w:r>
          </w:p>
        </w:tc>
        <w:tc>
          <w:tcPr>
            <w:tcW w:w="1208" w:type="dxa"/>
            <w:tcBorders>
              <w:bottom w:val="single" w:sz="4" w:space="0" w:color="auto"/>
            </w:tcBorders>
          </w:tcPr>
          <w:p w14:paraId="13D57AF5" w14:textId="77777777" w:rsidR="00035ABA" w:rsidRPr="00035ABA" w:rsidRDefault="00035ABA" w:rsidP="00035ABA">
            <w:pPr>
              <w:widowControl w:val="0"/>
              <w:autoSpaceDE w:val="0"/>
              <w:autoSpaceDN w:val="0"/>
              <w:adjustRightInd w:val="0"/>
              <w:spacing w:line="276" w:lineRule="auto"/>
              <w:jc w:val="center"/>
              <w:rPr>
                <w:snapToGrid w:val="0"/>
                <w:sz w:val="20"/>
                <w:szCs w:val="20"/>
              </w:rPr>
            </w:pPr>
            <w:r w:rsidRPr="00035ABA">
              <w:rPr>
                <w:snapToGrid w:val="0"/>
                <w:sz w:val="20"/>
                <w:szCs w:val="20"/>
              </w:rPr>
              <w:t>2023</w:t>
            </w:r>
          </w:p>
        </w:tc>
      </w:tr>
      <w:tr w:rsidR="00035ABA" w:rsidRPr="00035ABA" w14:paraId="008C099B" w14:textId="77777777" w:rsidTr="00487863">
        <w:trPr>
          <w:trHeight w:val="276"/>
        </w:trPr>
        <w:tc>
          <w:tcPr>
            <w:tcW w:w="4620" w:type="dxa"/>
            <w:gridSpan w:val="3"/>
          </w:tcPr>
          <w:p w14:paraId="0677A11C" w14:textId="77777777" w:rsidR="00035ABA" w:rsidRPr="00035ABA" w:rsidRDefault="00035ABA" w:rsidP="00035ABA">
            <w:pPr>
              <w:widowControl w:val="0"/>
              <w:autoSpaceDE w:val="0"/>
              <w:autoSpaceDN w:val="0"/>
              <w:adjustRightInd w:val="0"/>
              <w:spacing w:line="276" w:lineRule="auto"/>
              <w:rPr>
                <w:snapToGrid w:val="0"/>
                <w:sz w:val="20"/>
                <w:szCs w:val="20"/>
              </w:rPr>
            </w:pPr>
            <w:r w:rsidRPr="00035ABA">
              <w:rPr>
                <w:snapToGrid w:val="0"/>
                <w:sz w:val="20"/>
                <w:szCs w:val="20"/>
              </w:rPr>
              <w:t>Revenue from government contract</w:t>
            </w:r>
          </w:p>
        </w:tc>
        <w:tc>
          <w:tcPr>
            <w:tcW w:w="478" w:type="dxa"/>
            <w:gridSpan w:val="2"/>
          </w:tcPr>
          <w:p w14:paraId="366C5503"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208" w:type="dxa"/>
          </w:tcPr>
          <w:p w14:paraId="75062383" w14:textId="77777777" w:rsidR="00035ABA" w:rsidRPr="00035ABA" w:rsidRDefault="00035ABA" w:rsidP="00035ABA">
            <w:pPr>
              <w:widowControl w:val="0"/>
              <w:tabs>
                <w:tab w:val="left" w:pos="150"/>
                <w:tab w:val="decimal" w:pos="960"/>
              </w:tabs>
              <w:autoSpaceDE w:val="0"/>
              <w:autoSpaceDN w:val="0"/>
              <w:adjustRightInd w:val="0"/>
              <w:spacing w:line="276" w:lineRule="auto"/>
              <w:rPr>
                <w:snapToGrid w:val="0"/>
                <w:sz w:val="20"/>
                <w:szCs w:val="20"/>
              </w:rPr>
            </w:pPr>
            <w:r w:rsidRPr="00035ABA">
              <w:rPr>
                <w:snapToGrid w:val="0"/>
                <w:sz w:val="20"/>
                <w:szCs w:val="20"/>
              </w:rPr>
              <w:tab/>
              <w:t>$</w:t>
            </w:r>
            <w:r w:rsidRPr="00035ABA">
              <w:rPr>
                <w:snapToGrid w:val="0"/>
                <w:sz w:val="20"/>
                <w:szCs w:val="20"/>
              </w:rPr>
              <w:tab/>
              <w:t>2,789</w:t>
            </w:r>
          </w:p>
        </w:tc>
        <w:tc>
          <w:tcPr>
            <w:tcW w:w="1208" w:type="dxa"/>
          </w:tcPr>
          <w:p w14:paraId="078D471D" w14:textId="77777777" w:rsidR="00035ABA" w:rsidRPr="00035ABA" w:rsidRDefault="00035ABA" w:rsidP="00035ABA">
            <w:pPr>
              <w:widowControl w:val="0"/>
              <w:tabs>
                <w:tab w:val="left" w:pos="190"/>
                <w:tab w:val="decimal" w:pos="910"/>
              </w:tabs>
              <w:autoSpaceDE w:val="0"/>
              <w:autoSpaceDN w:val="0"/>
              <w:adjustRightInd w:val="0"/>
              <w:spacing w:line="276" w:lineRule="auto"/>
              <w:rPr>
                <w:snapToGrid w:val="0"/>
                <w:sz w:val="20"/>
                <w:szCs w:val="20"/>
              </w:rPr>
            </w:pPr>
            <w:r w:rsidRPr="00035ABA">
              <w:rPr>
                <w:snapToGrid w:val="0"/>
                <w:sz w:val="20"/>
                <w:szCs w:val="20"/>
              </w:rPr>
              <w:tab/>
              <w:t>$</w:t>
            </w:r>
            <w:r w:rsidRPr="00035ABA">
              <w:rPr>
                <w:snapToGrid w:val="0"/>
                <w:sz w:val="20"/>
                <w:szCs w:val="20"/>
              </w:rPr>
              <w:tab/>
              <w:t>-</w:t>
            </w:r>
          </w:p>
        </w:tc>
        <w:tc>
          <w:tcPr>
            <w:tcW w:w="1208" w:type="dxa"/>
          </w:tcPr>
          <w:p w14:paraId="51EDD403" w14:textId="77777777" w:rsidR="00035ABA" w:rsidRPr="00035ABA" w:rsidRDefault="00035ABA" w:rsidP="00035ABA">
            <w:pPr>
              <w:widowControl w:val="0"/>
              <w:tabs>
                <w:tab w:val="left" w:pos="140"/>
                <w:tab w:val="decimal" w:pos="860"/>
              </w:tabs>
              <w:autoSpaceDE w:val="0"/>
              <w:autoSpaceDN w:val="0"/>
              <w:adjustRightInd w:val="0"/>
              <w:spacing w:line="276" w:lineRule="auto"/>
              <w:rPr>
                <w:snapToGrid w:val="0"/>
                <w:sz w:val="20"/>
                <w:szCs w:val="20"/>
              </w:rPr>
            </w:pPr>
            <w:r w:rsidRPr="00035ABA">
              <w:rPr>
                <w:snapToGrid w:val="0"/>
                <w:sz w:val="20"/>
                <w:szCs w:val="20"/>
              </w:rPr>
              <w:tab/>
              <w:t>$</w:t>
            </w:r>
            <w:r w:rsidRPr="00035ABA">
              <w:rPr>
                <w:snapToGrid w:val="0"/>
                <w:sz w:val="20"/>
                <w:szCs w:val="20"/>
              </w:rPr>
              <w:tab/>
              <w:t>3,090</w:t>
            </w:r>
          </w:p>
        </w:tc>
        <w:tc>
          <w:tcPr>
            <w:tcW w:w="1208" w:type="dxa"/>
          </w:tcPr>
          <w:p w14:paraId="2BEB64F0" w14:textId="77777777" w:rsidR="00035ABA" w:rsidRPr="00035ABA" w:rsidRDefault="00035ABA" w:rsidP="00035ABA">
            <w:pPr>
              <w:widowControl w:val="0"/>
              <w:tabs>
                <w:tab w:val="left" w:pos="97"/>
                <w:tab w:val="decimal" w:pos="907"/>
              </w:tabs>
              <w:autoSpaceDE w:val="0"/>
              <w:autoSpaceDN w:val="0"/>
              <w:adjustRightInd w:val="0"/>
              <w:spacing w:line="276" w:lineRule="auto"/>
              <w:rPr>
                <w:snapToGrid w:val="0"/>
                <w:sz w:val="20"/>
                <w:szCs w:val="20"/>
              </w:rPr>
            </w:pPr>
            <w:r w:rsidRPr="00035ABA">
              <w:rPr>
                <w:snapToGrid w:val="0"/>
                <w:sz w:val="20"/>
                <w:szCs w:val="20"/>
              </w:rPr>
              <w:tab/>
              <w:t>$</w:t>
            </w:r>
            <w:r w:rsidRPr="00035ABA">
              <w:rPr>
                <w:snapToGrid w:val="0"/>
                <w:sz w:val="20"/>
                <w:szCs w:val="20"/>
              </w:rPr>
              <w:tab/>
              <w:t>-</w:t>
            </w:r>
          </w:p>
        </w:tc>
      </w:tr>
      <w:tr w:rsidR="00035ABA" w:rsidRPr="00035ABA" w14:paraId="78983138" w14:textId="77777777" w:rsidTr="00487863">
        <w:trPr>
          <w:trHeight w:val="276"/>
        </w:trPr>
        <w:tc>
          <w:tcPr>
            <w:tcW w:w="237" w:type="dxa"/>
          </w:tcPr>
          <w:p w14:paraId="17593E8D"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462" w:type="dxa"/>
          </w:tcPr>
          <w:p w14:paraId="55C16663"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2921" w:type="dxa"/>
          </w:tcPr>
          <w:p w14:paraId="7781CE06"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478" w:type="dxa"/>
            <w:gridSpan w:val="2"/>
          </w:tcPr>
          <w:p w14:paraId="49C9AD79"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208" w:type="dxa"/>
          </w:tcPr>
          <w:p w14:paraId="5910C702" w14:textId="77777777" w:rsidR="00035ABA" w:rsidRPr="00035ABA" w:rsidRDefault="00035ABA" w:rsidP="00035ABA">
            <w:pPr>
              <w:widowControl w:val="0"/>
              <w:tabs>
                <w:tab w:val="decimal" w:pos="960"/>
              </w:tabs>
              <w:autoSpaceDE w:val="0"/>
              <w:autoSpaceDN w:val="0"/>
              <w:adjustRightInd w:val="0"/>
              <w:spacing w:line="276" w:lineRule="auto"/>
              <w:rPr>
                <w:snapToGrid w:val="0"/>
                <w:sz w:val="20"/>
                <w:szCs w:val="20"/>
              </w:rPr>
            </w:pPr>
          </w:p>
        </w:tc>
        <w:tc>
          <w:tcPr>
            <w:tcW w:w="1208" w:type="dxa"/>
          </w:tcPr>
          <w:p w14:paraId="73AF7F93" w14:textId="77777777" w:rsidR="00035ABA" w:rsidRPr="00035ABA" w:rsidRDefault="00035ABA" w:rsidP="00035ABA">
            <w:pPr>
              <w:widowControl w:val="0"/>
              <w:tabs>
                <w:tab w:val="decimal" w:pos="910"/>
              </w:tabs>
              <w:autoSpaceDE w:val="0"/>
              <w:autoSpaceDN w:val="0"/>
              <w:adjustRightInd w:val="0"/>
              <w:spacing w:line="276" w:lineRule="auto"/>
              <w:rPr>
                <w:snapToGrid w:val="0"/>
                <w:sz w:val="20"/>
                <w:szCs w:val="20"/>
              </w:rPr>
            </w:pPr>
          </w:p>
        </w:tc>
        <w:tc>
          <w:tcPr>
            <w:tcW w:w="1208" w:type="dxa"/>
          </w:tcPr>
          <w:p w14:paraId="2EBE212A" w14:textId="77777777" w:rsidR="00035ABA" w:rsidRPr="00035ABA" w:rsidRDefault="00035ABA" w:rsidP="00035ABA">
            <w:pPr>
              <w:widowControl w:val="0"/>
              <w:tabs>
                <w:tab w:val="decimal" w:pos="860"/>
              </w:tabs>
              <w:autoSpaceDE w:val="0"/>
              <w:autoSpaceDN w:val="0"/>
              <w:adjustRightInd w:val="0"/>
              <w:spacing w:line="276" w:lineRule="auto"/>
              <w:jc w:val="center"/>
              <w:rPr>
                <w:snapToGrid w:val="0"/>
                <w:sz w:val="20"/>
                <w:szCs w:val="20"/>
              </w:rPr>
            </w:pPr>
          </w:p>
        </w:tc>
        <w:tc>
          <w:tcPr>
            <w:tcW w:w="1208" w:type="dxa"/>
          </w:tcPr>
          <w:p w14:paraId="4F0B1E5A" w14:textId="77777777" w:rsidR="00035ABA" w:rsidRPr="00035ABA" w:rsidRDefault="00035ABA" w:rsidP="00035ABA">
            <w:pPr>
              <w:widowControl w:val="0"/>
              <w:tabs>
                <w:tab w:val="decimal" w:pos="907"/>
              </w:tabs>
              <w:autoSpaceDE w:val="0"/>
              <w:autoSpaceDN w:val="0"/>
              <w:adjustRightInd w:val="0"/>
              <w:spacing w:line="276" w:lineRule="auto"/>
              <w:jc w:val="center"/>
              <w:rPr>
                <w:snapToGrid w:val="0"/>
                <w:sz w:val="20"/>
                <w:szCs w:val="20"/>
              </w:rPr>
            </w:pPr>
          </w:p>
        </w:tc>
      </w:tr>
      <w:tr w:rsidR="00035ABA" w:rsidRPr="00035ABA" w14:paraId="45EB71F7" w14:textId="77777777" w:rsidTr="00487863">
        <w:trPr>
          <w:trHeight w:val="276"/>
        </w:trPr>
        <w:tc>
          <w:tcPr>
            <w:tcW w:w="4620" w:type="dxa"/>
            <w:gridSpan w:val="3"/>
          </w:tcPr>
          <w:p w14:paraId="01A518F9" w14:textId="77777777" w:rsidR="00035ABA" w:rsidRPr="00035ABA" w:rsidRDefault="00035ABA" w:rsidP="00035ABA">
            <w:pPr>
              <w:widowControl w:val="0"/>
              <w:autoSpaceDE w:val="0"/>
              <w:autoSpaceDN w:val="0"/>
              <w:adjustRightInd w:val="0"/>
              <w:spacing w:line="276" w:lineRule="auto"/>
              <w:rPr>
                <w:snapToGrid w:val="0"/>
                <w:sz w:val="20"/>
                <w:szCs w:val="20"/>
              </w:rPr>
            </w:pPr>
            <w:r w:rsidRPr="00035ABA">
              <w:rPr>
                <w:snapToGrid w:val="0"/>
                <w:sz w:val="20"/>
                <w:szCs w:val="20"/>
              </w:rPr>
              <w:t>Operating expenses:</w:t>
            </w:r>
          </w:p>
        </w:tc>
        <w:tc>
          <w:tcPr>
            <w:tcW w:w="478" w:type="dxa"/>
            <w:gridSpan w:val="2"/>
          </w:tcPr>
          <w:p w14:paraId="35BBC407"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208" w:type="dxa"/>
          </w:tcPr>
          <w:p w14:paraId="7F5C0387" w14:textId="77777777" w:rsidR="00035ABA" w:rsidRPr="00035ABA" w:rsidRDefault="00035ABA" w:rsidP="00035ABA">
            <w:pPr>
              <w:widowControl w:val="0"/>
              <w:tabs>
                <w:tab w:val="decimal" w:pos="960"/>
              </w:tabs>
              <w:autoSpaceDE w:val="0"/>
              <w:autoSpaceDN w:val="0"/>
              <w:adjustRightInd w:val="0"/>
              <w:spacing w:line="276" w:lineRule="auto"/>
              <w:rPr>
                <w:snapToGrid w:val="0"/>
                <w:sz w:val="20"/>
                <w:szCs w:val="20"/>
              </w:rPr>
            </w:pPr>
          </w:p>
        </w:tc>
        <w:tc>
          <w:tcPr>
            <w:tcW w:w="1208" w:type="dxa"/>
          </w:tcPr>
          <w:p w14:paraId="08004630" w14:textId="77777777" w:rsidR="00035ABA" w:rsidRPr="00035ABA" w:rsidRDefault="00035ABA" w:rsidP="00035ABA">
            <w:pPr>
              <w:widowControl w:val="0"/>
              <w:tabs>
                <w:tab w:val="decimal" w:pos="910"/>
              </w:tabs>
              <w:autoSpaceDE w:val="0"/>
              <w:autoSpaceDN w:val="0"/>
              <w:adjustRightInd w:val="0"/>
              <w:spacing w:line="276" w:lineRule="auto"/>
              <w:rPr>
                <w:snapToGrid w:val="0"/>
                <w:sz w:val="20"/>
                <w:szCs w:val="20"/>
              </w:rPr>
            </w:pPr>
          </w:p>
        </w:tc>
        <w:tc>
          <w:tcPr>
            <w:tcW w:w="1208" w:type="dxa"/>
          </w:tcPr>
          <w:p w14:paraId="0D914189" w14:textId="77777777" w:rsidR="00035ABA" w:rsidRPr="00035ABA" w:rsidRDefault="00035ABA" w:rsidP="00035ABA">
            <w:pPr>
              <w:widowControl w:val="0"/>
              <w:tabs>
                <w:tab w:val="decimal" w:pos="860"/>
              </w:tabs>
              <w:autoSpaceDE w:val="0"/>
              <w:autoSpaceDN w:val="0"/>
              <w:adjustRightInd w:val="0"/>
              <w:spacing w:line="276" w:lineRule="auto"/>
              <w:jc w:val="center"/>
              <w:rPr>
                <w:snapToGrid w:val="0"/>
                <w:sz w:val="20"/>
                <w:szCs w:val="20"/>
              </w:rPr>
            </w:pPr>
          </w:p>
        </w:tc>
        <w:tc>
          <w:tcPr>
            <w:tcW w:w="1208" w:type="dxa"/>
          </w:tcPr>
          <w:p w14:paraId="188BCAB0" w14:textId="77777777" w:rsidR="00035ABA" w:rsidRPr="00035ABA" w:rsidRDefault="00035ABA" w:rsidP="00035ABA">
            <w:pPr>
              <w:widowControl w:val="0"/>
              <w:tabs>
                <w:tab w:val="decimal" w:pos="907"/>
              </w:tabs>
              <w:autoSpaceDE w:val="0"/>
              <w:autoSpaceDN w:val="0"/>
              <w:adjustRightInd w:val="0"/>
              <w:spacing w:line="276" w:lineRule="auto"/>
              <w:jc w:val="center"/>
              <w:rPr>
                <w:snapToGrid w:val="0"/>
                <w:sz w:val="20"/>
                <w:szCs w:val="20"/>
              </w:rPr>
            </w:pPr>
          </w:p>
        </w:tc>
      </w:tr>
      <w:tr w:rsidR="00035ABA" w:rsidRPr="00035ABA" w14:paraId="2860DBAA" w14:textId="77777777" w:rsidTr="00487863">
        <w:trPr>
          <w:trHeight w:val="276"/>
        </w:trPr>
        <w:tc>
          <w:tcPr>
            <w:tcW w:w="237" w:type="dxa"/>
          </w:tcPr>
          <w:p w14:paraId="747FFB20"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4383" w:type="dxa"/>
            <w:gridSpan w:val="2"/>
          </w:tcPr>
          <w:p w14:paraId="6CD1F821" w14:textId="77777777" w:rsidR="00035ABA" w:rsidRPr="00035ABA" w:rsidRDefault="00035ABA" w:rsidP="00035ABA">
            <w:pPr>
              <w:widowControl w:val="0"/>
              <w:autoSpaceDE w:val="0"/>
              <w:autoSpaceDN w:val="0"/>
              <w:adjustRightInd w:val="0"/>
              <w:spacing w:line="276" w:lineRule="auto"/>
              <w:rPr>
                <w:snapToGrid w:val="0"/>
                <w:sz w:val="20"/>
                <w:szCs w:val="20"/>
              </w:rPr>
            </w:pPr>
            <w:r w:rsidRPr="00035ABA">
              <w:rPr>
                <w:snapToGrid w:val="0"/>
                <w:sz w:val="20"/>
                <w:szCs w:val="20"/>
              </w:rPr>
              <w:t>Research and development</w:t>
            </w:r>
          </w:p>
        </w:tc>
        <w:tc>
          <w:tcPr>
            <w:tcW w:w="478" w:type="dxa"/>
            <w:gridSpan w:val="2"/>
          </w:tcPr>
          <w:p w14:paraId="4E28ED6B"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208" w:type="dxa"/>
          </w:tcPr>
          <w:p w14:paraId="1328FD36" w14:textId="77777777" w:rsidR="00035ABA" w:rsidRPr="00035ABA" w:rsidRDefault="00035ABA" w:rsidP="00035ABA">
            <w:pPr>
              <w:widowControl w:val="0"/>
              <w:tabs>
                <w:tab w:val="decimal" w:pos="960"/>
              </w:tabs>
              <w:autoSpaceDE w:val="0"/>
              <w:autoSpaceDN w:val="0"/>
              <w:adjustRightInd w:val="0"/>
              <w:spacing w:line="276" w:lineRule="auto"/>
              <w:rPr>
                <w:snapToGrid w:val="0"/>
                <w:sz w:val="20"/>
                <w:szCs w:val="20"/>
              </w:rPr>
            </w:pPr>
            <w:r w:rsidRPr="00035ABA">
              <w:rPr>
                <w:snapToGrid w:val="0"/>
                <w:sz w:val="20"/>
                <w:szCs w:val="20"/>
              </w:rPr>
              <w:t>7,402</w:t>
            </w:r>
          </w:p>
        </w:tc>
        <w:tc>
          <w:tcPr>
            <w:tcW w:w="1208" w:type="dxa"/>
          </w:tcPr>
          <w:p w14:paraId="2686C434" w14:textId="77777777" w:rsidR="00035ABA" w:rsidRPr="00035ABA" w:rsidRDefault="00035ABA" w:rsidP="00035ABA">
            <w:pPr>
              <w:widowControl w:val="0"/>
              <w:tabs>
                <w:tab w:val="decimal" w:pos="910"/>
              </w:tabs>
              <w:autoSpaceDE w:val="0"/>
              <w:autoSpaceDN w:val="0"/>
              <w:adjustRightInd w:val="0"/>
              <w:spacing w:line="276" w:lineRule="auto"/>
              <w:rPr>
                <w:snapToGrid w:val="0"/>
                <w:sz w:val="20"/>
                <w:szCs w:val="20"/>
              </w:rPr>
            </w:pPr>
            <w:r w:rsidRPr="00035ABA">
              <w:rPr>
                <w:snapToGrid w:val="0"/>
                <w:sz w:val="20"/>
                <w:szCs w:val="20"/>
              </w:rPr>
              <w:t>6,948</w:t>
            </w:r>
          </w:p>
        </w:tc>
        <w:tc>
          <w:tcPr>
            <w:tcW w:w="1208" w:type="dxa"/>
          </w:tcPr>
          <w:p w14:paraId="1B21D297" w14:textId="77777777" w:rsidR="00035ABA" w:rsidRPr="00035ABA" w:rsidRDefault="00035ABA" w:rsidP="00035ABA">
            <w:pPr>
              <w:widowControl w:val="0"/>
              <w:tabs>
                <w:tab w:val="decimal" w:pos="860"/>
              </w:tabs>
              <w:autoSpaceDE w:val="0"/>
              <w:autoSpaceDN w:val="0"/>
              <w:adjustRightInd w:val="0"/>
              <w:spacing w:line="276" w:lineRule="auto"/>
              <w:rPr>
                <w:snapToGrid w:val="0"/>
                <w:sz w:val="20"/>
                <w:szCs w:val="20"/>
              </w:rPr>
            </w:pPr>
            <w:r w:rsidRPr="00035ABA">
              <w:rPr>
                <w:snapToGrid w:val="0"/>
                <w:sz w:val="20"/>
                <w:szCs w:val="20"/>
              </w:rPr>
              <w:t>16,105</w:t>
            </w:r>
          </w:p>
        </w:tc>
        <w:tc>
          <w:tcPr>
            <w:tcW w:w="1208" w:type="dxa"/>
          </w:tcPr>
          <w:p w14:paraId="7B989A35" w14:textId="77777777" w:rsidR="00035ABA" w:rsidRPr="00035ABA" w:rsidRDefault="00035ABA" w:rsidP="00035ABA">
            <w:pPr>
              <w:widowControl w:val="0"/>
              <w:tabs>
                <w:tab w:val="decimal" w:pos="907"/>
              </w:tabs>
              <w:autoSpaceDE w:val="0"/>
              <w:autoSpaceDN w:val="0"/>
              <w:adjustRightInd w:val="0"/>
              <w:spacing w:line="276" w:lineRule="auto"/>
              <w:rPr>
                <w:snapToGrid w:val="0"/>
                <w:sz w:val="20"/>
                <w:szCs w:val="20"/>
              </w:rPr>
            </w:pPr>
            <w:r w:rsidRPr="00035ABA">
              <w:rPr>
                <w:snapToGrid w:val="0"/>
                <w:sz w:val="20"/>
                <w:szCs w:val="20"/>
              </w:rPr>
              <w:t>14,487</w:t>
            </w:r>
          </w:p>
        </w:tc>
      </w:tr>
      <w:tr w:rsidR="00035ABA" w:rsidRPr="00035ABA" w14:paraId="36E3DAF5" w14:textId="77777777" w:rsidTr="00487863">
        <w:trPr>
          <w:trHeight w:val="276"/>
        </w:trPr>
        <w:tc>
          <w:tcPr>
            <w:tcW w:w="237" w:type="dxa"/>
          </w:tcPr>
          <w:p w14:paraId="26D7DEB4"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4383" w:type="dxa"/>
            <w:gridSpan w:val="2"/>
          </w:tcPr>
          <w:p w14:paraId="42875FFB" w14:textId="77777777" w:rsidR="00035ABA" w:rsidRPr="00035ABA" w:rsidRDefault="00035ABA" w:rsidP="00035ABA">
            <w:pPr>
              <w:widowControl w:val="0"/>
              <w:autoSpaceDE w:val="0"/>
              <w:autoSpaceDN w:val="0"/>
              <w:adjustRightInd w:val="0"/>
              <w:spacing w:line="276" w:lineRule="auto"/>
              <w:rPr>
                <w:snapToGrid w:val="0"/>
                <w:sz w:val="20"/>
                <w:szCs w:val="20"/>
              </w:rPr>
            </w:pPr>
            <w:r w:rsidRPr="00035ABA">
              <w:rPr>
                <w:snapToGrid w:val="0"/>
                <w:sz w:val="20"/>
                <w:szCs w:val="20"/>
              </w:rPr>
              <w:t>General and administrative</w:t>
            </w:r>
          </w:p>
        </w:tc>
        <w:tc>
          <w:tcPr>
            <w:tcW w:w="478" w:type="dxa"/>
            <w:gridSpan w:val="2"/>
          </w:tcPr>
          <w:p w14:paraId="5E79E9B0"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208" w:type="dxa"/>
            <w:tcBorders>
              <w:bottom w:val="single" w:sz="4" w:space="0" w:color="auto"/>
            </w:tcBorders>
          </w:tcPr>
          <w:p w14:paraId="0606E60C" w14:textId="77777777" w:rsidR="00035ABA" w:rsidRPr="00035ABA" w:rsidRDefault="00035ABA" w:rsidP="00035ABA">
            <w:pPr>
              <w:widowControl w:val="0"/>
              <w:tabs>
                <w:tab w:val="decimal" w:pos="960"/>
              </w:tabs>
              <w:autoSpaceDE w:val="0"/>
              <w:autoSpaceDN w:val="0"/>
              <w:adjustRightInd w:val="0"/>
              <w:spacing w:line="276" w:lineRule="auto"/>
              <w:rPr>
                <w:snapToGrid w:val="0"/>
                <w:sz w:val="20"/>
                <w:szCs w:val="20"/>
              </w:rPr>
            </w:pPr>
            <w:r w:rsidRPr="00035ABA">
              <w:rPr>
                <w:snapToGrid w:val="0"/>
                <w:sz w:val="20"/>
                <w:szCs w:val="20"/>
              </w:rPr>
              <w:t>1,241</w:t>
            </w:r>
          </w:p>
        </w:tc>
        <w:tc>
          <w:tcPr>
            <w:tcW w:w="1208" w:type="dxa"/>
            <w:tcBorders>
              <w:bottom w:val="single" w:sz="4" w:space="0" w:color="auto"/>
            </w:tcBorders>
          </w:tcPr>
          <w:p w14:paraId="51B41D6B" w14:textId="77777777" w:rsidR="00035ABA" w:rsidRPr="00035ABA" w:rsidRDefault="00035ABA" w:rsidP="00035ABA">
            <w:pPr>
              <w:widowControl w:val="0"/>
              <w:tabs>
                <w:tab w:val="decimal" w:pos="910"/>
              </w:tabs>
              <w:autoSpaceDE w:val="0"/>
              <w:autoSpaceDN w:val="0"/>
              <w:adjustRightInd w:val="0"/>
              <w:spacing w:line="276" w:lineRule="auto"/>
              <w:rPr>
                <w:snapToGrid w:val="0"/>
                <w:sz w:val="20"/>
                <w:szCs w:val="20"/>
              </w:rPr>
            </w:pPr>
            <w:r w:rsidRPr="00035ABA">
              <w:rPr>
                <w:snapToGrid w:val="0"/>
                <w:sz w:val="20"/>
                <w:szCs w:val="20"/>
              </w:rPr>
              <w:t>1,652</w:t>
            </w:r>
          </w:p>
        </w:tc>
        <w:tc>
          <w:tcPr>
            <w:tcW w:w="1208" w:type="dxa"/>
          </w:tcPr>
          <w:p w14:paraId="05D98185" w14:textId="77777777" w:rsidR="00035ABA" w:rsidRPr="00035ABA" w:rsidRDefault="00035ABA" w:rsidP="00035ABA">
            <w:pPr>
              <w:widowControl w:val="0"/>
              <w:tabs>
                <w:tab w:val="decimal" w:pos="860"/>
              </w:tabs>
              <w:autoSpaceDE w:val="0"/>
              <w:autoSpaceDN w:val="0"/>
              <w:adjustRightInd w:val="0"/>
              <w:spacing w:line="276" w:lineRule="auto"/>
              <w:rPr>
                <w:snapToGrid w:val="0"/>
                <w:sz w:val="20"/>
                <w:szCs w:val="20"/>
              </w:rPr>
            </w:pPr>
            <w:r w:rsidRPr="00035ABA">
              <w:rPr>
                <w:snapToGrid w:val="0"/>
                <w:sz w:val="20"/>
                <w:szCs w:val="20"/>
              </w:rPr>
              <w:t>3,785</w:t>
            </w:r>
          </w:p>
        </w:tc>
        <w:tc>
          <w:tcPr>
            <w:tcW w:w="1208" w:type="dxa"/>
          </w:tcPr>
          <w:p w14:paraId="044A7129" w14:textId="77777777" w:rsidR="00035ABA" w:rsidRPr="00035ABA" w:rsidRDefault="00035ABA" w:rsidP="00035ABA">
            <w:pPr>
              <w:widowControl w:val="0"/>
              <w:tabs>
                <w:tab w:val="decimal" w:pos="907"/>
              </w:tabs>
              <w:autoSpaceDE w:val="0"/>
              <w:autoSpaceDN w:val="0"/>
              <w:adjustRightInd w:val="0"/>
              <w:spacing w:line="276" w:lineRule="auto"/>
              <w:rPr>
                <w:snapToGrid w:val="0"/>
                <w:sz w:val="20"/>
                <w:szCs w:val="20"/>
              </w:rPr>
            </w:pPr>
            <w:r w:rsidRPr="00035ABA">
              <w:rPr>
                <w:snapToGrid w:val="0"/>
                <w:sz w:val="20"/>
                <w:szCs w:val="20"/>
              </w:rPr>
              <w:t>4,562</w:t>
            </w:r>
          </w:p>
        </w:tc>
      </w:tr>
      <w:tr w:rsidR="00035ABA" w:rsidRPr="00035ABA" w14:paraId="5C92B5FB" w14:textId="77777777" w:rsidTr="00487863">
        <w:trPr>
          <w:trHeight w:val="276"/>
        </w:trPr>
        <w:tc>
          <w:tcPr>
            <w:tcW w:w="237" w:type="dxa"/>
          </w:tcPr>
          <w:p w14:paraId="5E53B129"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462" w:type="dxa"/>
          </w:tcPr>
          <w:p w14:paraId="4BC048A9"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2921" w:type="dxa"/>
          </w:tcPr>
          <w:p w14:paraId="2AB06246"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478" w:type="dxa"/>
            <w:gridSpan w:val="2"/>
          </w:tcPr>
          <w:p w14:paraId="4BB6D9F7"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208" w:type="dxa"/>
            <w:tcBorders>
              <w:top w:val="single" w:sz="4" w:space="0" w:color="auto"/>
              <w:bottom w:val="single" w:sz="4" w:space="0" w:color="auto"/>
            </w:tcBorders>
          </w:tcPr>
          <w:p w14:paraId="40D4BDF5" w14:textId="77777777" w:rsidR="00035ABA" w:rsidRPr="00035ABA" w:rsidRDefault="00035ABA" w:rsidP="00035ABA">
            <w:pPr>
              <w:widowControl w:val="0"/>
              <w:tabs>
                <w:tab w:val="decimal" w:pos="960"/>
              </w:tabs>
              <w:autoSpaceDE w:val="0"/>
              <w:autoSpaceDN w:val="0"/>
              <w:adjustRightInd w:val="0"/>
              <w:spacing w:line="276" w:lineRule="auto"/>
              <w:rPr>
                <w:snapToGrid w:val="0"/>
                <w:sz w:val="20"/>
                <w:szCs w:val="20"/>
              </w:rPr>
            </w:pPr>
            <w:r w:rsidRPr="00035ABA">
              <w:rPr>
                <w:snapToGrid w:val="0"/>
                <w:sz w:val="20"/>
                <w:szCs w:val="20"/>
              </w:rPr>
              <w:t>8,643</w:t>
            </w:r>
          </w:p>
        </w:tc>
        <w:tc>
          <w:tcPr>
            <w:tcW w:w="1208" w:type="dxa"/>
            <w:tcBorders>
              <w:top w:val="single" w:sz="4" w:space="0" w:color="auto"/>
              <w:bottom w:val="single" w:sz="4" w:space="0" w:color="auto"/>
            </w:tcBorders>
          </w:tcPr>
          <w:p w14:paraId="3C88490E" w14:textId="77777777" w:rsidR="00035ABA" w:rsidRPr="00035ABA" w:rsidRDefault="00035ABA" w:rsidP="00035ABA">
            <w:pPr>
              <w:widowControl w:val="0"/>
              <w:tabs>
                <w:tab w:val="decimal" w:pos="910"/>
              </w:tabs>
              <w:autoSpaceDE w:val="0"/>
              <w:autoSpaceDN w:val="0"/>
              <w:adjustRightInd w:val="0"/>
              <w:spacing w:line="276" w:lineRule="auto"/>
              <w:rPr>
                <w:snapToGrid w:val="0"/>
                <w:sz w:val="20"/>
                <w:szCs w:val="20"/>
              </w:rPr>
            </w:pPr>
            <w:r w:rsidRPr="00035ABA">
              <w:rPr>
                <w:snapToGrid w:val="0"/>
                <w:sz w:val="20"/>
                <w:szCs w:val="20"/>
              </w:rPr>
              <w:t>8,600</w:t>
            </w:r>
          </w:p>
        </w:tc>
        <w:tc>
          <w:tcPr>
            <w:tcW w:w="1208" w:type="dxa"/>
            <w:tcBorders>
              <w:top w:val="single" w:sz="6" w:space="0" w:color="auto"/>
            </w:tcBorders>
          </w:tcPr>
          <w:p w14:paraId="53676AE3" w14:textId="77777777" w:rsidR="00035ABA" w:rsidRPr="00035ABA" w:rsidRDefault="00035ABA" w:rsidP="00035ABA">
            <w:pPr>
              <w:widowControl w:val="0"/>
              <w:tabs>
                <w:tab w:val="decimal" w:pos="860"/>
              </w:tabs>
              <w:autoSpaceDE w:val="0"/>
              <w:autoSpaceDN w:val="0"/>
              <w:adjustRightInd w:val="0"/>
              <w:spacing w:line="276" w:lineRule="auto"/>
              <w:rPr>
                <w:snapToGrid w:val="0"/>
                <w:sz w:val="20"/>
                <w:szCs w:val="20"/>
              </w:rPr>
            </w:pPr>
            <w:r w:rsidRPr="00035ABA">
              <w:rPr>
                <w:snapToGrid w:val="0"/>
                <w:sz w:val="20"/>
                <w:szCs w:val="20"/>
              </w:rPr>
              <w:t>19,890</w:t>
            </w:r>
          </w:p>
        </w:tc>
        <w:tc>
          <w:tcPr>
            <w:tcW w:w="1208" w:type="dxa"/>
            <w:tcBorders>
              <w:top w:val="single" w:sz="6" w:space="0" w:color="auto"/>
            </w:tcBorders>
          </w:tcPr>
          <w:p w14:paraId="417C6746" w14:textId="77777777" w:rsidR="00035ABA" w:rsidRPr="00035ABA" w:rsidRDefault="00035ABA" w:rsidP="00035ABA">
            <w:pPr>
              <w:widowControl w:val="0"/>
              <w:tabs>
                <w:tab w:val="decimal" w:pos="907"/>
              </w:tabs>
              <w:autoSpaceDE w:val="0"/>
              <w:autoSpaceDN w:val="0"/>
              <w:adjustRightInd w:val="0"/>
              <w:spacing w:line="276" w:lineRule="auto"/>
              <w:rPr>
                <w:snapToGrid w:val="0"/>
                <w:sz w:val="20"/>
                <w:szCs w:val="20"/>
              </w:rPr>
            </w:pPr>
            <w:r w:rsidRPr="00035ABA">
              <w:rPr>
                <w:snapToGrid w:val="0"/>
                <w:sz w:val="20"/>
                <w:szCs w:val="20"/>
              </w:rPr>
              <w:t>19,049</w:t>
            </w:r>
          </w:p>
        </w:tc>
      </w:tr>
      <w:tr w:rsidR="00035ABA" w:rsidRPr="00035ABA" w14:paraId="5562A0AD" w14:textId="77777777" w:rsidTr="00487863">
        <w:trPr>
          <w:trHeight w:val="276"/>
        </w:trPr>
        <w:tc>
          <w:tcPr>
            <w:tcW w:w="4620" w:type="dxa"/>
            <w:gridSpan w:val="3"/>
          </w:tcPr>
          <w:p w14:paraId="035C37F4" w14:textId="77777777" w:rsidR="00035ABA" w:rsidRPr="00035ABA" w:rsidRDefault="00035ABA" w:rsidP="00035ABA">
            <w:pPr>
              <w:widowControl w:val="0"/>
              <w:autoSpaceDE w:val="0"/>
              <w:autoSpaceDN w:val="0"/>
              <w:adjustRightInd w:val="0"/>
              <w:spacing w:line="276" w:lineRule="auto"/>
              <w:rPr>
                <w:snapToGrid w:val="0"/>
                <w:sz w:val="20"/>
                <w:szCs w:val="20"/>
              </w:rPr>
            </w:pPr>
            <w:r w:rsidRPr="00035ABA">
              <w:rPr>
                <w:snapToGrid w:val="0"/>
                <w:sz w:val="20"/>
                <w:szCs w:val="20"/>
              </w:rPr>
              <w:t>Loss from operations</w:t>
            </w:r>
          </w:p>
        </w:tc>
        <w:tc>
          <w:tcPr>
            <w:tcW w:w="478" w:type="dxa"/>
            <w:gridSpan w:val="2"/>
          </w:tcPr>
          <w:p w14:paraId="03DB2FFC"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208" w:type="dxa"/>
            <w:tcBorders>
              <w:top w:val="single" w:sz="4" w:space="0" w:color="auto"/>
            </w:tcBorders>
          </w:tcPr>
          <w:p w14:paraId="0ACC8DB3" w14:textId="77777777" w:rsidR="00035ABA" w:rsidRPr="00035ABA" w:rsidRDefault="00035ABA" w:rsidP="00035ABA">
            <w:pPr>
              <w:widowControl w:val="0"/>
              <w:tabs>
                <w:tab w:val="decimal" w:pos="960"/>
              </w:tabs>
              <w:autoSpaceDE w:val="0"/>
              <w:autoSpaceDN w:val="0"/>
              <w:adjustRightInd w:val="0"/>
              <w:spacing w:line="276" w:lineRule="auto"/>
              <w:rPr>
                <w:snapToGrid w:val="0"/>
                <w:sz w:val="20"/>
                <w:szCs w:val="20"/>
              </w:rPr>
            </w:pPr>
            <w:r w:rsidRPr="00035ABA">
              <w:rPr>
                <w:snapToGrid w:val="0"/>
                <w:sz w:val="20"/>
                <w:szCs w:val="20"/>
              </w:rPr>
              <w:t>(5,854)</w:t>
            </w:r>
          </w:p>
        </w:tc>
        <w:tc>
          <w:tcPr>
            <w:tcW w:w="1208" w:type="dxa"/>
            <w:tcBorders>
              <w:top w:val="single" w:sz="4" w:space="0" w:color="auto"/>
            </w:tcBorders>
          </w:tcPr>
          <w:p w14:paraId="6464B383" w14:textId="77777777" w:rsidR="00035ABA" w:rsidRPr="00035ABA" w:rsidRDefault="00035ABA" w:rsidP="00035ABA">
            <w:pPr>
              <w:widowControl w:val="0"/>
              <w:tabs>
                <w:tab w:val="decimal" w:pos="910"/>
              </w:tabs>
              <w:autoSpaceDE w:val="0"/>
              <w:autoSpaceDN w:val="0"/>
              <w:adjustRightInd w:val="0"/>
              <w:spacing w:line="276" w:lineRule="auto"/>
              <w:rPr>
                <w:snapToGrid w:val="0"/>
                <w:sz w:val="20"/>
                <w:szCs w:val="20"/>
              </w:rPr>
            </w:pPr>
            <w:r w:rsidRPr="00035ABA">
              <w:rPr>
                <w:snapToGrid w:val="0"/>
                <w:sz w:val="20"/>
                <w:szCs w:val="20"/>
              </w:rPr>
              <w:t>(8,600)</w:t>
            </w:r>
          </w:p>
        </w:tc>
        <w:tc>
          <w:tcPr>
            <w:tcW w:w="1208" w:type="dxa"/>
            <w:tcBorders>
              <w:top w:val="single" w:sz="6" w:space="0" w:color="auto"/>
            </w:tcBorders>
          </w:tcPr>
          <w:p w14:paraId="06479E3B" w14:textId="77777777" w:rsidR="00035ABA" w:rsidRPr="00035ABA" w:rsidRDefault="00035ABA" w:rsidP="00035ABA">
            <w:pPr>
              <w:widowControl w:val="0"/>
              <w:tabs>
                <w:tab w:val="decimal" w:pos="860"/>
              </w:tabs>
              <w:autoSpaceDE w:val="0"/>
              <w:autoSpaceDN w:val="0"/>
              <w:adjustRightInd w:val="0"/>
              <w:spacing w:line="276" w:lineRule="auto"/>
              <w:rPr>
                <w:snapToGrid w:val="0"/>
                <w:sz w:val="20"/>
                <w:szCs w:val="20"/>
              </w:rPr>
            </w:pPr>
            <w:r w:rsidRPr="00035ABA">
              <w:rPr>
                <w:snapToGrid w:val="0"/>
                <w:sz w:val="20"/>
                <w:szCs w:val="20"/>
              </w:rPr>
              <w:t>(16,800)</w:t>
            </w:r>
          </w:p>
        </w:tc>
        <w:tc>
          <w:tcPr>
            <w:tcW w:w="1208" w:type="dxa"/>
            <w:tcBorders>
              <w:top w:val="single" w:sz="6" w:space="0" w:color="auto"/>
            </w:tcBorders>
          </w:tcPr>
          <w:p w14:paraId="048DF7A8" w14:textId="77777777" w:rsidR="00035ABA" w:rsidRPr="00035ABA" w:rsidRDefault="00035ABA" w:rsidP="00035ABA">
            <w:pPr>
              <w:widowControl w:val="0"/>
              <w:tabs>
                <w:tab w:val="decimal" w:pos="907"/>
              </w:tabs>
              <w:autoSpaceDE w:val="0"/>
              <w:autoSpaceDN w:val="0"/>
              <w:adjustRightInd w:val="0"/>
              <w:spacing w:line="276" w:lineRule="auto"/>
              <w:rPr>
                <w:snapToGrid w:val="0"/>
                <w:sz w:val="20"/>
                <w:szCs w:val="20"/>
              </w:rPr>
            </w:pPr>
            <w:r w:rsidRPr="00035ABA">
              <w:rPr>
                <w:snapToGrid w:val="0"/>
                <w:sz w:val="20"/>
                <w:szCs w:val="20"/>
              </w:rPr>
              <w:t>(19,049)</w:t>
            </w:r>
          </w:p>
        </w:tc>
      </w:tr>
      <w:tr w:rsidR="00035ABA" w:rsidRPr="00035ABA" w14:paraId="1A89F8F8" w14:textId="77777777" w:rsidTr="00487863">
        <w:trPr>
          <w:trHeight w:val="276"/>
        </w:trPr>
        <w:tc>
          <w:tcPr>
            <w:tcW w:w="4650" w:type="dxa"/>
            <w:gridSpan w:val="4"/>
          </w:tcPr>
          <w:p w14:paraId="43BAF2FA" w14:textId="77777777" w:rsidR="00035ABA" w:rsidRPr="00035ABA" w:rsidRDefault="00035ABA" w:rsidP="00035ABA">
            <w:pPr>
              <w:widowControl w:val="0"/>
              <w:autoSpaceDE w:val="0"/>
              <w:autoSpaceDN w:val="0"/>
              <w:adjustRightInd w:val="0"/>
              <w:spacing w:line="276" w:lineRule="auto"/>
              <w:rPr>
                <w:snapToGrid w:val="0"/>
                <w:sz w:val="20"/>
                <w:szCs w:val="20"/>
              </w:rPr>
            </w:pPr>
            <w:r w:rsidRPr="00035ABA">
              <w:rPr>
                <w:snapToGrid w:val="0"/>
                <w:sz w:val="20"/>
                <w:szCs w:val="20"/>
              </w:rPr>
              <w:t>Other income (expense)</w:t>
            </w:r>
          </w:p>
        </w:tc>
        <w:tc>
          <w:tcPr>
            <w:tcW w:w="448" w:type="dxa"/>
          </w:tcPr>
          <w:p w14:paraId="76082A66" w14:textId="77777777" w:rsidR="00035ABA" w:rsidRPr="00035ABA" w:rsidRDefault="00035ABA" w:rsidP="00035ABA">
            <w:pPr>
              <w:widowControl w:val="0"/>
              <w:autoSpaceDE w:val="0"/>
              <w:autoSpaceDN w:val="0"/>
              <w:adjustRightInd w:val="0"/>
              <w:spacing w:line="276" w:lineRule="auto"/>
              <w:rPr>
                <w:snapToGrid w:val="0"/>
                <w:sz w:val="20"/>
                <w:szCs w:val="20"/>
              </w:rPr>
            </w:pPr>
          </w:p>
        </w:tc>
        <w:tc>
          <w:tcPr>
            <w:tcW w:w="1208" w:type="dxa"/>
          </w:tcPr>
          <w:p w14:paraId="324F7322" w14:textId="77777777" w:rsidR="00035ABA" w:rsidRPr="00035ABA" w:rsidRDefault="00035ABA" w:rsidP="00035ABA">
            <w:pPr>
              <w:widowControl w:val="0"/>
              <w:tabs>
                <w:tab w:val="decimal" w:pos="960"/>
              </w:tabs>
              <w:autoSpaceDE w:val="0"/>
              <w:autoSpaceDN w:val="0"/>
              <w:adjustRightInd w:val="0"/>
              <w:spacing w:line="276" w:lineRule="auto"/>
              <w:rPr>
                <w:snapToGrid w:val="0"/>
                <w:sz w:val="20"/>
                <w:szCs w:val="20"/>
              </w:rPr>
            </w:pPr>
            <w:r w:rsidRPr="00035ABA">
              <w:rPr>
                <w:snapToGrid w:val="0"/>
                <w:sz w:val="20"/>
                <w:szCs w:val="20"/>
              </w:rPr>
              <w:t>39</w:t>
            </w:r>
          </w:p>
        </w:tc>
        <w:tc>
          <w:tcPr>
            <w:tcW w:w="1208" w:type="dxa"/>
          </w:tcPr>
          <w:p w14:paraId="2D009E5E" w14:textId="77777777" w:rsidR="00035ABA" w:rsidRPr="00035ABA" w:rsidRDefault="00035ABA" w:rsidP="00035ABA">
            <w:pPr>
              <w:widowControl w:val="0"/>
              <w:tabs>
                <w:tab w:val="decimal" w:pos="910"/>
              </w:tabs>
              <w:autoSpaceDE w:val="0"/>
              <w:autoSpaceDN w:val="0"/>
              <w:adjustRightInd w:val="0"/>
              <w:spacing w:line="276" w:lineRule="auto"/>
              <w:rPr>
                <w:snapToGrid w:val="0"/>
                <w:sz w:val="20"/>
                <w:szCs w:val="20"/>
              </w:rPr>
            </w:pPr>
            <w:r w:rsidRPr="00035ABA">
              <w:rPr>
                <w:snapToGrid w:val="0"/>
                <w:sz w:val="20"/>
                <w:szCs w:val="20"/>
              </w:rPr>
              <w:t>191</w:t>
            </w:r>
          </w:p>
        </w:tc>
        <w:tc>
          <w:tcPr>
            <w:tcW w:w="1208" w:type="dxa"/>
          </w:tcPr>
          <w:p w14:paraId="0BC84CC6" w14:textId="77777777" w:rsidR="00035ABA" w:rsidRPr="00035ABA" w:rsidRDefault="00035ABA" w:rsidP="00035ABA">
            <w:pPr>
              <w:widowControl w:val="0"/>
              <w:tabs>
                <w:tab w:val="decimal" w:pos="860"/>
              </w:tabs>
              <w:autoSpaceDE w:val="0"/>
              <w:autoSpaceDN w:val="0"/>
              <w:adjustRightInd w:val="0"/>
              <w:spacing w:line="276" w:lineRule="auto"/>
              <w:rPr>
                <w:snapToGrid w:val="0"/>
                <w:sz w:val="20"/>
                <w:szCs w:val="20"/>
              </w:rPr>
            </w:pPr>
            <w:r w:rsidRPr="00035ABA">
              <w:rPr>
                <w:snapToGrid w:val="0"/>
                <w:sz w:val="20"/>
                <w:szCs w:val="20"/>
              </w:rPr>
              <w:t>70</w:t>
            </w:r>
          </w:p>
        </w:tc>
        <w:tc>
          <w:tcPr>
            <w:tcW w:w="1208" w:type="dxa"/>
          </w:tcPr>
          <w:p w14:paraId="1E360C7E" w14:textId="77777777" w:rsidR="00035ABA" w:rsidRPr="00035ABA" w:rsidRDefault="00035ABA" w:rsidP="00035ABA">
            <w:pPr>
              <w:widowControl w:val="0"/>
              <w:tabs>
                <w:tab w:val="decimal" w:pos="907"/>
              </w:tabs>
              <w:autoSpaceDE w:val="0"/>
              <w:autoSpaceDN w:val="0"/>
              <w:adjustRightInd w:val="0"/>
              <w:spacing w:line="276" w:lineRule="auto"/>
              <w:rPr>
                <w:snapToGrid w:val="0"/>
                <w:sz w:val="20"/>
                <w:szCs w:val="20"/>
              </w:rPr>
            </w:pPr>
            <w:r w:rsidRPr="00035ABA">
              <w:rPr>
                <w:snapToGrid w:val="0"/>
                <w:sz w:val="20"/>
                <w:szCs w:val="20"/>
              </w:rPr>
              <w:t>675</w:t>
            </w:r>
          </w:p>
        </w:tc>
      </w:tr>
      <w:tr w:rsidR="00035ABA" w:rsidRPr="00035ABA" w14:paraId="05E665E6" w14:textId="77777777" w:rsidTr="00487863">
        <w:trPr>
          <w:trHeight w:val="276"/>
        </w:trPr>
        <w:tc>
          <w:tcPr>
            <w:tcW w:w="237" w:type="dxa"/>
          </w:tcPr>
          <w:p w14:paraId="3A21089A"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462" w:type="dxa"/>
          </w:tcPr>
          <w:p w14:paraId="2053D2DD"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2921" w:type="dxa"/>
          </w:tcPr>
          <w:p w14:paraId="4ACD36BC"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478" w:type="dxa"/>
            <w:gridSpan w:val="2"/>
          </w:tcPr>
          <w:p w14:paraId="3DB9AAF4"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208" w:type="dxa"/>
            <w:tcBorders>
              <w:top w:val="single" w:sz="4" w:space="0" w:color="auto"/>
            </w:tcBorders>
          </w:tcPr>
          <w:p w14:paraId="16E0389F" w14:textId="77777777" w:rsidR="00035ABA" w:rsidRPr="00035ABA" w:rsidRDefault="00035ABA" w:rsidP="00035ABA">
            <w:pPr>
              <w:widowControl w:val="0"/>
              <w:tabs>
                <w:tab w:val="decimal" w:pos="960"/>
              </w:tabs>
              <w:autoSpaceDE w:val="0"/>
              <w:autoSpaceDN w:val="0"/>
              <w:adjustRightInd w:val="0"/>
              <w:spacing w:line="276" w:lineRule="auto"/>
              <w:rPr>
                <w:snapToGrid w:val="0"/>
                <w:sz w:val="20"/>
                <w:szCs w:val="20"/>
              </w:rPr>
            </w:pPr>
          </w:p>
        </w:tc>
        <w:tc>
          <w:tcPr>
            <w:tcW w:w="1208" w:type="dxa"/>
            <w:tcBorders>
              <w:top w:val="single" w:sz="4" w:space="0" w:color="auto"/>
            </w:tcBorders>
          </w:tcPr>
          <w:p w14:paraId="32E8E768" w14:textId="77777777" w:rsidR="00035ABA" w:rsidRPr="00035ABA" w:rsidRDefault="00035ABA" w:rsidP="00035ABA">
            <w:pPr>
              <w:widowControl w:val="0"/>
              <w:tabs>
                <w:tab w:val="decimal" w:pos="910"/>
              </w:tabs>
              <w:autoSpaceDE w:val="0"/>
              <w:autoSpaceDN w:val="0"/>
              <w:adjustRightInd w:val="0"/>
              <w:spacing w:line="276" w:lineRule="auto"/>
              <w:rPr>
                <w:snapToGrid w:val="0"/>
                <w:sz w:val="20"/>
                <w:szCs w:val="20"/>
              </w:rPr>
            </w:pPr>
          </w:p>
        </w:tc>
        <w:tc>
          <w:tcPr>
            <w:tcW w:w="1208" w:type="dxa"/>
            <w:tcBorders>
              <w:top w:val="single" w:sz="6" w:space="0" w:color="auto"/>
            </w:tcBorders>
          </w:tcPr>
          <w:p w14:paraId="2C024ABD" w14:textId="77777777" w:rsidR="00035ABA" w:rsidRPr="00035ABA" w:rsidRDefault="00035ABA" w:rsidP="00035ABA">
            <w:pPr>
              <w:widowControl w:val="0"/>
              <w:tabs>
                <w:tab w:val="decimal" w:pos="860"/>
              </w:tabs>
              <w:autoSpaceDE w:val="0"/>
              <w:autoSpaceDN w:val="0"/>
              <w:adjustRightInd w:val="0"/>
              <w:spacing w:line="276" w:lineRule="auto"/>
              <w:jc w:val="center"/>
              <w:rPr>
                <w:snapToGrid w:val="0"/>
                <w:sz w:val="20"/>
                <w:szCs w:val="20"/>
              </w:rPr>
            </w:pPr>
          </w:p>
        </w:tc>
        <w:tc>
          <w:tcPr>
            <w:tcW w:w="1208" w:type="dxa"/>
            <w:tcBorders>
              <w:top w:val="single" w:sz="6" w:space="0" w:color="auto"/>
            </w:tcBorders>
          </w:tcPr>
          <w:p w14:paraId="6EF9F2D9" w14:textId="77777777" w:rsidR="00035ABA" w:rsidRPr="00035ABA" w:rsidRDefault="00035ABA" w:rsidP="00035ABA">
            <w:pPr>
              <w:widowControl w:val="0"/>
              <w:tabs>
                <w:tab w:val="decimal" w:pos="907"/>
              </w:tabs>
              <w:autoSpaceDE w:val="0"/>
              <w:autoSpaceDN w:val="0"/>
              <w:adjustRightInd w:val="0"/>
              <w:spacing w:line="276" w:lineRule="auto"/>
              <w:jc w:val="center"/>
              <w:rPr>
                <w:snapToGrid w:val="0"/>
                <w:sz w:val="20"/>
                <w:szCs w:val="20"/>
              </w:rPr>
            </w:pPr>
          </w:p>
        </w:tc>
      </w:tr>
      <w:tr w:rsidR="00035ABA" w:rsidRPr="00035ABA" w14:paraId="1D3767AF" w14:textId="77777777" w:rsidTr="00487863">
        <w:trPr>
          <w:cantSplit/>
          <w:trHeight w:val="293"/>
        </w:trPr>
        <w:tc>
          <w:tcPr>
            <w:tcW w:w="4620" w:type="dxa"/>
            <w:gridSpan w:val="3"/>
          </w:tcPr>
          <w:p w14:paraId="72DFCDCB" w14:textId="77777777" w:rsidR="00035ABA" w:rsidRPr="00035ABA" w:rsidRDefault="00035ABA" w:rsidP="00035ABA">
            <w:pPr>
              <w:widowControl w:val="0"/>
              <w:autoSpaceDE w:val="0"/>
              <w:autoSpaceDN w:val="0"/>
              <w:adjustRightInd w:val="0"/>
              <w:spacing w:line="276" w:lineRule="auto"/>
              <w:rPr>
                <w:snapToGrid w:val="0"/>
                <w:sz w:val="20"/>
                <w:szCs w:val="20"/>
              </w:rPr>
            </w:pPr>
            <w:r w:rsidRPr="00035ABA">
              <w:rPr>
                <w:snapToGrid w:val="0"/>
                <w:sz w:val="20"/>
                <w:szCs w:val="20"/>
              </w:rPr>
              <w:t>Net loss</w:t>
            </w:r>
          </w:p>
        </w:tc>
        <w:tc>
          <w:tcPr>
            <w:tcW w:w="478" w:type="dxa"/>
            <w:gridSpan w:val="2"/>
          </w:tcPr>
          <w:p w14:paraId="0EE6C927"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208" w:type="dxa"/>
            <w:tcBorders>
              <w:bottom w:val="double" w:sz="4" w:space="0" w:color="auto"/>
            </w:tcBorders>
          </w:tcPr>
          <w:p w14:paraId="46BF9FEE" w14:textId="77777777" w:rsidR="00035ABA" w:rsidRPr="00035ABA" w:rsidRDefault="00035ABA" w:rsidP="00035ABA">
            <w:pPr>
              <w:widowControl w:val="0"/>
              <w:tabs>
                <w:tab w:val="left" w:pos="150"/>
                <w:tab w:val="decimal" w:pos="960"/>
              </w:tabs>
              <w:autoSpaceDE w:val="0"/>
              <w:autoSpaceDN w:val="0"/>
              <w:adjustRightInd w:val="0"/>
              <w:spacing w:line="276" w:lineRule="auto"/>
              <w:rPr>
                <w:snapToGrid w:val="0"/>
                <w:sz w:val="20"/>
                <w:szCs w:val="20"/>
              </w:rPr>
            </w:pPr>
            <w:r w:rsidRPr="00035ABA">
              <w:rPr>
                <w:snapToGrid w:val="0"/>
                <w:sz w:val="20"/>
                <w:szCs w:val="20"/>
              </w:rPr>
              <w:tab/>
              <w:t>$</w:t>
            </w:r>
            <w:r w:rsidRPr="00035ABA">
              <w:rPr>
                <w:snapToGrid w:val="0"/>
                <w:sz w:val="20"/>
                <w:szCs w:val="20"/>
              </w:rPr>
              <w:tab/>
              <w:t>(5,815)</w:t>
            </w:r>
          </w:p>
        </w:tc>
        <w:tc>
          <w:tcPr>
            <w:tcW w:w="1208" w:type="dxa"/>
            <w:tcBorders>
              <w:bottom w:val="double" w:sz="4" w:space="0" w:color="auto"/>
            </w:tcBorders>
          </w:tcPr>
          <w:p w14:paraId="4067413B" w14:textId="77777777" w:rsidR="00035ABA" w:rsidRPr="00035ABA" w:rsidRDefault="00035ABA" w:rsidP="00035ABA">
            <w:pPr>
              <w:widowControl w:val="0"/>
              <w:tabs>
                <w:tab w:val="left" w:pos="100"/>
                <w:tab w:val="decimal" w:pos="910"/>
              </w:tabs>
              <w:autoSpaceDE w:val="0"/>
              <w:autoSpaceDN w:val="0"/>
              <w:adjustRightInd w:val="0"/>
              <w:spacing w:line="276" w:lineRule="auto"/>
              <w:rPr>
                <w:snapToGrid w:val="0"/>
                <w:sz w:val="20"/>
                <w:szCs w:val="20"/>
              </w:rPr>
            </w:pPr>
            <w:r w:rsidRPr="00035ABA">
              <w:rPr>
                <w:snapToGrid w:val="0"/>
                <w:sz w:val="20"/>
                <w:szCs w:val="20"/>
              </w:rPr>
              <w:tab/>
              <w:t>$</w:t>
            </w:r>
            <w:r w:rsidRPr="00035ABA">
              <w:rPr>
                <w:snapToGrid w:val="0"/>
                <w:sz w:val="20"/>
                <w:szCs w:val="20"/>
              </w:rPr>
              <w:tab/>
              <w:t>(8,409)</w:t>
            </w:r>
          </w:p>
        </w:tc>
        <w:tc>
          <w:tcPr>
            <w:tcW w:w="1208" w:type="dxa"/>
            <w:tcBorders>
              <w:bottom w:val="double" w:sz="6" w:space="0" w:color="auto"/>
            </w:tcBorders>
          </w:tcPr>
          <w:p w14:paraId="543E511E" w14:textId="77777777" w:rsidR="00035ABA" w:rsidRPr="00035ABA" w:rsidRDefault="00035ABA" w:rsidP="00035ABA">
            <w:pPr>
              <w:widowControl w:val="0"/>
              <w:tabs>
                <w:tab w:val="left" w:pos="50"/>
                <w:tab w:val="decimal" w:pos="860"/>
              </w:tabs>
              <w:autoSpaceDE w:val="0"/>
              <w:autoSpaceDN w:val="0"/>
              <w:adjustRightInd w:val="0"/>
              <w:spacing w:line="276" w:lineRule="auto"/>
              <w:rPr>
                <w:snapToGrid w:val="0"/>
                <w:sz w:val="20"/>
                <w:szCs w:val="20"/>
              </w:rPr>
            </w:pPr>
            <w:r w:rsidRPr="00035ABA">
              <w:rPr>
                <w:snapToGrid w:val="0"/>
                <w:sz w:val="20"/>
                <w:szCs w:val="20"/>
              </w:rPr>
              <w:tab/>
              <w:t>$</w:t>
            </w:r>
            <w:r w:rsidRPr="00035ABA">
              <w:rPr>
                <w:snapToGrid w:val="0"/>
                <w:sz w:val="20"/>
                <w:szCs w:val="20"/>
              </w:rPr>
              <w:tab/>
              <w:t>(16,730)</w:t>
            </w:r>
          </w:p>
        </w:tc>
        <w:tc>
          <w:tcPr>
            <w:tcW w:w="1208" w:type="dxa"/>
            <w:tcBorders>
              <w:bottom w:val="double" w:sz="6" w:space="0" w:color="auto"/>
            </w:tcBorders>
          </w:tcPr>
          <w:p w14:paraId="75BAE02F" w14:textId="77777777" w:rsidR="00035ABA" w:rsidRPr="00035ABA" w:rsidRDefault="00035ABA" w:rsidP="00035ABA">
            <w:pPr>
              <w:widowControl w:val="0"/>
              <w:tabs>
                <w:tab w:val="left" w:pos="97"/>
                <w:tab w:val="decimal" w:pos="907"/>
              </w:tabs>
              <w:autoSpaceDE w:val="0"/>
              <w:autoSpaceDN w:val="0"/>
              <w:adjustRightInd w:val="0"/>
              <w:spacing w:line="276" w:lineRule="auto"/>
              <w:rPr>
                <w:snapToGrid w:val="0"/>
                <w:sz w:val="20"/>
                <w:szCs w:val="20"/>
              </w:rPr>
            </w:pPr>
            <w:r w:rsidRPr="00035ABA">
              <w:rPr>
                <w:snapToGrid w:val="0"/>
                <w:sz w:val="20"/>
                <w:szCs w:val="20"/>
              </w:rPr>
              <w:tab/>
              <w:t>$</w:t>
            </w:r>
            <w:r w:rsidRPr="00035ABA">
              <w:rPr>
                <w:snapToGrid w:val="0"/>
                <w:sz w:val="20"/>
                <w:szCs w:val="20"/>
              </w:rPr>
              <w:tab/>
              <w:t>(18,374)</w:t>
            </w:r>
          </w:p>
        </w:tc>
      </w:tr>
      <w:tr w:rsidR="00035ABA" w:rsidRPr="00035ABA" w14:paraId="57E33089" w14:textId="77777777" w:rsidTr="00487863">
        <w:trPr>
          <w:trHeight w:val="293"/>
        </w:trPr>
        <w:tc>
          <w:tcPr>
            <w:tcW w:w="237" w:type="dxa"/>
          </w:tcPr>
          <w:p w14:paraId="71915ABF"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462" w:type="dxa"/>
          </w:tcPr>
          <w:p w14:paraId="705337BC"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2921" w:type="dxa"/>
          </w:tcPr>
          <w:p w14:paraId="438E2C4B"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478" w:type="dxa"/>
            <w:gridSpan w:val="2"/>
          </w:tcPr>
          <w:p w14:paraId="404622F8"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208" w:type="dxa"/>
          </w:tcPr>
          <w:p w14:paraId="5DB8693F" w14:textId="77777777" w:rsidR="00035ABA" w:rsidRPr="00035ABA" w:rsidRDefault="00035ABA" w:rsidP="00035ABA">
            <w:pPr>
              <w:widowControl w:val="0"/>
              <w:autoSpaceDE w:val="0"/>
              <w:autoSpaceDN w:val="0"/>
              <w:adjustRightInd w:val="0"/>
              <w:spacing w:line="276" w:lineRule="auto"/>
              <w:jc w:val="center"/>
              <w:rPr>
                <w:snapToGrid w:val="0"/>
                <w:sz w:val="20"/>
                <w:szCs w:val="20"/>
              </w:rPr>
            </w:pPr>
          </w:p>
        </w:tc>
        <w:tc>
          <w:tcPr>
            <w:tcW w:w="1208" w:type="dxa"/>
          </w:tcPr>
          <w:p w14:paraId="06AA77F9" w14:textId="77777777" w:rsidR="00035ABA" w:rsidRPr="00035ABA" w:rsidRDefault="00035ABA" w:rsidP="00035ABA">
            <w:pPr>
              <w:widowControl w:val="0"/>
              <w:autoSpaceDE w:val="0"/>
              <w:autoSpaceDN w:val="0"/>
              <w:adjustRightInd w:val="0"/>
              <w:spacing w:line="276" w:lineRule="auto"/>
              <w:jc w:val="center"/>
              <w:rPr>
                <w:snapToGrid w:val="0"/>
                <w:sz w:val="20"/>
                <w:szCs w:val="20"/>
              </w:rPr>
            </w:pPr>
          </w:p>
        </w:tc>
        <w:tc>
          <w:tcPr>
            <w:tcW w:w="1208" w:type="dxa"/>
          </w:tcPr>
          <w:p w14:paraId="54C93604" w14:textId="77777777" w:rsidR="00035ABA" w:rsidRPr="00035ABA" w:rsidRDefault="00035ABA" w:rsidP="00035ABA">
            <w:pPr>
              <w:widowControl w:val="0"/>
              <w:autoSpaceDE w:val="0"/>
              <w:autoSpaceDN w:val="0"/>
              <w:adjustRightInd w:val="0"/>
              <w:spacing w:line="276" w:lineRule="auto"/>
              <w:jc w:val="center"/>
              <w:rPr>
                <w:snapToGrid w:val="0"/>
                <w:sz w:val="20"/>
                <w:szCs w:val="20"/>
              </w:rPr>
            </w:pPr>
          </w:p>
        </w:tc>
        <w:tc>
          <w:tcPr>
            <w:tcW w:w="1208" w:type="dxa"/>
          </w:tcPr>
          <w:p w14:paraId="462A17E3" w14:textId="77777777" w:rsidR="00035ABA" w:rsidRPr="00035ABA" w:rsidRDefault="00035ABA" w:rsidP="00035ABA">
            <w:pPr>
              <w:widowControl w:val="0"/>
              <w:autoSpaceDE w:val="0"/>
              <w:autoSpaceDN w:val="0"/>
              <w:adjustRightInd w:val="0"/>
              <w:spacing w:line="276" w:lineRule="auto"/>
              <w:jc w:val="center"/>
              <w:rPr>
                <w:snapToGrid w:val="0"/>
                <w:sz w:val="20"/>
                <w:szCs w:val="20"/>
              </w:rPr>
            </w:pPr>
          </w:p>
        </w:tc>
      </w:tr>
      <w:tr w:rsidR="00035ABA" w:rsidRPr="00035ABA" w14:paraId="76ABA4E4" w14:textId="77777777" w:rsidTr="00487863">
        <w:trPr>
          <w:trHeight w:val="276"/>
        </w:trPr>
        <w:tc>
          <w:tcPr>
            <w:tcW w:w="4620" w:type="dxa"/>
            <w:gridSpan w:val="3"/>
          </w:tcPr>
          <w:p w14:paraId="41C9E624" w14:textId="77777777" w:rsidR="00035ABA" w:rsidRPr="00035ABA" w:rsidRDefault="00035ABA" w:rsidP="00035ABA">
            <w:pPr>
              <w:widowControl w:val="0"/>
              <w:autoSpaceDE w:val="0"/>
              <w:autoSpaceDN w:val="0"/>
              <w:adjustRightInd w:val="0"/>
              <w:spacing w:line="276" w:lineRule="auto"/>
              <w:rPr>
                <w:snapToGrid w:val="0"/>
                <w:sz w:val="20"/>
                <w:szCs w:val="20"/>
              </w:rPr>
            </w:pPr>
            <w:r w:rsidRPr="00035ABA">
              <w:rPr>
                <w:snapToGrid w:val="0"/>
                <w:sz w:val="20"/>
                <w:szCs w:val="20"/>
              </w:rPr>
              <w:t>Loss per common share</w:t>
            </w:r>
          </w:p>
        </w:tc>
        <w:tc>
          <w:tcPr>
            <w:tcW w:w="478" w:type="dxa"/>
            <w:gridSpan w:val="2"/>
          </w:tcPr>
          <w:p w14:paraId="798EBBE8" w14:textId="77777777" w:rsidR="00035ABA" w:rsidRPr="00035ABA" w:rsidRDefault="00035ABA" w:rsidP="00035ABA">
            <w:pPr>
              <w:widowControl w:val="0"/>
              <w:autoSpaceDE w:val="0"/>
              <w:autoSpaceDN w:val="0"/>
              <w:adjustRightInd w:val="0"/>
              <w:spacing w:line="276" w:lineRule="auto"/>
              <w:jc w:val="right"/>
              <w:rPr>
                <w:snapToGrid w:val="0"/>
                <w:sz w:val="20"/>
                <w:szCs w:val="20"/>
              </w:rPr>
            </w:pPr>
          </w:p>
        </w:tc>
        <w:tc>
          <w:tcPr>
            <w:tcW w:w="1208" w:type="dxa"/>
            <w:tcBorders>
              <w:bottom w:val="double" w:sz="4" w:space="0" w:color="auto"/>
            </w:tcBorders>
          </w:tcPr>
          <w:p w14:paraId="73CBA266" w14:textId="77777777" w:rsidR="00035ABA" w:rsidRPr="00035ABA" w:rsidRDefault="00035ABA" w:rsidP="00035ABA">
            <w:pPr>
              <w:widowControl w:val="0"/>
              <w:tabs>
                <w:tab w:val="left" w:pos="150"/>
                <w:tab w:val="decimal" w:pos="690"/>
              </w:tabs>
              <w:autoSpaceDE w:val="0"/>
              <w:autoSpaceDN w:val="0"/>
              <w:adjustRightInd w:val="0"/>
              <w:spacing w:line="276" w:lineRule="auto"/>
              <w:rPr>
                <w:snapToGrid w:val="0"/>
                <w:sz w:val="20"/>
                <w:szCs w:val="20"/>
              </w:rPr>
            </w:pPr>
            <w:r w:rsidRPr="00035ABA">
              <w:rPr>
                <w:snapToGrid w:val="0"/>
                <w:sz w:val="20"/>
                <w:szCs w:val="20"/>
              </w:rPr>
              <w:tab/>
              <w:t>$</w:t>
            </w:r>
            <w:r w:rsidRPr="00035ABA">
              <w:rPr>
                <w:snapToGrid w:val="0"/>
                <w:sz w:val="20"/>
                <w:szCs w:val="20"/>
              </w:rPr>
              <w:tab/>
              <w:t>(0.91)</w:t>
            </w:r>
          </w:p>
        </w:tc>
        <w:tc>
          <w:tcPr>
            <w:tcW w:w="1208" w:type="dxa"/>
            <w:tcBorders>
              <w:bottom w:val="double" w:sz="4" w:space="0" w:color="auto"/>
            </w:tcBorders>
          </w:tcPr>
          <w:p w14:paraId="66220B47" w14:textId="77777777" w:rsidR="00035ABA" w:rsidRPr="00035ABA" w:rsidRDefault="00035ABA" w:rsidP="00035ABA">
            <w:pPr>
              <w:widowControl w:val="0"/>
              <w:tabs>
                <w:tab w:val="left" w:pos="100"/>
                <w:tab w:val="decimal" w:pos="640"/>
              </w:tabs>
              <w:autoSpaceDE w:val="0"/>
              <w:autoSpaceDN w:val="0"/>
              <w:adjustRightInd w:val="0"/>
              <w:spacing w:line="276" w:lineRule="auto"/>
              <w:rPr>
                <w:snapToGrid w:val="0"/>
                <w:sz w:val="20"/>
                <w:szCs w:val="20"/>
              </w:rPr>
            </w:pPr>
            <w:r w:rsidRPr="00035ABA">
              <w:rPr>
                <w:snapToGrid w:val="0"/>
                <w:sz w:val="20"/>
                <w:szCs w:val="20"/>
              </w:rPr>
              <w:tab/>
              <w:t>$</w:t>
            </w:r>
            <w:r w:rsidRPr="00035ABA">
              <w:rPr>
                <w:snapToGrid w:val="0"/>
                <w:sz w:val="20"/>
                <w:szCs w:val="20"/>
              </w:rPr>
              <w:tab/>
              <w:t>(4.75)</w:t>
            </w:r>
          </w:p>
        </w:tc>
        <w:tc>
          <w:tcPr>
            <w:tcW w:w="1208" w:type="dxa"/>
            <w:tcBorders>
              <w:bottom w:val="double" w:sz="4" w:space="0" w:color="auto"/>
            </w:tcBorders>
          </w:tcPr>
          <w:p w14:paraId="4317961C" w14:textId="77777777" w:rsidR="00035ABA" w:rsidRPr="00035ABA" w:rsidRDefault="00035ABA" w:rsidP="00035ABA">
            <w:pPr>
              <w:widowControl w:val="0"/>
              <w:tabs>
                <w:tab w:val="left" w:pos="140"/>
                <w:tab w:val="decimal" w:pos="590"/>
              </w:tabs>
              <w:autoSpaceDE w:val="0"/>
              <w:autoSpaceDN w:val="0"/>
              <w:adjustRightInd w:val="0"/>
              <w:spacing w:line="276" w:lineRule="auto"/>
              <w:rPr>
                <w:snapToGrid w:val="0"/>
                <w:sz w:val="20"/>
                <w:szCs w:val="20"/>
              </w:rPr>
            </w:pPr>
            <w:r w:rsidRPr="00035ABA">
              <w:rPr>
                <w:snapToGrid w:val="0"/>
                <w:sz w:val="20"/>
                <w:szCs w:val="20"/>
              </w:rPr>
              <w:tab/>
              <w:t>$</w:t>
            </w:r>
            <w:r w:rsidRPr="00035ABA">
              <w:rPr>
                <w:snapToGrid w:val="0"/>
                <w:sz w:val="20"/>
                <w:szCs w:val="20"/>
              </w:rPr>
              <w:tab/>
              <w:t>(4.52)</w:t>
            </w:r>
          </w:p>
        </w:tc>
        <w:tc>
          <w:tcPr>
            <w:tcW w:w="1208" w:type="dxa"/>
            <w:tcBorders>
              <w:bottom w:val="double" w:sz="4" w:space="0" w:color="auto"/>
            </w:tcBorders>
          </w:tcPr>
          <w:p w14:paraId="7AE6788D" w14:textId="77777777" w:rsidR="00035ABA" w:rsidRPr="00035ABA" w:rsidRDefault="00035ABA" w:rsidP="00035ABA">
            <w:pPr>
              <w:widowControl w:val="0"/>
              <w:tabs>
                <w:tab w:val="left" w:pos="97"/>
                <w:tab w:val="decimal" w:pos="637"/>
              </w:tabs>
              <w:autoSpaceDE w:val="0"/>
              <w:autoSpaceDN w:val="0"/>
              <w:adjustRightInd w:val="0"/>
              <w:spacing w:line="276" w:lineRule="auto"/>
              <w:rPr>
                <w:snapToGrid w:val="0"/>
                <w:sz w:val="20"/>
                <w:szCs w:val="20"/>
              </w:rPr>
            </w:pPr>
            <w:r w:rsidRPr="00035ABA">
              <w:rPr>
                <w:snapToGrid w:val="0"/>
                <w:sz w:val="20"/>
                <w:szCs w:val="20"/>
              </w:rPr>
              <w:tab/>
              <w:t>$</w:t>
            </w:r>
            <w:r w:rsidRPr="00035ABA">
              <w:rPr>
                <w:snapToGrid w:val="0"/>
                <w:sz w:val="20"/>
                <w:szCs w:val="20"/>
              </w:rPr>
              <w:tab/>
              <w:t>(10.42)</w:t>
            </w:r>
          </w:p>
        </w:tc>
      </w:tr>
    </w:tbl>
    <w:p w14:paraId="31E1BFC8" w14:textId="77777777" w:rsidR="00035ABA" w:rsidRPr="00035ABA" w:rsidRDefault="00035ABA" w:rsidP="00035ABA">
      <w:pPr>
        <w:widowControl w:val="0"/>
        <w:autoSpaceDE w:val="0"/>
        <w:autoSpaceDN w:val="0"/>
        <w:adjustRightInd w:val="0"/>
        <w:jc w:val="both"/>
        <w:rPr>
          <w:sz w:val="20"/>
          <w:szCs w:val="20"/>
        </w:rPr>
      </w:pPr>
    </w:p>
    <w:p w14:paraId="3C87265C" w14:textId="77777777" w:rsidR="00035ABA" w:rsidRPr="00035ABA" w:rsidRDefault="00035ABA" w:rsidP="00035ABA">
      <w:pPr>
        <w:widowControl w:val="0"/>
        <w:autoSpaceDE w:val="0"/>
        <w:autoSpaceDN w:val="0"/>
        <w:adjustRightInd w:val="0"/>
        <w:jc w:val="both"/>
        <w:rPr>
          <w:sz w:val="20"/>
          <w:szCs w:val="20"/>
        </w:r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035ABA" w:rsidRPr="00035ABA" w14:paraId="0DB323D9" w14:textId="77777777" w:rsidTr="00487863">
        <w:trPr>
          <w:cantSplit/>
          <w:trHeight w:val="293"/>
        </w:trPr>
        <w:tc>
          <w:tcPr>
            <w:tcW w:w="9930" w:type="dxa"/>
            <w:gridSpan w:val="8"/>
          </w:tcPr>
          <w:p w14:paraId="27D774EF" w14:textId="77777777" w:rsidR="00035ABA" w:rsidRPr="00035ABA" w:rsidRDefault="00035ABA" w:rsidP="00035ABA">
            <w:pPr>
              <w:widowControl w:val="0"/>
              <w:autoSpaceDE w:val="0"/>
              <w:autoSpaceDN w:val="0"/>
              <w:adjustRightInd w:val="0"/>
              <w:jc w:val="center"/>
              <w:rPr>
                <w:b/>
                <w:bCs/>
                <w:snapToGrid w:val="0"/>
                <w:sz w:val="20"/>
                <w:szCs w:val="20"/>
              </w:rPr>
            </w:pPr>
          </w:p>
          <w:p w14:paraId="0FADC2AE" w14:textId="77777777" w:rsidR="00035ABA" w:rsidRPr="00035ABA" w:rsidRDefault="00035ABA" w:rsidP="00035ABA">
            <w:pPr>
              <w:widowControl w:val="0"/>
              <w:autoSpaceDE w:val="0"/>
              <w:autoSpaceDN w:val="0"/>
              <w:adjustRightInd w:val="0"/>
              <w:jc w:val="center"/>
              <w:rPr>
                <w:b/>
                <w:bCs/>
                <w:snapToGrid w:val="0"/>
                <w:sz w:val="20"/>
                <w:szCs w:val="20"/>
              </w:rPr>
            </w:pPr>
          </w:p>
          <w:p w14:paraId="18123620" w14:textId="77777777" w:rsidR="00035ABA" w:rsidRPr="00035ABA" w:rsidRDefault="00035ABA" w:rsidP="00035ABA">
            <w:pPr>
              <w:widowControl w:val="0"/>
              <w:autoSpaceDE w:val="0"/>
              <w:autoSpaceDN w:val="0"/>
              <w:adjustRightInd w:val="0"/>
              <w:jc w:val="center"/>
              <w:rPr>
                <w:snapToGrid w:val="0"/>
                <w:sz w:val="20"/>
                <w:szCs w:val="20"/>
              </w:rPr>
            </w:pPr>
            <w:r w:rsidRPr="00035ABA">
              <w:rPr>
                <w:b/>
                <w:bCs/>
                <w:snapToGrid w:val="0"/>
                <w:sz w:val="20"/>
                <w:szCs w:val="20"/>
              </w:rPr>
              <w:t>Condensed Consolidated Balance Sheet Information</w:t>
            </w:r>
          </w:p>
        </w:tc>
      </w:tr>
      <w:tr w:rsidR="00035ABA" w:rsidRPr="00035ABA" w14:paraId="5119D272" w14:textId="77777777" w:rsidTr="00487863">
        <w:trPr>
          <w:cantSplit/>
          <w:trHeight w:val="293"/>
        </w:trPr>
        <w:tc>
          <w:tcPr>
            <w:tcW w:w="9930" w:type="dxa"/>
            <w:gridSpan w:val="8"/>
          </w:tcPr>
          <w:p w14:paraId="2C72F47B" w14:textId="77777777" w:rsidR="00035ABA" w:rsidRPr="00035ABA" w:rsidRDefault="00035ABA" w:rsidP="00035ABA">
            <w:pPr>
              <w:widowControl w:val="0"/>
              <w:autoSpaceDE w:val="0"/>
              <w:autoSpaceDN w:val="0"/>
              <w:adjustRightInd w:val="0"/>
              <w:jc w:val="center"/>
              <w:rPr>
                <w:i/>
                <w:snapToGrid w:val="0"/>
                <w:sz w:val="20"/>
                <w:szCs w:val="20"/>
              </w:rPr>
            </w:pPr>
            <w:r w:rsidRPr="00035ABA">
              <w:rPr>
                <w:bCs/>
                <w:i/>
                <w:snapToGrid w:val="0"/>
                <w:sz w:val="20"/>
                <w:szCs w:val="20"/>
              </w:rPr>
              <w:t>(amounts in thousands, except common share information)</w:t>
            </w:r>
          </w:p>
        </w:tc>
      </w:tr>
      <w:tr w:rsidR="00035ABA" w:rsidRPr="00035ABA" w14:paraId="75AB00B6" w14:textId="77777777" w:rsidTr="00487863">
        <w:trPr>
          <w:trHeight w:val="276"/>
        </w:trPr>
        <w:tc>
          <w:tcPr>
            <w:tcW w:w="1699" w:type="dxa"/>
            <w:gridSpan w:val="2"/>
          </w:tcPr>
          <w:p w14:paraId="66AB4F5B" w14:textId="77777777" w:rsidR="00035ABA" w:rsidRPr="00035ABA" w:rsidRDefault="00035ABA" w:rsidP="00035ABA">
            <w:pPr>
              <w:widowControl w:val="0"/>
              <w:autoSpaceDE w:val="0"/>
              <w:autoSpaceDN w:val="0"/>
              <w:adjustRightInd w:val="0"/>
              <w:rPr>
                <w:snapToGrid w:val="0"/>
                <w:sz w:val="20"/>
                <w:szCs w:val="20"/>
              </w:rPr>
            </w:pPr>
          </w:p>
        </w:tc>
        <w:tc>
          <w:tcPr>
            <w:tcW w:w="2921" w:type="dxa"/>
          </w:tcPr>
          <w:p w14:paraId="55103E22" w14:textId="77777777" w:rsidR="00035ABA" w:rsidRPr="00035ABA" w:rsidRDefault="00035ABA" w:rsidP="00035ABA">
            <w:pPr>
              <w:widowControl w:val="0"/>
              <w:autoSpaceDE w:val="0"/>
              <w:autoSpaceDN w:val="0"/>
              <w:adjustRightInd w:val="0"/>
              <w:jc w:val="right"/>
              <w:rPr>
                <w:snapToGrid w:val="0"/>
                <w:sz w:val="20"/>
                <w:szCs w:val="20"/>
              </w:rPr>
            </w:pPr>
          </w:p>
        </w:tc>
        <w:tc>
          <w:tcPr>
            <w:tcW w:w="478" w:type="dxa"/>
          </w:tcPr>
          <w:p w14:paraId="6B2C83A7"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25C38DB0"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5A1F61B1"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Borders>
              <w:bottom w:val="single" w:sz="4" w:space="0" w:color="auto"/>
            </w:tcBorders>
          </w:tcPr>
          <w:p w14:paraId="00F3AB75" w14:textId="77777777" w:rsidR="00035ABA" w:rsidRPr="00035ABA" w:rsidRDefault="00035ABA" w:rsidP="00035ABA">
            <w:pPr>
              <w:widowControl w:val="0"/>
              <w:autoSpaceDE w:val="0"/>
              <w:autoSpaceDN w:val="0"/>
              <w:adjustRightInd w:val="0"/>
              <w:jc w:val="center"/>
              <w:rPr>
                <w:snapToGrid w:val="0"/>
                <w:sz w:val="20"/>
                <w:szCs w:val="20"/>
              </w:rPr>
            </w:pPr>
            <w:r w:rsidRPr="00035ABA">
              <w:rPr>
                <w:snapToGrid w:val="0"/>
                <w:sz w:val="20"/>
                <w:szCs w:val="20"/>
              </w:rPr>
              <w:t>Sep. 30,</w:t>
            </w:r>
          </w:p>
          <w:p w14:paraId="1F05470D" w14:textId="77777777" w:rsidR="00035ABA" w:rsidRPr="00035ABA" w:rsidRDefault="00035ABA" w:rsidP="00035ABA">
            <w:pPr>
              <w:widowControl w:val="0"/>
              <w:autoSpaceDE w:val="0"/>
              <w:autoSpaceDN w:val="0"/>
              <w:adjustRightInd w:val="0"/>
              <w:jc w:val="center"/>
              <w:rPr>
                <w:snapToGrid w:val="0"/>
                <w:sz w:val="20"/>
                <w:szCs w:val="20"/>
              </w:rPr>
            </w:pPr>
            <w:r w:rsidRPr="00035ABA">
              <w:rPr>
                <w:snapToGrid w:val="0"/>
                <w:sz w:val="20"/>
                <w:szCs w:val="20"/>
              </w:rPr>
              <w:t>2024</w:t>
            </w:r>
          </w:p>
        </w:tc>
        <w:tc>
          <w:tcPr>
            <w:tcW w:w="1208" w:type="dxa"/>
            <w:tcBorders>
              <w:bottom w:val="single" w:sz="4" w:space="0" w:color="auto"/>
            </w:tcBorders>
          </w:tcPr>
          <w:p w14:paraId="28838342" w14:textId="77777777" w:rsidR="00035ABA" w:rsidRPr="00035ABA" w:rsidRDefault="00035ABA" w:rsidP="00035ABA">
            <w:pPr>
              <w:widowControl w:val="0"/>
              <w:autoSpaceDE w:val="0"/>
              <w:autoSpaceDN w:val="0"/>
              <w:adjustRightInd w:val="0"/>
              <w:jc w:val="center"/>
              <w:rPr>
                <w:snapToGrid w:val="0"/>
                <w:sz w:val="20"/>
                <w:szCs w:val="20"/>
              </w:rPr>
            </w:pPr>
            <w:r w:rsidRPr="00035ABA">
              <w:rPr>
                <w:snapToGrid w:val="0"/>
                <w:sz w:val="20"/>
                <w:szCs w:val="20"/>
              </w:rPr>
              <w:t>Dec. 31,</w:t>
            </w:r>
          </w:p>
          <w:p w14:paraId="584F4F88" w14:textId="77777777" w:rsidR="00035ABA" w:rsidRPr="00035ABA" w:rsidRDefault="00035ABA" w:rsidP="00035ABA">
            <w:pPr>
              <w:widowControl w:val="0"/>
              <w:autoSpaceDE w:val="0"/>
              <w:autoSpaceDN w:val="0"/>
              <w:adjustRightInd w:val="0"/>
              <w:jc w:val="center"/>
              <w:rPr>
                <w:snapToGrid w:val="0"/>
                <w:sz w:val="20"/>
                <w:szCs w:val="20"/>
              </w:rPr>
            </w:pPr>
            <w:r w:rsidRPr="00035ABA">
              <w:rPr>
                <w:snapToGrid w:val="0"/>
                <w:sz w:val="20"/>
                <w:szCs w:val="20"/>
              </w:rPr>
              <w:t>2023</w:t>
            </w:r>
          </w:p>
        </w:tc>
      </w:tr>
      <w:tr w:rsidR="00035ABA" w:rsidRPr="00035ABA" w14:paraId="228E9101" w14:textId="77777777" w:rsidTr="00487863">
        <w:trPr>
          <w:trHeight w:val="276"/>
        </w:trPr>
        <w:tc>
          <w:tcPr>
            <w:tcW w:w="1699" w:type="dxa"/>
            <w:gridSpan w:val="2"/>
          </w:tcPr>
          <w:p w14:paraId="3C4748A5" w14:textId="77777777" w:rsidR="00035ABA" w:rsidRPr="00035ABA" w:rsidRDefault="00035ABA" w:rsidP="00035ABA">
            <w:pPr>
              <w:widowControl w:val="0"/>
              <w:autoSpaceDE w:val="0"/>
              <w:autoSpaceDN w:val="0"/>
              <w:adjustRightInd w:val="0"/>
              <w:rPr>
                <w:snapToGrid w:val="0"/>
                <w:sz w:val="20"/>
                <w:szCs w:val="20"/>
              </w:rPr>
            </w:pPr>
            <w:r w:rsidRPr="00035ABA">
              <w:rPr>
                <w:snapToGrid w:val="0"/>
                <w:sz w:val="20"/>
                <w:szCs w:val="20"/>
              </w:rPr>
              <w:t>Assets:</w:t>
            </w:r>
          </w:p>
        </w:tc>
        <w:tc>
          <w:tcPr>
            <w:tcW w:w="2921" w:type="dxa"/>
          </w:tcPr>
          <w:p w14:paraId="15BAA59B" w14:textId="77777777" w:rsidR="00035ABA" w:rsidRPr="00035ABA" w:rsidRDefault="00035ABA" w:rsidP="00035ABA">
            <w:pPr>
              <w:widowControl w:val="0"/>
              <w:autoSpaceDE w:val="0"/>
              <w:autoSpaceDN w:val="0"/>
              <w:adjustRightInd w:val="0"/>
              <w:jc w:val="right"/>
              <w:rPr>
                <w:snapToGrid w:val="0"/>
                <w:sz w:val="20"/>
                <w:szCs w:val="20"/>
              </w:rPr>
            </w:pPr>
          </w:p>
        </w:tc>
        <w:tc>
          <w:tcPr>
            <w:tcW w:w="478" w:type="dxa"/>
          </w:tcPr>
          <w:p w14:paraId="346FDF9C"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42E23545"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7B226A7C"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725C0FC1"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Borders>
              <w:top w:val="single" w:sz="4" w:space="0" w:color="auto"/>
            </w:tcBorders>
          </w:tcPr>
          <w:p w14:paraId="50D550EE" w14:textId="77777777" w:rsidR="00035ABA" w:rsidRPr="00035ABA" w:rsidRDefault="00035ABA" w:rsidP="00035ABA">
            <w:pPr>
              <w:widowControl w:val="0"/>
              <w:autoSpaceDE w:val="0"/>
              <w:autoSpaceDN w:val="0"/>
              <w:adjustRightInd w:val="0"/>
              <w:jc w:val="right"/>
              <w:rPr>
                <w:snapToGrid w:val="0"/>
                <w:sz w:val="20"/>
                <w:szCs w:val="20"/>
              </w:rPr>
            </w:pPr>
          </w:p>
        </w:tc>
      </w:tr>
      <w:tr w:rsidR="00035ABA" w:rsidRPr="00035ABA" w14:paraId="05343567" w14:textId="77777777" w:rsidTr="00487863">
        <w:trPr>
          <w:trHeight w:val="276"/>
        </w:trPr>
        <w:tc>
          <w:tcPr>
            <w:tcW w:w="237" w:type="dxa"/>
          </w:tcPr>
          <w:p w14:paraId="525DA556" w14:textId="77777777" w:rsidR="00035ABA" w:rsidRPr="00035ABA" w:rsidRDefault="00035ABA" w:rsidP="00035ABA">
            <w:pPr>
              <w:widowControl w:val="0"/>
              <w:autoSpaceDE w:val="0"/>
              <w:autoSpaceDN w:val="0"/>
              <w:adjustRightInd w:val="0"/>
              <w:jc w:val="right"/>
              <w:rPr>
                <w:snapToGrid w:val="0"/>
                <w:sz w:val="20"/>
                <w:szCs w:val="20"/>
              </w:rPr>
            </w:pPr>
            <w:bookmarkStart w:id="1" w:name="_Hlk69717749"/>
          </w:p>
        </w:tc>
        <w:tc>
          <w:tcPr>
            <w:tcW w:w="4383" w:type="dxa"/>
            <w:gridSpan w:val="2"/>
          </w:tcPr>
          <w:p w14:paraId="6D9CA324" w14:textId="77777777" w:rsidR="00035ABA" w:rsidRPr="00035ABA" w:rsidRDefault="00035ABA" w:rsidP="00035ABA">
            <w:pPr>
              <w:widowControl w:val="0"/>
              <w:autoSpaceDE w:val="0"/>
              <w:autoSpaceDN w:val="0"/>
              <w:adjustRightInd w:val="0"/>
              <w:rPr>
                <w:snapToGrid w:val="0"/>
                <w:sz w:val="20"/>
                <w:szCs w:val="20"/>
              </w:rPr>
            </w:pPr>
            <w:r w:rsidRPr="00035ABA">
              <w:rPr>
                <w:snapToGrid w:val="0"/>
                <w:sz w:val="20"/>
                <w:szCs w:val="20"/>
              </w:rPr>
              <w:t>Cash and cash equivalents</w:t>
            </w:r>
          </w:p>
        </w:tc>
        <w:tc>
          <w:tcPr>
            <w:tcW w:w="478" w:type="dxa"/>
          </w:tcPr>
          <w:p w14:paraId="2D2B802F"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78E15852" w14:textId="77777777" w:rsidR="00035ABA" w:rsidRPr="00035ABA" w:rsidRDefault="00035ABA" w:rsidP="00035ABA">
            <w:pPr>
              <w:widowControl w:val="0"/>
              <w:tabs>
                <w:tab w:val="left" w:pos="150"/>
                <w:tab w:val="decimal" w:pos="960"/>
              </w:tabs>
              <w:autoSpaceDE w:val="0"/>
              <w:autoSpaceDN w:val="0"/>
              <w:adjustRightInd w:val="0"/>
              <w:rPr>
                <w:snapToGrid w:val="0"/>
                <w:sz w:val="20"/>
                <w:szCs w:val="20"/>
              </w:rPr>
            </w:pPr>
          </w:p>
        </w:tc>
        <w:tc>
          <w:tcPr>
            <w:tcW w:w="1208" w:type="dxa"/>
          </w:tcPr>
          <w:p w14:paraId="78064C67" w14:textId="77777777" w:rsidR="00035ABA" w:rsidRPr="00035ABA" w:rsidRDefault="00035ABA" w:rsidP="00035ABA">
            <w:pPr>
              <w:widowControl w:val="0"/>
              <w:tabs>
                <w:tab w:val="left" w:pos="180"/>
                <w:tab w:val="decimal" w:pos="910"/>
              </w:tabs>
              <w:autoSpaceDE w:val="0"/>
              <w:autoSpaceDN w:val="0"/>
              <w:adjustRightInd w:val="0"/>
              <w:rPr>
                <w:snapToGrid w:val="0"/>
                <w:sz w:val="20"/>
                <w:szCs w:val="20"/>
              </w:rPr>
            </w:pPr>
          </w:p>
        </w:tc>
        <w:tc>
          <w:tcPr>
            <w:tcW w:w="1208" w:type="dxa"/>
          </w:tcPr>
          <w:p w14:paraId="24AE0D1F" w14:textId="77777777" w:rsidR="00035ABA" w:rsidRPr="00035ABA" w:rsidRDefault="00035ABA" w:rsidP="00035ABA">
            <w:pPr>
              <w:widowControl w:val="0"/>
              <w:tabs>
                <w:tab w:val="left" w:pos="165"/>
                <w:tab w:val="decimal" w:pos="960"/>
              </w:tabs>
              <w:autoSpaceDE w:val="0"/>
              <w:autoSpaceDN w:val="0"/>
              <w:adjustRightInd w:val="0"/>
              <w:rPr>
                <w:snapToGrid w:val="0"/>
                <w:sz w:val="20"/>
                <w:szCs w:val="20"/>
              </w:rPr>
            </w:pPr>
            <w:r w:rsidRPr="00035ABA">
              <w:rPr>
                <w:snapToGrid w:val="0"/>
                <w:sz w:val="20"/>
                <w:szCs w:val="20"/>
              </w:rPr>
              <w:t>$</w:t>
            </w:r>
            <w:r w:rsidRPr="00035ABA">
              <w:rPr>
                <w:snapToGrid w:val="0"/>
                <w:sz w:val="20"/>
                <w:szCs w:val="20"/>
              </w:rPr>
              <w:tab/>
            </w:r>
            <w:r w:rsidRPr="00035ABA">
              <w:rPr>
                <w:snapToGrid w:val="0"/>
                <w:sz w:val="20"/>
                <w:szCs w:val="20"/>
              </w:rPr>
              <w:tab/>
              <w:t>8,593</w:t>
            </w:r>
          </w:p>
        </w:tc>
        <w:tc>
          <w:tcPr>
            <w:tcW w:w="1208" w:type="dxa"/>
          </w:tcPr>
          <w:p w14:paraId="443A21EC" w14:textId="77777777" w:rsidR="00035ABA" w:rsidRPr="00035ABA" w:rsidRDefault="00035ABA" w:rsidP="00035ABA">
            <w:pPr>
              <w:widowControl w:val="0"/>
              <w:tabs>
                <w:tab w:val="left" w:pos="150"/>
                <w:tab w:val="decimal" w:pos="1005"/>
              </w:tabs>
              <w:autoSpaceDE w:val="0"/>
              <w:autoSpaceDN w:val="0"/>
              <w:adjustRightInd w:val="0"/>
              <w:rPr>
                <w:snapToGrid w:val="0"/>
                <w:sz w:val="20"/>
                <w:szCs w:val="20"/>
              </w:rPr>
            </w:pPr>
            <w:r w:rsidRPr="00035ABA">
              <w:rPr>
                <w:snapToGrid w:val="0"/>
                <w:sz w:val="20"/>
                <w:szCs w:val="20"/>
              </w:rPr>
              <w:t>$</w:t>
            </w:r>
            <w:r w:rsidRPr="00035ABA">
              <w:rPr>
                <w:snapToGrid w:val="0"/>
                <w:sz w:val="20"/>
                <w:szCs w:val="20"/>
              </w:rPr>
              <w:tab/>
            </w:r>
            <w:r w:rsidRPr="00035ABA">
              <w:rPr>
                <w:snapToGrid w:val="0"/>
                <w:sz w:val="20"/>
                <w:szCs w:val="20"/>
              </w:rPr>
              <w:tab/>
              <w:t>6,453</w:t>
            </w:r>
          </w:p>
        </w:tc>
      </w:tr>
      <w:tr w:rsidR="00035ABA" w:rsidRPr="00035ABA" w14:paraId="6054BCA6" w14:textId="77777777" w:rsidTr="00487863">
        <w:trPr>
          <w:trHeight w:val="276"/>
        </w:trPr>
        <w:tc>
          <w:tcPr>
            <w:tcW w:w="237" w:type="dxa"/>
          </w:tcPr>
          <w:p w14:paraId="3EF15BA7" w14:textId="77777777" w:rsidR="00035ABA" w:rsidRPr="00035ABA" w:rsidRDefault="00035ABA" w:rsidP="00035ABA">
            <w:pPr>
              <w:widowControl w:val="0"/>
              <w:autoSpaceDE w:val="0"/>
              <w:autoSpaceDN w:val="0"/>
              <w:adjustRightInd w:val="0"/>
              <w:jc w:val="right"/>
              <w:rPr>
                <w:snapToGrid w:val="0"/>
                <w:sz w:val="20"/>
                <w:szCs w:val="20"/>
              </w:rPr>
            </w:pPr>
            <w:bookmarkStart w:id="2" w:name="_Hlk69717696"/>
            <w:bookmarkEnd w:id="1"/>
          </w:p>
        </w:tc>
        <w:tc>
          <w:tcPr>
            <w:tcW w:w="4383" w:type="dxa"/>
            <w:gridSpan w:val="2"/>
          </w:tcPr>
          <w:p w14:paraId="4C55E817" w14:textId="77777777" w:rsidR="00035ABA" w:rsidRPr="00035ABA" w:rsidRDefault="00035ABA" w:rsidP="00035ABA">
            <w:pPr>
              <w:widowControl w:val="0"/>
              <w:autoSpaceDE w:val="0"/>
              <w:autoSpaceDN w:val="0"/>
              <w:adjustRightInd w:val="0"/>
              <w:rPr>
                <w:snapToGrid w:val="0"/>
                <w:sz w:val="20"/>
                <w:szCs w:val="20"/>
              </w:rPr>
            </w:pPr>
            <w:r w:rsidRPr="00035ABA">
              <w:rPr>
                <w:snapToGrid w:val="0"/>
                <w:sz w:val="20"/>
                <w:szCs w:val="20"/>
              </w:rPr>
              <w:t>Other current assets</w:t>
            </w:r>
          </w:p>
        </w:tc>
        <w:tc>
          <w:tcPr>
            <w:tcW w:w="478" w:type="dxa"/>
          </w:tcPr>
          <w:p w14:paraId="16B58CB4"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4DE3A0C5" w14:textId="77777777" w:rsidR="00035ABA" w:rsidRPr="00035ABA" w:rsidRDefault="00035ABA" w:rsidP="00035ABA">
            <w:pPr>
              <w:widowControl w:val="0"/>
              <w:autoSpaceDE w:val="0"/>
              <w:autoSpaceDN w:val="0"/>
              <w:adjustRightInd w:val="0"/>
              <w:rPr>
                <w:snapToGrid w:val="0"/>
                <w:sz w:val="20"/>
                <w:szCs w:val="20"/>
              </w:rPr>
            </w:pPr>
          </w:p>
        </w:tc>
        <w:tc>
          <w:tcPr>
            <w:tcW w:w="1208" w:type="dxa"/>
          </w:tcPr>
          <w:p w14:paraId="309B7511" w14:textId="77777777" w:rsidR="00035ABA" w:rsidRPr="00035ABA" w:rsidRDefault="00035ABA" w:rsidP="00035ABA">
            <w:pPr>
              <w:widowControl w:val="0"/>
              <w:autoSpaceDE w:val="0"/>
              <w:autoSpaceDN w:val="0"/>
              <w:adjustRightInd w:val="0"/>
              <w:rPr>
                <w:snapToGrid w:val="0"/>
                <w:sz w:val="20"/>
                <w:szCs w:val="20"/>
              </w:rPr>
            </w:pPr>
          </w:p>
        </w:tc>
        <w:tc>
          <w:tcPr>
            <w:tcW w:w="1208" w:type="dxa"/>
            <w:tcBorders>
              <w:bottom w:val="single" w:sz="4" w:space="0" w:color="auto"/>
            </w:tcBorders>
          </w:tcPr>
          <w:p w14:paraId="56E6DC4D" w14:textId="77777777" w:rsidR="00035ABA" w:rsidRPr="00035ABA" w:rsidRDefault="00035ABA" w:rsidP="00035ABA">
            <w:pPr>
              <w:widowControl w:val="0"/>
              <w:tabs>
                <w:tab w:val="decimal" w:pos="960"/>
              </w:tabs>
              <w:autoSpaceDE w:val="0"/>
              <w:autoSpaceDN w:val="0"/>
              <w:adjustRightInd w:val="0"/>
              <w:rPr>
                <w:snapToGrid w:val="0"/>
                <w:sz w:val="20"/>
                <w:szCs w:val="20"/>
              </w:rPr>
            </w:pPr>
            <w:r w:rsidRPr="00035ABA">
              <w:rPr>
                <w:snapToGrid w:val="0"/>
                <w:sz w:val="20"/>
                <w:szCs w:val="20"/>
              </w:rPr>
              <w:t>2,276</w:t>
            </w:r>
          </w:p>
        </w:tc>
        <w:tc>
          <w:tcPr>
            <w:tcW w:w="1208" w:type="dxa"/>
            <w:tcBorders>
              <w:bottom w:val="single" w:sz="4" w:space="0" w:color="auto"/>
            </w:tcBorders>
          </w:tcPr>
          <w:p w14:paraId="719E489E" w14:textId="77777777" w:rsidR="00035ABA" w:rsidRPr="00035ABA" w:rsidRDefault="00035ABA" w:rsidP="00035ABA">
            <w:pPr>
              <w:widowControl w:val="0"/>
              <w:tabs>
                <w:tab w:val="decimal" w:pos="1005"/>
              </w:tabs>
              <w:autoSpaceDE w:val="0"/>
              <w:autoSpaceDN w:val="0"/>
              <w:adjustRightInd w:val="0"/>
              <w:rPr>
                <w:snapToGrid w:val="0"/>
                <w:sz w:val="20"/>
                <w:szCs w:val="20"/>
              </w:rPr>
            </w:pPr>
            <w:r w:rsidRPr="00035ABA">
              <w:rPr>
                <w:snapToGrid w:val="0"/>
                <w:sz w:val="20"/>
                <w:szCs w:val="20"/>
              </w:rPr>
              <w:t>1,433</w:t>
            </w:r>
          </w:p>
        </w:tc>
      </w:tr>
      <w:bookmarkEnd w:id="2"/>
      <w:tr w:rsidR="00035ABA" w:rsidRPr="00035ABA" w14:paraId="65719072" w14:textId="77777777" w:rsidTr="00487863">
        <w:trPr>
          <w:trHeight w:val="276"/>
        </w:trPr>
        <w:tc>
          <w:tcPr>
            <w:tcW w:w="237" w:type="dxa"/>
          </w:tcPr>
          <w:p w14:paraId="2DD611D5" w14:textId="77777777" w:rsidR="00035ABA" w:rsidRPr="00035ABA" w:rsidRDefault="00035ABA" w:rsidP="00035ABA">
            <w:pPr>
              <w:widowControl w:val="0"/>
              <w:autoSpaceDE w:val="0"/>
              <w:autoSpaceDN w:val="0"/>
              <w:adjustRightInd w:val="0"/>
              <w:jc w:val="right"/>
              <w:rPr>
                <w:snapToGrid w:val="0"/>
                <w:sz w:val="20"/>
                <w:szCs w:val="20"/>
              </w:rPr>
            </w:pPr>
          </w:p>
        </w:tc>
        <w:tc>
          <w:tcPr>
            <w:tcW w:w="4383" w:type="dxa"/>
            <w:gridSpan w:val="2"/>
          </w:tcPr>
          <w:p w14:paraId="0876F6F1" w14:textId="77777777" w:rsidR="00035ABA" w:rsidRPr="00035ABA" w:rsidRDefault="00035ABA" w:rsidP="00035ABA">
            <w:pPr>
              <w:widowControl w:val="0"/>
              <w:autoSpaceDE w:val="0"/>
              <w:autoSpaceDN w:val="0"/>
              <w:adjustRightInd w:val="0"/>
              <w:rPr>
                <w:snapToGrid w:val="0"/>
                <w:sz w:val="20"/>
                <w:szCs w:val="20"/>
              </w:rPr>
            </w:pPr>
            <w:r w:rsidRPr="00035ABA">
              <w:rPr>
                <w:snapToGrid w:val="0"/>
                <w:sz w:val="20"/>
                <w:szCs w:val="20"/>
              </w:rPr>
              <w:t>Total current assets</w:t>
            </w:r>
          </w:p>
        </w:tc>
        <w:tc>
          <w:tcPr>
            <w:tcW w:w="478" w:type="dxa"/>
          </w:tcPr>
          <w:p w14:paraId="56EC37DE"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3F2821F4"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01AB7379"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Borders>
              <w:top w:val="single" w:sz="4" w:space="0" w:color="auto"/>
            </w:tcBorders>
          </w:tcPr>
          <w:p w14:paraId="297996AA" w14:textId="77777777" w:rsidR="00035ABA" w:rsidRPr="00035ABA" w:rsidRDefault="00035ABA" w:rsidP="00035ABA">
            <w:pPr>
              <w:widowControl w:val="0"/>
              <w:tabs>
                <w:tab w:val="left" w:pos="150"/>
                <w:tab w:val="decimal" w:pos="960"/>
              </w:tabs>
              <w:autoSpaceDE w:val="0"/>
              <w:autoSpaceDN w:val="0"/>
              <w:adjustRightInd w:val="0"/>
              <w:rPr>
                <w:snapToGrid w:val="0"/>
                <w:sz w:val="20"/>
                <w:szCs w:val="20"/>
              </w:rPr>
            </w:pPr>
            <w:r w:rsidRPr="00035ABA">
              <w:rPr>
                <w:snapToGrid w:val="0"/>
                <w:sz w:val="20"/>
                <w:szCs w:val="20"/>
              </w:rPr>
              <w:tab/>
            </w:r>
            <w:r w:rsidRPr="00035ABA">
              <w:rPr>
                <w:snapToGrid w:val="0"/>
                <w:sz w:val="20"/>
                <w:szCs w:val="20"/>
              </w:rPr>
              <w:tab/>
              <w:t>10,869</w:t>
            </w:r>
          </w:p>
        </w:tc>
        <w:tc>
          <w:tcPr>
            <w:tcW w:w="1208" w:type="dxa"/>
            <w:tcBorders>
              <w:top w:val="single" w:sz="4" w:space="0" w:color="auto"/>
            </w:tcBorders>
          </w:tcPr>
          <w:p w14:paraId="3895C9F5" w14:textId="77777777" w:rsidR="00035ABA" w:rsidRPr="00035ABA" w:rsidRDefault="00035ABA" w:rsidP="00035ABA">
            <w:pPr>
              <w:widowControl w:val="0"/>
              <w:tabs>
                <w:tab w:val="left" w:pos="195"/>
                <w:tab w:val="decimal" w:pos="1005"/>
              </w:tabs>
              <w:autoSpaceDE w:val="0"/>
              <w:autoSpaceDN w:val="0"/>
              <w:adjustRightInd w:val="0"/>
              <w:rPr>
                <w:snapToGrid w:val="0"/>
                <w:sz w:val="20"/>
                <w:szCs w:val="20"/>
              </w:rPr>
            </w:pPr>
            <w:r w:rsidRPr="00035ABA">
              <w:rPr>
                <w:snapToGrid w:val="0"/>
                <w:sz w:val="20"/>
                <w:szCs w:val="20"/>
              </w:rPr>
              <w:tab/>
            </w:r>
            <w:r w:rsidRPr="00035ABA">
              <w:rPr>
                <w:snapToGrid w:val="0"/>
                <w:sz w:val="20"/>
                <w:szCs w:val="20"/>
              </w:rPr>
              <w:tab/>
              <w:t>7,886</w:t>
            </w:r>
          </w:p>
        </w:tc>
      </w:tr>
      <w:tr w:rsidR="00035ABA" w:rsidRPr="00035ABA" w14:paraId="76DF9FD2" w14:textId="77777777" w:rsidTr="00487863">
        <w:trPr>
          <w:trHeight w:val="276"/>
        </w:trPr>
        <w:tc>
          <w:tcPr>
            <w:tcW w:w="237" w:type="dxa"/>
          </w:tcPr>
          <w:p w14:paraId="50BF5A74" w14:textId="77777777" w:rsidR="00035ABA" w:rsidRPr="00035ABA" w:rsidRDefault="00035ABA" w:rsidP="00035ABA">
            <w:pPr>
              <w:widowControl w:val="0"/>
              <w:autoSpaceDE w:val="0"/>
              <w:autoSpaceDN w:val="0"/>
              <w:adjustRightInd w:val="0"/>
              <w:jc w:val="right"/>
              <w:rPr>
                <w:snapToGrid w:val="0"/>
                <w:sz w:val="20"/>
                <w:szCs w:val="20"/>
              </w:rPr>
            </w:pPr>
          </w:p>
        </w:tc>
        <w:tc>
          <w:tcPr>
            <w:tcW w:w="4383" w:type="dxa"/>
            <w:gridSpan w:val="2"/>
          </w:tcPr>
          <w:p w14:paraId="57FDE357" w14:textId="77777777" w:rsidR="00035ABA" w:rsidRPr="00035ABA" w:rsidRDefault="00035ABA" w:rsidP="00035ABA">
            <w:pPr>
              <w:widowControl w:val="0"/>
              <w:autoSpaceDE w:val="0"/>
              <w:autoSpaceDN w:val="0"/>
              <w:adjustRightInd w:val="0"/>
              <w:rPr>
                <w:snapToGrid w:val="0"/>
                <w:sz w:val="20"/>
                <w:szCs w:val="20"/>
              </w:rPr>
            </w:pPr>
            <w:r w:rsidRPr="00035ABA">
              <w:rPr>
                <w:snapToGrid w:val="0"/>
                <w:sz w:val="20"/>
                <w:szCs w:val="20"/>
              </w:rPr>
              <w:t>Property and other assets, net</w:t>
            </w:r>
          </w:p>
        </w:tc>
        <w:tc>
          <w:tcPr>
            <w:tcW w:w="478" w:type="dxa"/>
          </w:tcPr>
          <w:p w14:paraId="42075A38"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2F1CF97A" w14:textId="77777777" w:rsidR="00035ABA" w:rsidRPr="00035ABA" w:rsidRDefault="00035ABA" w:rsidP="00035ABA">
            <w:pPr>
              <w:widowControl w:val="0"/>
              <w:autoSpaceDE w:val="0"/>
              <w:autoSpaceDN w:val="0"/>
              <w:adjustRightInd w:val="0"/>
              <w:rPr>
                <w:snapToGrid w:val="0"/>
                <w:sz w:val="20"/>
                <w:szCs w:val="20"/>
              </w:rPr>
            </w:pPr>
          </w:p>
        </w:tc>
        <w:tc>
          <w:tcPr>
            <w:tcW w:w="1208" w:type="dxa"/>
          </w:tcPr>
          <w:p w14:paraId="059B7CB7" w14:textId="77777777" w:rsidR="00035ABA" w:rsidRPr="00035ABA" w:rsidRDefault="00035ABA" w:rsidP="00035ABA">
            <w:pPr>
              <w:widowControl w:val="0"/>
              <w:autoSpaceDE w:val="0"/>
              <w:autoSpaceDN w:val="0"/>
              <w:adjustRightInd w:val="0"/>
              <w:rPr>
                <w:snapToGrid w:val="0"/>
                <w:sz w:val="20"/>
                <w:szCs w:val="20"/>
              </w:rPr>
            </w:pPr>
          </w:p>
        </w:tc>
        <w:tc>
          <w:tcPr>
            <w:tcW w:w="1208" w:type="dxa"/>
            <w:tcBorders>
              <w:bottom w:val="single" w:sz="4" w:space="0" w:color="auto"/>
            </w:tcBorders>
          </w:tcPr>
          <w:p w14:paraId="390C1F38" w14:textId="77777777" w:rsidR="00035ABA" w:rsidRPr="00035ABA" w:rsidRDefault="00035ABA" w:rsidP="00035ABA">
            <w:pPr>
              <w:widowControl w:val="0"/>
              <w:tabs>
                <w:tab w:val="decimal" w:pos="960"/>
              </w:tabs>
              <w:autoSpaceDE w:val="0"/>
              <w:autoSpaceDN w:val="0"/>
              <w:adjustRightInd w:val="0"/>
              <w:rPr>
                <w:snapToGrid w:val="0"/>
                <w:sz w:val="20"/>
                <w:szCs w:val="20"/>
              </w:rPr>
            </w:pPr>
            <w:r w:rsidRPr="00035ABA">
              <w:rPr>
                <w:snapToGrid w:val="0"/>
                <w:sz w:val="20"/>
                <w:szCs w:val="20"/>
              </w:rPr>
              <w:t>243</w:t>
            </w:r>
          </w:p>
        </w:tc>
        <w:tc>
          <w:tcPr>
            <w:tcW w:w="1208" w:type="dxa"/>
            <w:tcBorders>
              <w:bottom w:val="single" w:sz="4" w:space="0" w:color="auto"/>
            </w:tcBorders>
          </w:tcPr>
          <w:p w14:paraId="21167DAA" w14:textId="77777777" w:rsidR="00035ABA" w:rsidRPr="00035ABA" w:rsidRDefault="00035ABA" w:rsidP="00035ABA">
            <w:pPr>
              <w:widowControl w:val="0"/>
              <w:tabs>
                <w:tab w:val="decimal" w:pos="1005"/>
              </w:tabs>
              <w:autoSpaceDE w:val="0"/>
              <w:autoSpaceDN w:val="0"/>
              <w:adjustRightInd w:val="0"/>
              <w:rPr>
                <w:snapToGrid w:val="0"/>
                <w:sz w:val="20"/>
                <w:szCs w:val="20"/>
              </w:rPr>
            </w:pPr>
            <w:r w:rsidRPr="00035ABA">
              <w:rPr>
                <w:snapToGrid w:val="0"/>
                <w:sz w:val="20"/>
                <w:szCs w:val="20"/>
              </w:rPr>
              <w:t>1,397</w:t>
            </w:r>
          </w:p>
        </w:tc>
      </w:tr>
      <w:tr w:rsidR="00035ABA" w:rsidRPr="00035ABA" w14:paraId="4349897F" w14:textId="77777777" w:rsidTr="00487863">
        <w:trPr>
          <w:trHeight w:val="276"/>
        </w:trPr>
        <w:tc>
          <w:tcPr>
            <w:tcW w:w="237" w:type="dxa"/>
          </w:tcPr>
          <w:p w14:paraId="7C033CE9" w14:textId="77777777" w:rsidR="00035ABA" w:rsidRPr="00035ABA" w:rsidRDefault="00035ABA" w:rsidP="00035ABA">
            <w:pPr>
              <w:widowControl w:val="0"/>
              <w:autoSpaceDE w:val="0"/>
              <w:autoSpaceDN w:val="0"/>
              <w:adjustRightInd w:val="0"/>
              <w:jc w:val="right"/>
              <w:rPr>
                <w:snapToGrid w:val="0"/>
                <w:sz w:val="20"/>
                <w:szCs w:val="20"/>
              </w:rPr>
            </w:pPr>
          </w:p>
        </w:tc>
        <w:tc>
          <w:tcPr>
            <w:tcW w:w="4383" w:type="dxa"/>
            <w:gridSpan w:val="2"/>
          </w:tcPr>
          <w:p w14:paraId="2344C024" w14:textId="77777777" w:rsidR="00035ABA" w:rsidRPr="00035ABA" w:rsidRDefault="00035ABA" w:rsidP="00035ABA">
            <w:pPr>
              <w:widowControl w:val="0"/>
              <w:autoSpaceDE w:val="0"/>
              <w:autoSpaceDN w:val="0"/>
              <w:adjustRightInd w:val="0"/>
              <w:rPr>
                <w:snapToGrid w:val="0"/>
                <w:sz w:val="20"/>
                <w:szCs w:val="20"/>
              </w:rPr>
            </w:pPr>
            <w:r w:rsidRPr="00035ABA">
              <w:rPr>
                <w:snapToGrid w:val="0"/>
                <w:sz w:val="20"/>
                <w:szCs w:val="20"/>
              </w:rPr>
              <w:t>Total assets</w:t>
            </w:r>
          </w:p>
        </w:tc>
        <w:tc>
          <w:tcPr>
            <w:tcW w:w="478" w:type="dxa"/>
          </w:tcPr>
          <w:p w14:paraId="1F8BE48B"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54CB7C91" w14:textId="77777777" w:rsidR="00035ABA" w:rsidRPr="00035ABA" w:rsidRDefault="00035ABA" w:rsidP="00035ABA">
            <w:pPr>
              <w:widowControl w:val="0"/>
              <w:tabs>
                <w:tab w:val="left" w:pos="150"/>
                <w:tab w:val="decimal" w:pos="960"/>
              </w:tabs>
              <w:autoSpaceDE w:val="0"/>
              <w:autoSpaceDN w:val="0"/>
              <w:adjustRightInd w:val="0"/>
              <w:rPr>
                <w:snapToGrid w:val="0"/>
                <w:sz w:val="20"/>
                <w:szCs w:val="20"/>
              </w:rPr>
            </w:pPr>
          </w:p>
        </w:tc>
        <w:tc>
          <w:tcPr>
            <w:tcW w:w="1208" w:type="dxa"/>
          </w:tcPr>
          <w:p w14:paraId="1D7698E0" w14:textId="77777777" w:rsidR="00035ABA" w:rsidRPr="00035ABA" w:rsidRDefault="00035ABA" w:rsidP="00035ABA">
            <w:pPr>
              <w:widowControl w:val="0"/>
              <w:tabs>
                <w:tab w:val="left" w:pos="180"/>
                <w:tab w:val="decimal" w:pos="910"/>
              </w:tabs>
              <w:autoSpaceDE w:val="0"/>
              <w:autoSpaceDN w:val="0"/>
              <w:adjustRightInd w:val="0"/>
              <w:rPr>
                <w:snapToGrid w:val="0"/>
                <w:sz w:val="20"/>
                <w:szCs w:val="20"/>
              </w:rPr>
            </w:pPr>
          </w:p>
        </w:tc>
        <w:tc>
          <w:tcPr>
            <w:tcW w:w="1208" w:type="dxa"/>
          </w:tcPr>
          <w:p w14:paraId="69D386D0" w14:textId="77777777" w:rsidR="00035ABA" w:rsidRPr="00035ABA" w:rsidRDefault="00035ABA" w:rsidP="00035ABA">
            <w:pPr>
              <w:widowControl w:val="0"/>
              <w:tabs>
                <w:tab w:val="left" w:pos="165"/>
                <w:tab w:val="decimal" w:pos="960"/>
              </w:tabs>
              <w:autoSpaceDE w:val="0"/>
              <w:autoSpaceDN w:val="0"/>
              <w:adjustRightInd w:val="0"/>
              <w:rPr>
                <w:snapToGrid w:val="0"/>
                <w:sz w:val="20"/>
                <w:szCs w:val="20"/>
              </w:rPr>
            </w:pPr>
            <w:r w:rsidRPr="00035ABA">
              <w:rPr>
                <w:snapToGrid w:val="0"/>
                <w:sz w:val="20"/>
                <w:szCs w:val="20"/>
              </w:rPr>
              <w:t>$</w:t>
            </w:r>
            <w:r w:rsidRPr="00035ABA">
              <w:rPr>
                <w:snapToGrid w:val="0"/>
                <w:sz w:val="20"/>
                <w:szCs w:val="20"/>
              </w:rPr>
              <w:tab/>
            </w:r>
            <w:r w:rsidRPr="00035ABA">
              <w:rPr>
                <w:snapToGrid w:val="0"/>
                <w:sz w:val="20"/>
                <w:szCs w:val="20"/>
              </w:rPr>
              <w:tab/>
              <w:t>11,112</w:t>
            </w:r>
          </w:p>
        </w:tc>
        <w:tc>
          <w:tcPr>
            <w:tcW w:w="1208" w:type="dxa"/>
          </w:tcPr>
          <w:p w14:paraId="72E7D7AA" w14:textId="77777777" w:rsidR="00035ABA" w:rsidRPr="00035ABA" w:rsidRDefault="00035ABA" w:rsidP="00035ABA">
            <w:pPr>
              <w:widowControl w:val="0"/>
              <w:tabs>
                <w:tab w:val="left" w:pos="150"/>
                <w:tab w:val="decimal" w:pos="1005"/>
              </w:tabs>
              <w:autoSpaceDE w:val="0"/>
              <w:autoSpaceDN w:val="0"/>
              <w:adjustRightInd w:val="0"/>
              <w:rPr>
                <w:snapToGrid w:val="0"/>
                <w:sz w:val="20"/>
                <w:szCs w:val="20"/>
              </w:rPr>
            </w:pPr>
            <w:r w:rsidRPr="00035ABA">
              <w:rPr>
                <w:snapToGrid w:val="0"/>
                <w:sz w:val="20"/>
                <w:szCs w:val="20"/>
              </w:rPr>
              <w:t>$</w:t>
            </w:r>
            <w:r w:rsidRPr="00035ABA">
              <w:rPr>
                <w:snapToGrid w:val="0"/>
                <w:sz w:val="20"/>
                <w:szCs w:val="20"/>
              </w:rPr>
              <w:tab/>
            </w:r>
            <w:r w:rsidRPr="00035ABA">
              <w:rPr>
                <w:snapToGrid w:val="0"/>
                <w:sz w:val="20"/>
                <w:szCs w:val="20"/>
              </w:rPr>
              <w:tab/>
              <w:t>9,283</w:t>
            </w:r>
          </w:p>
        </w:tc>
      </w:tr>
      <w:tr w:rsidR="00035ABA" w:rsidRPr="00035ABA" w14:paraId="571917D4" w14:textId="77777777" w:rsidTr="00487863">
        <w:trPr>
          <w:trHeight w:val="276"/>
        </w:trPr>
        <w:tc>
          <w:tcPr>
            <w:tcW w:w="237" w:type="dxa"/>
          </w:tcPr>
          <w:p w14:paraId="772CA6F9" w14:textId="77777777" w:rsidR="00035ABA" w:rsidRPr="00035ABA" w:rsidRDefault="00035ABA" w:rsidP="00035ABA">
            <w:pPr>
              <w:widowControl w:val="0"/>
              <w:autoSpaceDE w:val="0"/>
              <w:autoSpaceDN w:val="0"/>
              <w:adjustRightInd w:val="0"/>
              <w:jc w:val="right"/>
              <w:rPr>
                <w:snapToGrid w:val="0"/>
                <w:sz w:val="20"/>
                <w:szCs w:val="20"/>
              </w:rPr>
            </w:pPr>
          </w:p>
        </w:tc>
        <w:tc>
          <w:tcPr>
            <w:tcW w:w="1462" w:type="dxa"/>
          </w:tcPr>
          <w:p w14:paraId="070E967F" w14:textId="77777777" w:rsidR="00035ABA" w:rsidRPr="00035ABA" w:rsidRDefault="00035ABA" w:rsidP="00035ABA">
            <w:pPr>
              <w:widowControl w:val="0"/>
              <w:autoSpaceDE w:val="0"/>
              <w:autoSpaceDN w:val="0"/>
              <w:adjustRightInd w:val="0"/>
              <w:jc w:val="right"/>
              <w:rPr>
                <w:snapToGrid w:val="0"/>
                <w:sz w:val="20"/>
                <w:szCs w:val="20"/>
              </w:rPr>
            </w:pPr>
          </w:p>
        </w:tc>
        <w:tc>
          <w:tcPr>
            <w:tcW w:w="2921" w:type="dxa"/>
          </w:tcPr>
          <w:p w14:paraId="55B03950" w14:textId="77777777" w:rsidR="00035ABA" w:rsidRPr="00035ABA" w:rsidRDefault="00035ABA" w:rsidP="00035ABA">
            <w:pPr>
              <w:widowControl w:val="0"/>
              <w:autoSpaceDE w:val="0"/>
              <w:autoSpaceDN w:val="0"/>
              <w:adjustRightInd w:val="0"/>
              <w:jc w:val="right"/>
              <w:rPr>
                <w:snapToGrid w:val="0"/>
                <w:sz w:val="20"/>
                <w:szCs w:val="20"/>
              </w:rPr>
            </w:pPr>
          </w:p>
        </w:tc>
        <w:tc>
          <w:tcPr>
            <w:tcW w:w="478" w:type="dxa"/>
          </w:tcPr>
          <w:p w14:paraId="64938E39"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0BC40A96"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7AD6C2DA"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Borders>
              <w:top w:val="double" w:sz="4" w:space="0" w:color="auto"/>
            </w:tcBorders>
          </w:tcPr>
          <w:p w14:paraId="1BFE2566"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Borders>
              <w:top w:val="double" w:sz="4" w:space="0" w:color="auto"/>
            </w:tcBorders>
          </w:tcPr>
          <w:p w14:paraId="7FED8BCC" w14:textId="77777777" w:rsidR="00035ABA" w:rsidRPr="00035ABA" w:rsidRDefault="00035ABA" w:rsidP="00035ABA">
            <w:pPr>
              <w:widowControl w:val="0"/>
              <w:autoSpaceDE w:val="0"/>
              <w:autoSpaceDN w:val="0"/>
              <w:adjustRightInd w:val="0"/>
              <w:jc w:val="right"/>
              <w:rPr>
                <w:snapToGrid w:val="0"/>
                <w:sz w:val="20"/>
                <w:szCs w:val="20"/>
              </w:rPr>
            </w:pPr>
          </w:p>
        </w:tc>
      </w:tr>
      <w:tr w:rsidR="00035ABA" w:rsidRPr="00035ABA" w14:paraId="39181C33" w14:textId="77777777" w:rsidTr="00487863">
        <w:trPr>
          <w:trHeight w:val="276"/>
        </w:trPr>
        <w:tc>
          <w:tcPr>
            <w:tcW w:w="4620" w:type="dxa"/>
            <w:gridSpan w:val="3"/>
          </w:tcPr>
          <w:p w14:paraId="78B410A1" w14:textId="77777777" w:rsidR="00035ABA" w:rsidRPr="00035ABA" w:rsidRDefault="00035ABA" w:rsidP="00035ABA">
            <w:pPr>
              <w:widowControl w:val="0"/>
              <w:autoSpaceDE w:val="0"/>
              <w:autoSpaceDN w:val="0"/>
              <w:adjustRightInd w:val="0"/>
              <w:rPr>
                <w:snapToGrid w:val="0"/>
                <w:sz w:val="20"/>
                <w:szCs w:val="20"/>
              </w:rPr>
            </w:pPr>
            <w:r w:rsidRPr="00035ABA">
              <w:rPr>
                <w:snapToGrid w:val="0"/>
                <w:sz w:val="20"/>
                <w:szCs w:val="20"/>
              </w:rPr>
              <w:t>Liabilities and stockholders’ equity</w:t>
            </w:r>
          </w:p>
        </w:tc>
        <w:tc>
          <w:tcPr>
            <w:tcW w:w="478" w:type="dxa"/>
          </w:tcPr>
          <w:p w14:paraId="2EEEF0EB"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1F9D27BD"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6B0A3242"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0136FB73"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35592CCA" w14:textId="77777777" w:rsidR="00035ABA" w:rsidRPr="00035ABA" w:rsidRDefault="00035ABA" w:rsidP="00035ABA">
            <w:pPr>
              <w:widowControl w:val="0"/>
              <w:autoSpaceDE w:val="0"/>
              <w:autoSpaceDN w:val="0"/>
              <w:adjustRightInd w:val="0"/>
              <w:jc w:val="right"/>
              <w:rPr>
                <w:snapToGrid w:val="0"/>
                <w:sz w:val="20"/>
                <w:szCs w:val="20"/>
              </w:rPr>
            </w:pPr>
          </w:p>
        </w:tc>
      </w:tr>
      <w:tr w:rsidR="00035ABA" w:rsidRPr="00035ABA" w14:paraId="5E929399" w14:textId="77777777" w:rsidTr="00487863">
        <w:trPr>
          <w:trHeight w:val="276"/>
        </w:trPr>
        <w:tc>
          <w:tcPr>
            <w:tcW w:w="237" w:type="dxa"/>
          </w:tcPr>
          <w:p w14:paraId="6CFE9532" w14:textId="77777777" w:rsidR="00035ABA" w:rsidRPr="00035ABA" w:rsidRDefault="00035ABA" w:rsidP="00035ABA">
            <w:pPr>
              <w:widowControl w:val="0"/>
              <w:autoSpaceDE w:val="0"/>
              <w:autoSpaceDN w:val="0"/>
              <w:adjustRightInd w:val="0"/>
              <w:jc w:val="right"/>
              <w:rPr>
                <w:snapToGrid w:val="0"/>
                <w:sz w:val="20"/>
                <w:szCs w:val="20"/>
              </w:rPr>
            </w:pPr>
          </w:p>
        </w:tc>
        <w:tc>
          <w:tcPr>
            <w:tcW w:w="4383" w:type="dxa"/>
            <w:gridSpan w:val="2"/>
          </w:tcPr>
          <w:p w14:paraId="7DAE9E64" w14:textId="77777777" w:rsidR="00035ABA" w:rsidRPr="00035ABA" w:rsidRDefault="00035ABA" w:rsidP="00035ABA">
            <w:pPr>
              <w:widowControl w:val="0"/>
              <w:autoSpaceDE w:val="0"/>
              <w:autoSpaceDN w:val="0"/>
              <w:adjustRightInd w:val="0"/>
              <w:rPr>
                <w:snapToGrid w:val="0"/>
                <w:sz w:val="20"/>
                <w:szCs w:val="20"/>
              </w:rPr>
            </w:pPr>
            <w:r w:rsidRPr="00035ABA">
              <w:rPr>
                <w:snapToGrid w:val="0"/>
                <w:sz w:val="20"/>
                <w:szCs w:val="20"/>
              </w:rPr>
              <w:t>Total liabilities</w:t>
            </w:r>
          </w:p>
        </w:tc>
        <w:tc>
          <w:tcPr>
            <w:tcW w:w="478" w:type="dxa"/>
          </w:tcPr>
          <w:p w14:paraId="2EFF4CA7"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132C72EB"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2B416974"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077756F1" w14:textId="77777777" w:rsidR="00035ABA" w:rsidRPr="00035ABA" w:rsidRDefault="00035ABA" w:rsidP="00035ABA">
            <w:pPr>
              <w:widowControl w:val="0"/>
              <w:tabs>
                <w:tab w:val="left" w:pos="150"/>
                <w:tab w:val="decimal" w:pos="960"/>
              </w:tabs>
              <w:autoSpaceDE w:val="0"/>
              <w:autoSpaceDN w:val="0"/>
              <w:adjustRightInd w:val="0"/>
              <w:rPr>
                <w:snapToGrid w:val="0"/>
                <w:sz w:val="20"/>
                <w:szCs w:val="20"/>
              </w:rPr>
            </w:pPr>
            <w:r w:rsidRPr="00035ABA">
              <w:rPr>
                <w:snapToGrid w:val="0"/>
                <w:sz w:val="20"/>
                <w:szCs w:val="20"/>
              </w:rPr>
              <w:t>$</w:t>
            </w:r>
            <w:r w:rsidRPr="00035ABA">
              <w:rPr>
                <w:snapToGrid w:val="0"/>
                <w:sz w:val="20"/>
                <w:szCs w:val="20"/>
              </w:rPr>
              <w:tab/>
            </w:r>
            <w:r w:rsidRPr="00035ABA">
              <w:rPr>
                <w:snapToGrid w:val="0"/>
                <w:sz w:val="20"/>
                <w:szCs w:val="20"/>
              </w:rPr>
              <w:tab/>
              <w:t>2,608</w:t>
            </w:r>
          </w:p>
        </w:tc>
        <w:tc>
          <w:tcPr>
            <w:tcW w:w="1208" w:type="dxa"/>
          </w:tcPr>
          <w:p w14:paraId="084F2030" w14:textId="77777777" w:rsidR="00035ABA" w:rsidRPr="00035ABA" w:rsidRDefault="00035ABA" w:rsidP="00035ABA">
            <w:pPr>
              <w:widowControl w:val="0"/>
              <w:tabs>
                <w:tab w:val="left" w:pos="165"/>
                <w:tab w:val="decimal" w:pos="1005"/>
              </w:tabs>
              <w:autoSpaceDE w:val="0"/>
              <w:autoSpaceDN w:val="0"/>
              <w:adjustRightInd w:val="0"/>
              <w:rPr>
                <w:snapToGrid w:val="0"/>
                <w:sz w:val="20"/>
                <w:szCs w:val="20"/>
              </w:rPr>
            </w:pPr>
            <w:r w:rsidRPr="00035ABA">
              <w:rPr>
                <w:snapToGrid w:val="0"/>
                <w:sz w:val="20"/>
                <w:szCs w:val="20"/>
              </w:rPr>
              <w:t>$</w:t>
            </w:r>
            <w:r w:rsidRPr="00035ABA">
              <w:rPr>
                <w:snapToGrid w:val="0"/>
                <w:sz w:val="20"/>
                <w:szCs w:val="20"/>
              </w:rPr>
              <w:tab/>
            </w:r>
            <w:r w:rsidRPr="00035ABA">
              <w:rPr>
                <w:snapToGrid w:val="0"/>
                <w:sz w:val="20"/>
                <w:szCs w:val="20"/>
              </w:rPr>
              <w:tab/>
              <w:t>3,520</w:t>
            </w:r>
          </w:p>
        </w:tc>
      </w:tr>
      <w:tr w:rsidR="00035ABA" w:rsidRPr="00035ABA" w14:paraId="3ACFBBF7" w14:textId="77777777" w:rsidTr="00487863">
        <w:trPr>
          <w:trHeight w:val="276"/>
        </w:trPr>
        <w:tc>
          <w:tcPr>
            <w:tcW w:w="237" w:type="dxa"/>
          </w:tcPr>
          <w:p w14:paraId="38353D55" w14:textId="77777777" w:rsidR="00035ABA" w:rsidRPr="00035ABA" w:rsidRDefault="00035ABA" w:rsidP="00035ABA">
            <w:pPr>
              <w:widowControl w:val="0"/>
              <w:autoSpaceDE w:val="0"/>
              <w:autoSpaceDN w:val="0"/>
              <w:adjustRightInd w:val="0"/>
              <w:jc w:val="right"/>
              <w:rPr>
                <w:snapToGrid w:val="0"/>
                <w:sz w:val="20"/>
                <w:szCs w:val="20"/>
              </w:rPr>
            </w:pPr>
          </w:p>
        </w:tc>
        <w:tc>
          <w:tcPr>
            <w:tcW w:w="4383" w:type="dxa"/>
            <w:gridSpan w:val="2"/>
          </w:tcPr>
          <w:p w14:paraId="6D7EBD2B" w14:textId="77777777" w:rsidR="00035ABA" w:rsidRPr="00035ABA" w:rsidRDefault="00035ABA" w:rsidP="00035ABA">
            <w:pPr>
              <w:widowControl w:val="0"/>
              <w:autoSpaceDE w:val="0"/>
              <w:autoSpaceDN w:val="0"/>
              <w:adjustRightInd w:val="0"/>
              <w:rPr>
                <w:snapToGrid w:val="0"/>
                <w:sz w:val="20"/>
                <w:szCs w:val="20"/>
              </w:rPr>
            </w:pPr>
            <w:r w:rsidRPr="00035ABA">
              <w:rPr>
                <w:snapToGrid w:val="0"/>
                <w:sz w:val="20"/>
                <w:szCs w:val="20"/>
              </w:rPr>
              <w:t>Stockholders’ equity</w:t>
            </w:r>
          </w:p>
        </w:tc>
        <w:tc>
          <w:tcPr>
            <w:tcW w:w="478" w:type="dxa"/>
          </w:tcPr>
          <w:p w14:paraId="322C0BEA"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5ED1DC0F"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33F4134D"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Borders>
              <w:bottom w:val="single" w:sz="4" w:space="0" w:color="auto"/>
            </w:tcBorders>
          </w:tcPr>
          <w:p w14:paraId="3595415F" w14:textId="77777777" w:rsidR="00035ABA" w:rsidRPr="00035ABA" w:rsidRDefault="00035ABA" w:rsidP="00035ABA">
            <w:pPr>
              <w:widowControl w:val="0"/>
              <w:tabs>
                <w:tab w:val="decimal" w:pos="960"/>
              </w:tabs>
              <w:autoSpaceDE w:val="0"/>
              <w:autoSpaceDN w:val="0"/>
              <w:adjustRightInd w:val="0"/>
              <w:rPr>
                <w:snapToGrid w:val="0"/>
                <w:sz w:val="20"/>
                <w:szCs w:val="20"/>
              </w:rPr>
            </w:pPr>
            <w:r w:rsidRPr="00035ABA">
              <w:rPr>
                <w:snapToGrid w:val="0"/>
                <w:sz w:val="20"/>
                <w:szCs w:val="20"/>
              </w:rPr>
              <w:t>8,504</w:t>
            </w:r>
          </w:p>
        </w:tc>
        <w:tc>
          <w:tcPr>
            <w:tcW w:w="1208" w:type="dxa"/>
            <w:tcBorders>
              <w:bottom w:val="single" w:sz="4" w:space="0" w:color="auto"/>
            </w:tcBorders>
          </w:tcPr>
          <w:p w14:paraId="39F9AF88" w14:textId="77777777" w:rsidR="00035ABA" w:rsidRPr="00035ABA" w:rsidRDefault="00035ABA" w:rsidP="00035ABA">
            <w:pPr>
              <w:widowControl w:val="0"/>
              <w:tabs>
                <w:tab w:val="decimal" w:pos="1005"/>
              </w:tabs>
              <w:autoSpaceDE w:val="0"/>
              <w:autoSpaceDN w:val="0"/>
              <w:adjustRightInd w:val="0"/>
              <w:rPr>
                <w:snapToGrid w:val="0"/>
                <w:sz w:val="20"/>
                <w:szCs w:val="20"/>
              </w:rPr>
            </w:pPr>
            <w:r w:rsidRPr="00035ABA">
              <w:rPr>
                <w:snapToGrid w:val="0"/>
                <w:sz w:val="20"/>
                <w:szCs w:val="20"/>
              </w:rPr>
              <w:t>5,763</w:t>
            </w:r>
          </w:p>
        </w:tc>
      </w:tr>
      <w:tr w:rsidR="00035ABA" w:rsidRPr="00035ABA" w14:paraId="4CA536B6" w14:textId="77777777" w:rsidTr="00487863">
        <w:trPr>
          <w:trHeight w:val="276"/>
        </w:trPr>
        <w:tc>
          <w:tcPr>
            <w:tcW w:w="237" w:type="dxa"/>
          </w:tcPr>
          <w:p w14:paraId="4E6AB81D" w14:textId="77777777" w:rsidR="00035ABA" w:rsidRPr="00035ABA" w:rsidRDefault="00035ABA" w:rsidP="00035ABA">
            <w:pPr>
              <w:widowControl w:val="0"/>
              <w:autoSpaceDE w:val="0"/>
              <w:autoSpaceDN w:val="0"/>
              <w:adjustRightInd w:val="0"/>
              <w:jc w:val="right"/>
              <w:rPr>
                <w:snapToGrid w:val="0"/>
                <w:sz w:val="20"/>
                <w:szCs w:val="20"/>
              </w:rPr>
            </w:pPr>
          </w:p>
        </w:tc>
        <w:tc>
          <w:tcPr>
            <w:tcW w:w="6069" w:type="dxa"/>
            <w:gridSpan w:val="4"/>
          </w:tcPr>
          <w:p w14:paraId="6F261204" w14:textId="77777777" w:rsidR="00035ABA" w:rsidRPr="00035ABA" w:rsidRDefault="00035ABA" w:rsidP="00035ABA">
            <w:pPr>
              <w:widowControl w:val="0"/>
              <w:autoSpaceDE w:val="0"/>
              <w:autoSpaceDN w:val="0"/>
              <w:adjustRightInd w:val="0"/>
              <w:rPr>
                <w:snapToGrid w:val="0"/>
                <w:sz w:val="20"/>
                <w:szCs w:val="20"/>
              </w:rPr>
            </w:pPr>
            <w:r w:rsidRPr="00035ABA">
              <w:rPr>
                <w:snapToGrid w:val="0"/>
                <w:sz w:val="20"/>
                <w:szCs w:val="20"/>
              </w:rPr>
              <w:t>Total liabilities and stockholders’ equity</w:t>
            </w:r>
          </w:p>
        </w:tc>
        <w:tc>
          <w:tcPr>
            <w:tcW w:w="1208" w:type="dxa"/>
          </w:tcPr>
          <w:p w14:paraId="228E095C"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Borders>
              <w:top w:val="single" w:sz="4" w:space="0" w:color="auto"/>
              <w:bottom w:val="double" w:sz="4" w:space="0" w:color="auto"/>
            </w:tcBorders>
          </w:tcPr>
          <w:p w14:paraId="3E09C319" w14:textId="77777777" w:rsidR="00035ABA" w:rsidRPr="00035ABA" w:rsidRDefault="00035ABA" w:rsidP="00035ABA">
            <w:pPr>
              <w:widowControl w:val="0"/>
              <w:tabs>
                <w:tab w:val="left" w:pos="165"/>
                <w:tab w:val="decimal" w:pos="960"/>
              </w:tabs>
              <w:autoSpaceDE w:val="0"/>
              <w:autoSpaceDN w:val="0"/>
              <w:adjustRightInd w:val="0"/>
              <w:rPr>
                <w:snapToGrid w:val="0"/>
                <w:sz w:val="20"/>
                <w:szCs w:val="20"/>
              </w:rPr>
            </w:pPr>
            <w:r w:rsidRPr="00035ABA">
              <w:rPr>
                <w:snapToGrid w:val="0"/>
                <w:sz w:val="20"/>
                <w:szCs w:val="20"/>
              </w:rPr>
              <w:t>$</w:t>
            </w:r>
            <w:r w:rsidRPr="00035ABA">
              <w:rPr>
                <w:snapToGrid w:val="0"/>
                <w:sz w:val="20"/>
                <w:szCs w:val="20"/>
              </w:rPr>
              <w:tab/>
            </w:r>
            <w:r w:rsidRPr="00035ABA">
              <w:rPr>
                <w:snapToGrid w:val="0"/>
                <w:sz w:val="20"/>
                <w:szCs w:val="20"/>
              </w:rPr>
              <w:tab/>
              <w:t>11,112</w:t>
            </w:r>
          </w:p>
        </w:tc>
        <w:tc>
          <w:tcPr>
            <w:tcW w:w="1208" w:type="dxa"/>
            <w:tcBorders>
              <w:top w:val="single" w:sz="4" w:space="0" w:color="auto"/>
              <w:bottom w:val="double" w:sz="4" w:space="0" w:color="auto"/>
            </w:tcBorders>
          </w:tcPr>
          <w:p w14:paraId="178E6429" w14:textId="77777777" w:rsidR="00035ABA" w:rsidRPr="00035ABA" w:rsidRDefault="00035ABA" w:rsidP="00035ABA">
            <w:pPr>
              <w:widowControl w:val="0"/>
              <w:tabs>
                <w:tab w:val="left" w:pos="105"/>
                <w:tab w:val="decimal" w:pos="1005"/>
              </w:tabs>
              <w:autoSpaceDE w:val="0"/>
              <w:autoSpaceDN w:val="0"/>
              <w:adjustRightInd w:val="0"/>
              <w:rPr>
                <w:snapToGrid w:val="0"/>
                <w:sz w:val="20"/>
                <w:szCs w:val="20"/>
              </w:rPr>
            </w:pPr>
            <w:r w:rsidRPr="00035ABA">
              <w:rPr>
                <w:snapToGrid w:val="0"/>
                <w:sz w:val="20"/>
                <w:szCs w:val="20"/>
              </w:rPr>
              <w:t>$</w:t>
            </w:r>
            <w:r w:rsidRPr="00035ABA">
              <w:rPr>
                <w:snapToGrid w:val="0"/>
                <w:sz w:val="20"/>
                <w:szCs w:val="20"/>
              </w:rPr>
              <w:tab/>
            </w:r>
            <w:r w:rsidRPr="00035ABA">
              <w:rPr>
                <w:snapToGrid w:val="0"/>
                <w:sz w:val="20"/>
                <w:szCs w:val="20"/>
              </w:rPr>
              <w:tab/>
              <w:t>9,283</w:t>
            </w:r>
          </w:p>
        </w:tc>
      </w:tr>
      <w:tr w:rsidR="00035ABA" w:rsidRPr="00035ABA" w14:paraId="57DCF740" w14:textId="77777777" w:rsidTr="00487863">
        <w:trPr>
          <w:trHeight w:val="276"/>
        </w:trPr>
        <w:tc>
          <w:tcPr>
            <w:tcW w:w="237" w:type="dxa"/>
          </w:tcPr>
          <w:p w14:paraId="7930B855" w14:textId="77777777" w:rsidR="00035ABA" w:rsidRPr="00035ABA" w:rsidRDefault="00035ABA" w:rsidP="00035ABA">
            <w:pPr>
              <w:widowControl w:val="0"/>
              <w:autoSpaceDE w:val="0"/>
              <w:autoSpaceDN w:val="0"/>
              <w:adjustRightInd w:val="0"/>
              <w:jc w:val="right"/>
              <w:rPr>
                <w:snapToGrid w:val="0"/>
                <w:sz w:val="20"/>
                <w:szCs w:val="20"/>
              </w:rPr>
            </w:pPr>
          </w:p>
        </w:tc>
        <w:tc>
          <w:tcPr>
            <w:tcW w:w="4383" w:type="dxa"/>
            <w:gridSpan w:val="2"/>
          </w:tcPr>
          <w:p w14:paraId="5D1C9B60" w14:textId="77777777" w:rsidR="00035ABA" w:rsidRPr="00035ABA" w:rsidRDefault="00035ABA" w:rsidP="00035ABA">
            <w:pPr>
              <w:widowControl w:val="0"/>
              <w:autoSpaceDE w:val="0"/>
              <w:autoSpaceDN w:val="0"/>
              <w:adjustRightInd w:val="0"/>
              <w:rPr>
                <w:snapToGrid w:val="0"/>
                <w:sz w:val="20"/>
                <w:szCs w:val="20"/>
              </w:rPr>
            </w:pPr>
          </w:p>
        </w:tc>
        <w:tc>
          <w:tcPr>
            <w:tcW w:w="478" w:type="dxa"/>
          </w:tcPr>
          <w:p w14:paraId="2D818D84"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5E1EBA0C"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5BD447EF"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79D8730A"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7FC230F4" w14:textId="77777777" w:rsidR="00035ABA" w:rsidRPr="00035ABA" w:rsidRDefault="00035ABA" w:rsidP="00035ABA">
            <w:pPr>
              <w:widowControl w:val="0"/>
              <w:autoSpaceDE w:val="0"/>
              <w:autoSpaceDN w:val="0"/>
              <w:adjustRightInd w:val="0"/>
              <w:jc w:val="right"/>
              <w:rPr>
                <w:snapToGrid w:val="0"/>
                <w:sz w:val="20"/>
                <w:szCs w:val="20"/>
              </w:rPr>
            </w:pPr>
          </w:p>
        </w:tc>
      </w:tr>
      <w:tr w:rsidR="00035ABA" w:rsidRPr="00035ABA" w14:paraId="38735312" w14:textId="77777777" w:rsidTr="00487863">
        <w:trPr>
          <w:trHeight w:val="276"/>
        </w:trPr>
        <w:tc>
          <w:tcPr>
            <w:tcW w:w="237" w:type="dxa"/>
          </w:tcPr>
          <w:p w14:paraId="530640C5" w14:textId="77777777" w:rsidR="00035ABA" w:rsidRPr="00035ABA" w:rsidRDefault="00035ABA" w:rsidP="00035ABA">
            <w:pPr>
              <w:widowControl w:val="0"/>
              <w:autoSpaceDE w:val="0"/>
              <w:autoSpaceDN w:val="0"/>
              <w:adjustRightInd w:val="0"/>
              <w:jc w:val="right"/>
              <w:rPr>
                <w:snapToGrid w:val="0"/>
                <w:sz w:val="20"/>
                <w:szCs w:val="20"/>
              </w:rPr>
            </w:pPr>
          </w:p>
        </w:tc>
        <w:tc>
          <w:tcPr>
            <w:tcW w:w="4383" w:type="dxa"/>
            <w:gridSpan w:val="2"/>
          </w:tcPr>
          <w:p w14:paraId="31EF9C56" w14:textId="77777777" w:rsidR="00035ABA" w:rsidRPr="00035ABA" w:rsidRDefault="00035ABA" w:rsidP="00035ABA">
            <w:pPr>
              <w:widowControl w:val="0"/>
              <w:autoSpaceDE w:val="0"/>
              <w:autoSpaceDN w:val="0"/>
              <w:adjustRightInd w:val="0"/>
              <w:rPr>
                <w:snapToGrid w:val="0"/>
                <w:sz w:val="20"/>
                <w:szCs w:val="20"/>
              </w:rPr>
            </w:pPr>
            <w:r w:rsidRPr="00035ABA">
              <w:rPr>
                <w:snapToGrid w:val="0"/>
                <w:sz w:val="20"/>
                <w:szCs w:val="20"/>
              </w:rPr>
              <w:t>Common shares outstanding</w:t>
            </w:r>
          </w:p>
        </w:tc>
        <w:tc>
          <w:tcPr>
            <w:tcW w:w="478" w:type="dxa"/>
          </w:tcPr>
          <w:p w14:paraId="504D4FC1"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40F98803"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3FE3C051" w14:textId="77777777" w:rsidR="00035ABA" w:rsidRPr="00035ABA" w:rsidRDefault="00035ABA" w:rsidP="00035ABA">
            <w:pPr>
              <w:widowControl w:val="0"/>
              <w:autoSpaceDE w:val="0"/>
              <w:autoSpaceDN w:val="0"/>
              <w:adjustRightInd w:val="0"/>
              <w:jc w:val="right"/>
              <w:rPr>
                <w:snapToGrid w:val="0"/>
                <w:sz w:val="20"/>
                <w:szCs w:val="20"/>
              </w:rPr>
            </w:pPr>
          </w:p>
        </w:tc>
        <w:tc>
          <w:tcPr>
            <w:tcW w:w="1208" w:type="dxa"/>
          </w:tcPr>
          <w:p w14:paraId="1F55CC7A" w14:textId="77777777" w:rsidR="00035ABA" w:rsidRPr="00035ABA" w:rsidRDefault="00035ABA" w:rsidP="00035ABA">
            <w:pPr>
              <w:widowControl w:val="0"/>
              <w:tabs>
                <w:tab w:val="left" w:pos="150"/>
                <w:tab w:val="decimal" w:pos="960"/>
              </w:tabs>
              <w:autoSpaceDE w:val="0"/>
              <w:autoSpaceDN w:val="0"/>
              <w:adjustRightInd w:val="0"/>
              <w:rPr>
                <w:snapToGrid w:val="0"/>
                <w:sz w:val="20"/>
                <w:szCs w:val="20"/>
              </w:rPr>
            </w:pPr>
            <w:r w:rsidRPr="00035ABA">
              <w:rPr>
                <w:snapToGrid w:val="0"/>
                <w:sz w:val="20"/>
                <w:szCs w:val="20"/>
              </w:rPr>
              <w:tab/>
            </w:r>
            <w:r w:rsidRPr="00035ABA">
              <w:rPr>
                <w:snapToGrid w:val="0"/>
                <w:sz w:val="20"/>
                <w:szCs w:val="20"/>
              </w:rPr>
              <w:tab/>
              <w:t>8,609,308</w:t>
            </w:r>
          </w:p>
        </w:tc>
        <w:tc>
          <w:tcPr>
            <w:tcW w:w="1208" w:type="dxa"/>
          </w:tcPr>
          <w:p w14:paraId="3992311F" w14:textId="77777777" w:rsidR="00035ABA" w:rsidRPr="00035ABA" w:rsidRDefault="00035ABA" w:rsidP="00035ABA">
            <w:pPr>
              <w:widowControl w:val="0"/>
              <w:tabs>
                <w:tab w:val="left" w:pos="165"/>
                <w:tab w:val="decimal" w:pos="1005"/>
              </w:tabs>
              <w:autoSpaceDE w:val="0"/>
              <w:autoSpaceDN w:val="0"/>
              <w:adjustRightInd w:val="0"/>
              <w:rPr>
                <w:snapToGrid w:val="0"/>
                <w:sz w:val="20"/>
                <w:szCs w:val="20"/>
              </w:rPr>
            </w:pPr>
            <w:r w:rsidRPr="00035ABA">
              <w:rPr>
                <w:snapToGrid w:val="0"/>
                <w:sz w:val="20"/>
                <w:szCs w:val="20"/>
              </w:rPr>
              <w:tab/>
            </w:r>
            <w:r w:rsidRPr="00035ABA">
              <w:rPr>
                <w:snapToGrid w:val="0"/>
                <w:sz w:val="20"/>
                <w:szCs w:val="20"/>
              </w:rPr>
              <w:tab/>
              <w:t>1,977,152</w:t>
            </w:r>
          </w:p>
        </w:tc>
      </w:tr>
    </w:tbl>
    <w:p w14:paraId="3B46A717" w14:textId="77777777" w:rsidR="00035ABA" w:rsidRPr="00035ABA" w:rsidRDefault="00035ABA" w:rsidP="00035ABA">
      <w:pPr>
        <w:widowControl w:val="0"/>
        <w:autoSpaceDE w:val="0"/>
        <w:autoSpaceDN w:val="0"/>
        <w:adjustRightInd w:val="0"/>
        <w:jc w:val="both"/>
        <w:rPr>
          <w:sz w:val="20"/>
          <w:szCs w:val="20"/>
        </w:rPr>
      </w:pPr>
    </w:p>
    <w:p w14:paraId="2084F71F" w14:textId="77777777" w:rsidR="00035ABA" w:rsidRPr="00035ABA" w:rsidRDefault="00035ABA" w:rsidP="00035ABA">
      <w:pPr>
        <w:widowControl w:val="0"/>
        <w:autoSpaceDE w:val="0"/>
        <w:autoSpaceDN w:val="0"/>
        <w:adjustRightInd w:val="0"/>
        <w:jc w:val="both"/>
        <w:rPr>
          <w:sz w:val="20"/>
          <w:szCs w:val="20"/>
        </w:rPr>
      </w:pPr>
    </w:p>
    <w:p w14:paraId="28092AF8" w14:textId="77777777" w:rsidR="00035ABA" w:rsidRPr="00035ABA" w:rsidRDefault="00035ABA" w:rsidP="00035ABA">
      <w:pPr>
        <w:widowControl w:val="0"/>
        <w:autoSpaceDE w:val="0"/>
        <w:autoSpaceDN w:val="0"/>
        <w:adjustRightInd w:val="0"/>
        <w:jc w:val="both"/>
        <w:rPr>
          <w:sz w:val="20"/>
          <w:szCs w:val="20"/>
        </w:rPr>
      </w:pPr>
    </w:p>
    <w:p w14:paraId="02C2233F" w14:textId="77777777" w:rsidR="00035ABA" w:rsidRPr="00035ABA" w:rsidRDefault="00035ABA" w:rsidP="00035ABA">
      <w:pPr>
        <w:widowControl w:val="0"/>
        <w:autoSpaceDE w:val="0"/>
        <w:autoSpaceDN w:val="0"/>
        <w:adjustRightInd w:val="0"/>
        <w:jc w:val="both"/>
        <w:rPr>
          <w:sz w:val="20"/>
          <w:szCs w:val="20"/>
        </w:rPr>
      </w:pPr>
    </w:p>
    <w:p w14:paraId="6CCECF5F" w14:textId="77777777" w:rsidR="00035ABA" w:rsidRPr="00035ABA" w:rsidRDefault="00035ABA" w:rsidP="00035ABA">
      <w:pPr>
        <w:widowControl w:val="0"/>
        <w:autoSpaceDE w:val="0"/>
        <w:autoSpaceDN w:val="0"/>
        <w:adjustRightInd w:val="0"/>
        <w:jc w:val="both"/>
        <w:rPr>
          <w:sz w:val="20"/>
          <w:szCs w:val="20"/>
        </w:rPr>
      </w:pPr>
    </w:p>
    <w:p w14:paraId="54F66527" w14:textId="77777777" w:rsidR="00035ABA" w:rsidRPr="00035ABA" w:rsidRDefault="00035ABA" w:rsidP="00035ABA">
      <w:pPr>
        <w:widowControl w:val="0"/>
        <w:autoSpaceDE w:val="0"/>
        <w:autoSpaceDN w:val="0"/>
        <w:adjustRightInd w:val="0"/>
        <w:jc w:val="both"/>
        <w:rPr>
          <w:sz w:val="20"/>
          <w:szCs w:val="20"/>
        </w:rPr>
      </w:pPr>
    </w:p>
    <w:p w14:paraId="0B935A78" w14:textId="77777777" w:rsidR="00035ABA" w:rsidRPr="00035ABA" w:rsidRDefault="00035ABA" w:rsidP="00035ABA">
      <w:pPr>
        <w:widowControl w:val="0"/>
        <w:autoSpaceDE w:val="0"/>
        <w:autoSpaceDN w:val="0"/>
        <w:adjustRightInd w:val="0"/>
        <w:jc w:val="both"/>
        <w:rPr>
          <w:sz w:val="20"/>
          <w:szCs w:val="20"/>
        </w:rPr>
      </w:pPr>
    </w:p>
    <w:p w14:paraId="2B519A86" w14:textId="2381A9CF" w:rsidR="004B3179" w:rsidRPr="008D7E3A" w:rsidRDefault="004B3179" w:rsidP="008D7E3A"/>
    <w:sectPr w:rsidR="004B3179" w:rsidRPr="008D7E3A" w:rsidSect="00035ABA">
      <w:headerReference w:type="first" r:id="rId25"/>
      <w:footerReference w:type="first" r:id="rId26"/>
      <w:pgSz w:w="12240" w:h="15840" w:code="1"/>
      <w:pgMar w:top="1440" w:right="1296" w:bottom="1008" w:left="1296" w:header="547" w:footer="70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6168C" w14:textId="77777777" w:rsidR="003276E1" w:rsidRDefault="003276E1" w:rsidP="004422FB">
      <w:r>
        <w:separator/>
      </w:r>
    </w:p>
  </w:endnote>
  <w:endnote w:type="continuationSeparator" w:id="0">
    <w:p w14:paraId="6F61DF1F" w14:textId="77777777" w:rsidR="003276E1" w:rsidRDefault="003276E1"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7448" w14:textId="77777777" w:rsidR="002F020C" w:rsidRDefault="002F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C0C3" w14:textId="77777777" w:rsidR="002F020C" w:rsidRDefault="002F02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0385" w14:textId="77777777" w:rsidR="00035ABA" w:rsidRPr="00AA6838" w:rsidRDefault="00035ABA" w:rsidP="00AA6838">
    <w:pPr>
      <w:pStyle w:val="Footer"/>
      <w:jc w:val="center"/>
      <w:rPr>
        <w:b/>
      </w:rPr>
    </w:pPr>
    <w:r>
      <w:rPr>
        <w:b/>
      </w:rPr>
      <w:t>MORE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3331A" w14:textId="77777777" w:rsidR="00035ABA" w:rsidRPr="00AA6838" w:rsidRDefault="00035ABA" w:rsidP="00AA6838">
    <w:pPr>
      <w:pStyle w:val="Footer"/>
      <w:jc w:val="center"/>
      <w:rPr>
        <w:b/>
      </w:rPr>
    </w:pPr>
    <w:r>
      <w:rPr>
        <w:b/>
      </w:rPr>
      <w:t>MORE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F812E" w14:textId="77777777" w:rsidR="00035ABA" w:rsidRDefault="00035ABA" w:rsidP="00472920">
    <w:pPr>
      <w:pStyle w:val="Footer"/>
      <w:jc w:val="center"/>
      <w:rPr>
        <w:b/>
      </w:rPr>
    </w:pP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158CC" w14:textId="77777777" w:rsidR="003276E1" w:rsidRDefault="003276E1" w:rsidP="004422FB">
      <w:r>
        <w:separator/>
      </w:r>
    </w:p>
  </w:footnote>
  <w:footnote w:type="continuationSeparator" w:id="0">
    <w:p w14:paraId="58901B3A" w14:textId="77777777" w:rsidR="003276E1" w:rsidRDefault="003276E1"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2558" w14:textId="77777777" w:rsidR="002F020C" w:rsidRDefault="002F0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5FF51" w14:textId="77777777" w:rsidR="002F020C" w:rsidRDefault="002F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A308" w14:textId="77777777" w:rsidR="002F020C" w:rsidRDefault="002F0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64A98" w14:textId="77777777" w:rsidR="00035ABA" w:rsidRDefault="00035ABA">
    <w:pPr>
      <w:pStyle w:val="Header"/>
    </w:pPr>
    <w:r w:rsidRPr="004F39CB">
      <w:rPr>
        <w:noProof/>
      </w:rPr>
      <w:drawing>
        <wp:inline distT="0" distB="0" distL="0" distR="0" wp14:anchorId="5E80F607" wp14:editId="146B443C">
          <wp:extent cx="1892878" cy="501875"/>
          <wp:effectExtent l="19050" t="0" r="0" b="0"/>
          <wp:docPr id="4"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57588" w14:textId="77777777" w:rsidR="00035ABA" w:rsidRPr="00472920" w:rsidRDefault="00035ABA" w:rsidP="0047292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B312F"/>
    <w:multiLevelType w:val="hybridMultilevel"/>
    <w:tmpl w:val="85A6953C"/>
    <w:lvl w:ilvl="0" w:tplc="D3F026D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977875">
    <w:abstractNumId w:val="1"/>
  </w:num>
  <w:num w:numId="2" w16cid:durableId="1845196331">
    <w:abstractNumId w:val="2"/>
  </w:num>
  <w:num w:numId="3" w16cid:durableId="160919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35ABA"/>
    <w:rsid w:val="00044315"/>
    <w:rsid w:val="000520F7"/>
    <w:rsid w:val="000871C8"/>
    <w:rsid w:val="00087359"/>
    <w:rsid w:val="00096511"/>
    <w:rsid w:val="000E6508"/>
    <w:rsid w:val="00134BBC"/>
    <w:rsid w:val="00144D4F"/>
    <w:rsid w:val="00153CF3"/>
    <w:rsid w:val="00172B54"/>
    <w:rsid w:val="00180090"/>
    <w:rsid w:val="00186A50"/>
    <w:rsid w:val="001A018E"/>
    <w:rsid w:val="001A687F"/>
    <w:rsid w:val="001D3520"/>
    <w:rsid w:val="002049D0"/>
    <w:rsid w:val="00220F69"/>
    <w:rsid w:val="00241DEF"/>
    <w:rsid w:val="00246139"/>
    <w:rsid w:val="00251615"/>
    <w:rsid w:val="002617A3"/>
    <w:rsid w:val="00277674"/>
    <w:rsid w:val="00296BF7"/>
    <w:rsid w:val="002E09C8"/>
    <w:rsid w:val="002E7A44"/>
    <w:rsid w:val="002F020C"/>
    <w:rsid w:val="002F47BC"/>
    <w:rsid w:val="00304DE8"/>
    <w:rsid w:val="003276E1"/>
    <w:rsid w:val="0036369E"/>
    <w:rsid w:val="003643C1"/>
    <w:rsid w:val="00376DEC"/>
    <w:rsid w:val="0038612B"/>
    <w:rsid w:val="003A30B2"/>
    <w:rsid w:val="003A4BB3"/>
    <w:rsid w:val="003B3474"/>
    <w:rsid w:val="003B670F"/>
    <w:rsid w:val="003F3DEB"/>
    <w:rsid w:val="00401F33"/>
    <w:rsid w:val="00404B0F"/>
    <w:rsid w:val="004137F1"/>
    <w:rsid w:val="00414E31"/>
    <w:rsid w:val="004422FB"/>
    <w:rsid w:val="004433D8"/>
    <w:rsid w:val="00451802"/>
    <w:rsid w:val="004562CE"/>
    <w:rsid w:val="004641B9"/>
    <w:rsid w:val="00494777"/>
    <w:rsid w:val="004B3179"/>
    <w:rsid w:val="004C2859"/>
    <w:rsid w:val="004D4E0A"/>
    <w:rsid w:val="004F383B"/>
    <w:rsid w:val="00516CAC"/>
    <w:rsid w:val="00552D47"/>
    <w:rsid w:val="00583D37"/>
    <w:rsid w:val="005A1F60"/>
    <w:rsid w:val="005A5B22"/>
    <w:rsid w:val="005A66D5"/>
    <w:rsid w:val="005B1E76"/>
    <w:rsid w:val="005F417E"/>
    <w:rsid w:val="006131D7"/>
    <w:rsid w:val="00652DCC"/>
    <w:rsid w:val="00677F25"/>
    <w:rsid w:val="00691E45"/>
    <w:rsid w:val="006959EC"/>
    <w:rsid w:val="006A30B4"/>
    <w:rsid w:val="006B4011"/>
    <w:rsid w:val="006C4031"/>
    <w:rsid w:val="006C4831"/>
    <w:rsid w:val="006E7AA3"/>
    <w:rsid w:val="007150B5"/>
    <w:rsid w:val="00716A75"/>
    <w:rsid w:val="00734084"/>
    <w:rsid w:val="00766EB9"/>
    <w:rsid w:val="0079268C"/>
    <w:rsid w:val="007B1C14"/>
    <w:rsid w:val="007B5113"/>
    <w:rsid w:val="007C095B"/>
    <w:rsid w:val="007E3D57"/>
    <w:rsid w:val="00833F99"/>
    <w:rsid w:val="00846F5B"/>
    <w:rsid w:val="00851166"/>
    <w:rsid w:val="00880ED5"/>
    <w:rsid w:val="0089446A"/>
    <w:rsid w:val="008A3A73"/>
    <w:rsid w:val="008A45B8"/>
    <w:rsid w:val="008A5F28"/>
    <w:rsid w:val="008B7616"/>
    <w:rsid w:val="008D7E3A"/>
    <w:rsid w:val="008E4E77"/>
    <w:rsid w:val="00903941"/>
    <w:rsid w:val="00922B4A"/>
    <w:rsid w:val="00922FCF"/>
    <w:rsid w:val="0095070C"/>
    <w:rsid w:val="00995863"/>
    <w:rsid w:val="009B101C"/>
    <w:rsid w:val="009B15B2"/>
    <w:rsid w:val="009F16FD"/>
    <w:rsid w:val="009F32C7"/>
    <w:rsid w:val="009F7B30"/>
    <w:rsid w:val="00A213F5"/>
    <w:rsid w:val="00A30573"/>
    <w:rsid w:val="00A345F7"/>
    <w:rsid w:val="00A7343F"/>
    <w:rsid w:val="00A7489D"/>
    <w:rsid w:val="00A7711D"/>
    <w:rsid w:val="00AA2DDC"/>
    <w:rsid w:val="00AA3D35"/>
    <w:rsid w:val="00AC4D41"/>
    <w:rsid w:val="00B02C57"/>
    <w:rsid w:val="00B2632B"/>
    <w:rsid w:val="00B34F6E"/>
    <w:rsid w:val="00B44E7B"/>
    <w:rsid w:val="00B4616E"/>
    <w:rsid w:val="00B4673C"/>
    <w:rsid w:val="00B51502"/>
    <w:rsid w:val="00B61191"/>
    <w:rsid w:val="00B66B45"/>
    <w:rsid w:val="00BB7014"/>
    <w:rsid w:val="00BC0F2B"/>
    <w:rsid w:val="00BC6263"/>
    <w:rsid w:val="00BC6551"/>
    <w:rsid w:val="00BD027C"/>
    <w:rsid w:val="00BF415F"/>
    <w:rsid w:val="00C36B57"/>
    <w:rsid w:val="00C528BC"/>
    <w:rsid w:val="00C53991"/>
    <w:rsid w:val="00C77462"/>
    <w:rsid w:val="00C815CE"/>
    <w:rsid w:val="00C936D4"/>
    <w:rsid w:val="00CB1EAA"/>
    <w:rsid w:val="00CB3D5C"/>
    <w:rsid w:val="00CB74B0"/>
    <w:rsid w:val="00CC52F4"/>
    <w:rsid w:val="00CD55C2"/>
    <w:rsid w:val="00CE3919"/>
    <w:rsid w:val="00CE3B4D"/>
    <w:rsid w:val="00CE7BCE"/>
    <w:rsid w:val="00D03053"/>
    <w:rsid w:val="00D128D7"/>
    <w:rsid w:val="00D16272"/>
    <w:rsid w:val="00D17971"/>
    <w:rsid w:val="00D46FAD"/>
    <w:rsid w:val="00D60567"/>
    <w:rsid w:val="00D74319"/>
    <w:rsid w:val="00D95C48"/>
    <w:rsid w:val="00D976C0"/>
    <w:rsid w:val="00DE728B"/>
    <w:rsid w:val="00E115D3"/>
    <w:rsid w:val="00E633E7"/>
    <w:rsid w:val="00EB5CF9"/>
    <w:rsid w:val="00EC3F8A"/>
    <w:rsid w:val="00F073F4"/>
    <w:rsid w:val="00F100FC"/>
    <w:rsid w:val="00F13A9C"/>
    <w:rsid w:val="00F228DB"/>
    <w:rsid w:val="00F27385"/>
    <w:rsid w:val="00F404C4"/>
    <w:rsid w:val="00F470EC"/>
    <w:rsid w:val="00F53643"/>
    <w:rsid w:val="00F65C64"/>
    <w:rsid w:val="00F737D0"/>
    <w:rsid w:val="00F958BB"/>
    <w:rsid w:val="00FB2DF3"/>
    <w:rsid w:val="00FD1599"/>
    <w:rsid w:val="00FD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995863"/>
    <w:rPr>
      <w:sz w:val="24"/>
      <w:szCs w:val="24"/>
    </w:rPr>
  </w:style>
  <w:style w:type="character" w:styleId="UnresolvedMention">
    <w:name w:val="Unresolved Mention"/>
    <w:basedOn w:val="DefaultParagraphFont"/>
    <w:uiPriority w:val="99"/>
    <w:semiHidden/>
    <w:unhideWhenUsed/>
    <w:rsid w:val="0018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fo@geovax.com"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sr@roberts-communications.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eovax.co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register.vevent.com/register/BIfe39db8745ba4c55ad5ed37e6dbcc979" TargetMode="External"/><Relationship Id="rId20" Type="http://schemas.openxmlformats.org/officeDocument/2006/relationships/hyperlink" Target="mailto:austin.murtagh@precisionaq.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geovax.com/investor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dge.media-server.com/mmc/p/h8fmxn34" TargetMode="External"/><Relationship Id="rId22" Type="http://schemas.openxmlformats.org/officeDocument/2006/relationships/footer" Target="footer4.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2</cp:revision>
  <cp:lastPrinted>2022-05-03T12:55:00Z</cp:lastPrinted>
  <dcterms:created xsi:type="dcterms:W3CDTF">2024-11-13T21:24:00Z</dcterms:created>
  <dcterms:modified xsi:type="dcterms:W3CDTF">2024-11-13T21:24:00Z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