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2CFF1ECB" w:rsidR="008D7E3A" w:rsidRDefault="008D7E3A" w:rsidP="008D7E3A">
      <w:pPr>
        <w:ind w:left="144" w:right="144"/>
        <w:jc w:val="center"/>
        <w:rPr>
          <w:sz w:val="20"/>
          <w:szCs w:val="20"/>
        </w:rPr>
      </w:pPr>
      <w:r>
        <w:rPr>
          <w:b/>
          <w:bCs/>
          <w:sz w:val="20"/>
          <w:szCs w:val="20"/>
        </w:rPr>
        <w:t>Date of report (Date of earliest event reported):  </w:t>
      </w:r>
      <w:r w:rsidR="007310D6">
        <w:rPr>
          <w:b/>
          <w:bCs/>
          <w:sz w:val="20"/>
          <w:szCs w:val="20"/>
        </w:rPr>
        <w:t>June</w:t>
      </w:r>
      <w:r w:rsidR="00820274">
        <w:rPr>
          <w:b/>
          <w:bCs/>
          <w:sz w:val="20"/>
          <w:szCs w:val="20"/>
        </w:rPr>
        <w:t xml:space="preserve"> </w:t>
      </w:r>
      <w:r w:rsidR="007310D6">
        <w:rPr>
          <w:b/>
          <w:bCs/>
          <w:sz w:val="20"/>
          <w:szCs w:val="20"/>
        </w:rPr>
        <w:t>5</w:t>
      </w:r>
      <w:r w:rsidR="00820274">
        <w:rPr>
          <w:b/>
          <w:bCs/>
          <w:sz w:val="20"/>
          <w:szCs w:val="20"/>
        </w:rPr>
        <w:t>, 202</w:t>
      </w:r>
      <w:r w:rsidR="007310D6">
        <w:rPr>
          <w:b/>
          <w:bCs/>
          <w:sz w:val="20"/>
          <w:szCs w:val="20"/>
        </w:rPr>
        <w:t>5</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150982" w14:textId="38388E8D" w:rsidR="00C77C70" w:rsidRPr="00C77C70"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p>
    <w:p w14:paraId="3375617F" w14:textId="77777777" w:rsidR="00FF5AE4" w:rsidRDefault="00FF5AE4" w:rsidP="00FF5AE4">
      <w:pPr>
        <w:ind w:right="144"/>
        <w:jc w:val="both"/>
        <w:rPr>
          <w:b/>
          <w:bCs/>
          <w:sz w:val="20"/>
          <w:szCs w:val="20"/>
        </w:rPr>
      </w:pPr>
    </w:p>
    <w:p w14:paraId="4FA15900" w14:textId="22786918" w:rsidR="00C77C70" w:rsidRDefault="00C77C70" w:rsidP="00C77C70">
      <w:pPr>
        <w:ind w:left="144" w:right="144"/>
        <w:jc w:val="both"/>
        <w:rPr>
          <w:sz w:val="20"/>
          <w:szCs w:val="20"/>
        </w:rPr>
      </w:pPr>
      <w:r>
        <w:rPr>
          <w:b/>
          <w:bCs/>
          <w:sz w:val="20"/>
          <w:szCs w:val="20"/>
        </w:rPr>
        <w:t>Item 5.07 </w:t>
      </w:r>
      <w:r>
        <w:rPr>
          <w:b/>
          <w:bCs/>
          <w:sz w:val="20"/>
          <w:szCs w:val="20"/>
        </w:rPr>
        <w:tab/>
        <w:t>Submission of Matters to a Vote of Security Holders.</w:t>
      </w:r>
    </w:p>
    <w:p w14:paraId="7BE03C3F" w14:textId="77777777" w:rsidR="00C77C70" w:rsidRDefault="00C77C70" w:rsidP="00C77C70">
      <w:pPr>
        <w:ind w:left="144" w:right="144"/>
        <w:jc w:val="both"/>
        <w:rPr>
          <w:sz w:val="20"/>
          <w:szCs w:val="20"/>
        </w:rPr>
      </w:pPr>
      <w:r>
        <w:rPr>
          <w:sz w:val="20"/>
          <w:szCs w:val="20"/>
        </w:rPr>
        <w:t> </w:t>
      </w:r>
    </w:p>
    <w:p w14:paraId="647448A0" w14:textId="64BBD4E9" w:rsidR="00C77C70" w:rsidRDefault="00C77C70" w:rsidP="00C77C70">
      <w:pPr>
        <w:ind w:left="144" w:right="144"/>
        <w:jc w:val="both"/>
        <w:rPr>
          <w:sz w:val="20"/>
          <w:szCs w:val="20"/>
        </w:rPr>
      </w:pPr>
      <w:r>
        <w:rPr>
          <w:sz w:val="20"/>
          <w:szCs w:val="20"/>
        </w:rPr>
        <w:t xml:space="preserve">The Company held its annual meeting of stockholders on </w:t>
      </w:r>
      <w:r w:rsidR="007310D6">
        <w:rPr>
          <w:sz w:val="20"/>
          <w:szCs w:val="20"/>
        </w:rPr>
        <w:t>June</w:t>
      </w:r>
      <w:r>
        <w:rPr>
          <w:sz w:val="20"/>
          <w:szCs w:val="20"/>
        </w:rPr>
        <w:t xml:space="preserve"> </w:t>
      </w:r>
      <w:r w:rsidR="007310D6">
        <w:rPr>
          <w:sz w:val="20"/>
          <w:szCs w:val="20"/>
        </w:rPr>
        <w:t>5</w:t>
      </w:r>
      <w:r>
        <w:rPr>
          <w:sz w:val="20"/>
          <w:szCs w:val="20"/>
        </w:rPr>
        <w:t>, 202</w:t>
      </w:r>
      <w:r w:rsidR="007310D6">
        <w:rPr>
          <w:sz w:val="20"/>
          <w:szCs w:val="20"/>
        </w:rPr>
        <w:t>5</w:t>
      </w:r>
      <w:r>
        <w:rPr>
          <w:sz w:val="20"/>
          <w:szCs w:val="20"/>
        </w:rPr>
        <w:t xml:space="preserve">. The Company received proxies totaling </w:t>
      </w:r>
      <w:r w:rsidR="00C8023A">
        <w:rPr>
          <w:sz w:val="20"/>
          <w:szCs w:val="20"/>
        </w:rPr>
        <w:t>6,37</w:t>
      </w:r>
      <w:r w:rsidR="006B2AE9">
        <w:rPr>
          <w:sz w:val="20"/>
          <w:szCs w:val="20"/>
        </w:rPr>
        <w:t>3,243</w:t>
      </w:r>
      <w:r>
        <w:rPr>
          <w:sz w:val="20"/>
          <w:szCs w:val="20"/>
        </w:rPr>
        <w:t xml:space="preserve"> of its </w:t>
      </w:r>
      <w:r w:rsidR="007310D6">
        <w:rPr>
          <w:sz w:val="20"/>
          <w:szCs w:val="20"/>
        </w:rPr>
        <w:t>13,839,478</w:t>
      </w:r>
      <w:r>
        <w:rPr>
          <w:sz w:val="20"/>
          <w:szCs w:val="20"/>
        </w:rPr>
        <w:t xml:space="preserve"> issued and outstanding shares of common stock as of the record date of </w:t>
      </w:r>
      <w:r w:rsidR="007310D6">
        <w:rPr>
          <w:sz w:val="20"/>
          <w:szCs w:val="20"/>
        </w:rPr>
        <w:t>April 7</w:t>
      </w:r>
      <w:r>
        <w:rPr>
          <w:sz w:val="20"/>
          <w:szCs w:val="20"/>
        </w:rPr>
        <w:t>, 202</w:t>
      </w:r>
      <w:r w:rsidR="007310D6">
        <w:rPr>
          <w:sz w:val="20"/>
          <w:szCs w:val="20"/>
        </w:rPr>
        <w:t>5</w:t>
      </w:r>
      <w:r>
        <w:rPr>
          <w:sz w:val="20"/>
          <w:szCs w:val="20"/>
        </w:rPr>
        <w:t>. The stockholders voted on the following proposals and the results of the voting are presented below.</w:t>
      </w:r>
    </w:p>
    <w:p w14:paraId="5C13192F" w14:textId="77777777" w:rsidR="00C77C70" w:rsidRDefault="00C77C70" w:rsidP="00C77C70">
      <w:pPr>
        <w:ind w:left="144" w:right="144"/>
        <w:jc w:val="both"/>
        <w:rPr>
          <w:sz w:val="20"/>
          <w:szCs w:val="20"/>
        </w:rPr>
      </w:pPr>
    </w:p>
    <w:p w14:paraId="63BA11F7" w14:textId="77777777" w:rsidR="00C77C70" w:rsidRDefault="00C77C70" w:rsidP="00C77C70">
      <w:pPr>
        <w:ind w:left="144" w:right="144"/>
        <w:jc w:val="both"/>
        <w:rPr>
          <w:b/>
          <w:sz w:val="20"/>
          <w:szCs w:val="20"/>
        </w:rPr>
      </w:pPr>
      <w:r>
        <w:rPr>
          <w:b/>
          <w:sz w:val="20"/>
          <w:szCs w:val="20"/>
        </w:rPr>
        <w:t>Election of Directors</w:t>
      </w:r>
    </w:p>
    <w:p w14:paraId="74500E2A" w14:textId="77777777" w:rsidR="00C77C70" w:rsidRDefault="00C77C70" w:rsidP="00C77C70">
      <w:pPr>
        <w:ind w:left="144" w:right="144"/>
        <w:jc w:val="both"/>
        <w:rPr>
          <w:sz w:val="20"/>
          <w:szCs w:val="20"/>
        </w:rPr>
      </w:pPr>
    </w:p>
    <w:p w14:paraId="3E3C4E81" w14:textId="5FCE6ECA" w:rsidR="00C77C70" w:rsidRDefault="00C77C70" w:rsidP="00C77C70">
      <w:pPr>
        <w:ind w:left="144" w:right="144"/>
        <w:jc w:val="both"/>
        <w:rPr>
          <w:sz w:val="20"/>
          <w:szCs w:val="20"/>
        </w:rPr>
      </w:pPr>
      <w:r>
        <w:rPr>
          <w:sz w:val="20"/>
          <w:szCs w:val="20"/>
        </w:rPr>
        <w:t xml:space="preserve">Our stockholders voted to elect the slate of directors consisting of </w:t>
      </w:r>
      <w:r w:rsidR="00D56E8E">
        <w:rPr>
          <w:sz w:val="20"/>
          <w:szCs w:val="20"/>
        </w:rPr>
        <w:t>seven</w:t>
      </w:r>
      <w:r>
        <w:rPr>
          <w:sz w:val="20"/>
          <w:szCs w:val="20"/>
        </w:rPr>
        <w:t xml:space="preserve"> members to hold office until the next annual meeting of stockholders or until their successors are duly elected and qualified. There were a total of </w:t>
      </w:r>
      <w:r w:rsidR="00C8023A">
        <w:rPr>
          <w:sz w:val="20"/>
          <w:szCs w:val="20"/>
        </w:rPr>
        <w:t>4,3</w:t>
      </w:r>
      <w:r w:rsidR="006B2AE9">
        <w:rPr>
          <w:sz w:val="20"/>
          <w:szCs w:val="20"/>
        </w:rPr>
        <w:t>68,295</w:t>
      </w:r>
      <w:r w:rsidR="003732F0">
        <w:rPr>
          <w:sz w:val="20"/>
          <w:szCs w:val="20"/>
        </w:rPr>
        <w:t xml:space="preserve"> </w:t>
      </w:r>
      <w:r>
        <w:rPr>
          <w:sz w:val="20"/>
          <w:szCs w:val="20"/>
        </w:rPr>
        <w:t>broker non-votes on this item.</w:t>
      </w:r>
    </w:p>
    <w:p w14:paraId="2E231496" w14:textId="77777777" w:rsidR="00B16B6E" w:rsidRDefault="00B16B6E" w:rsidP="00C77C70">
      <w:pPr>
        <w:ind w:left="144" w:right="144"/>
        <w:jc w:val="both"/>
        <w:rPr>
          <w:sz w:val="20"/>
          <w:szCs w:val="20"/>
        </w:rPr>
      </w:pPr>
    </w:p>
    <w:p w14:paraId="3E65A131" w14:textId="75D499A2" w:rsidR="00B16B6E" w:rsidRPr="00B16B6E" w:rsidRDefault="00B16B6E" w:rsidP="00B16B6E">
      <w:pPr>
        <w:tabs>
          <w:tab w:val="center" w:pos="3600"/>
          <w:tab w:val="center" w:pos="5760"/>
        </w:tabs>
        <w:ind w:left="144" w:right="144"/>
        <w:jc w:val="both"/>
        <w:rPr>
          <w:b/>
          <w:bCs/>
          <w:sz w:val="20"/>
          <w:szCs w:val="20"/>
        </w:rPr>
      </w:pPr>
      <w:r w:rsidRPr="00D026FB">
        <w:rPr>
          <w:b/>
          <w:bCs/>
          <w:sz w:val="20"/>
          <w:szCs w:val="20"/>
          <w:u w:val="single"/>
        </w:rPr>
        <w:t>Nominee</w:t>
      </w:r>
      <w:r w:rsidRPr="00B16B6E">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Withheld</w:t>
      </w:r>
    </w:p>
    <w:p w14:paraId="1DB1D188" w14:textId="21F0D9C9" w:rsidR="00B16B6E" w:rsidRDefault="00B16B6E" w:rsidP="00B16B6E">
      <w:pPr>
        <w:tabs>
          <w:tab w:val="decimal" w:pos="3960"/>
          <w:tab w:val="decimal" w:pos="6120"/>
        </w:tabs>
        <w:ind w:left="144" w:right="144"/>
        <w:jc w:val="both"/>
        <w:rPr>
          <w:sz w:val="20"/>
          <w:szCs w:val="20"/>
        </w:rPr>
      </w:pPr>
      <w:r>
        <w:rPr>
          <w:sz w:val="20"/>
          <w:szCs w:val="20"/>
        </w:rPr>
        <w:t>Randal D. Chase</w:t>
      </w:r>
      <w:r>
        <w:rPr>
          <w:sz w:val="20"/>
          <w:szCs w:val="20"/>
        </w:rPr>
        <w:tab/>
      </w:r>
      <w:r w:rsidR="00C8023A">
        <w:rPr>
          <w:sz w:val="20"/>
          <w:szCs w:val="20"/>
        </w:rPr>
        <w:t>1,74</w:t>
      </w:r>
      <w:r w:rsidR="006B2AE9">
        <w:rPr>
          <w:sz w:val="20"/>
          <w:szCs w:val="20"/>
        </w:rPr>
        <w:t>3,840</w:t>
      </w:r>
      <w:r>
        <w:rPr>
          <w:sz w:val="20"/>
          <w:szCs w:val="20"/>
        </w:rPr>
        <w:tab/>
      </w:r>
      <w:r w:rsidR="00C8023A">
        <w:rPr>
          <w:sz w:val="20"/>
          <w:szCs w:val="20"/>
        </w:rPr>
        <w:t>2</w:t>
      </w:r>
      <w:r w:rsidR="006B2AE9">
        <w:rPr>
          <w:sz w:val="20"/>
          <w:szCs w:val="20"/>
        </w:rPr>
        <w:t>61,108</w:t>
      </w:r>
    </w:p>
    <w:p w14:paraId="1615E41A" w14:textId="56477858" w:rsidR="00B16B6E" w:rsidRDefault="00B16B6E" w:rsidP="00B16B6E">
      <w:pPr>
        <w:tabs>
          <w:tab w:val="decimal" w:pos="3960"/>
          <w:tab w:val="decimal" w:pos="6120"/>
        </w:tabs>
        <w:ind w:left="144" w:right="144"/>
        <w:jc w:val="both"/>
        <w:rPr>
          <w:sz w:val="20"/>
          <w:szCs w:val="20"/>
        </w:rPr>
      </w:pPr>
      <w:r>
        <w:rPr>
          <w:sz w:val="20"/>
          <w:szCs w:val="20"/>
        </w:rPr>
        <w:t>David A. Dodd</w:t>
      </w:r>
      <w:r>
        <w:rPr>
          <w:sz w:val="20"/>
          <w:szCs w:val="20"/>
        </w:rPr>
        <w:tab/>
      </w:r>
      <w:r w:rsidR="00C8023A">
        <w:rPr>
          <w:sz w:val="20"/>
          <w:szCs w:val="20"/>
        </w:rPr>
        <w:t>1,74</w:t>
      </w:r>
      <w:r w:rsidR="006B2AE9">
        <w:rPr>
          <w:sz w:val="20"/>
          <w:szCs w:val="20"/>
        </w:rPr>
        <w:t>2,200</w:t>
      </w:r>
      <w:r>
        <w:rPr>
          <w:sz w:val="20"/>
          <w:szCs w:val="20"/>
        </w:rPr>
        <w:tab/>
      </w:r>
      <w:r w:rsidR="00C8023A">
        <w:rPr>
          <w:sz w:val="20"/>
          <w:szCs w:val="20"/>
        </w:rPr>
        <w:t>2</w:t>
      </w:r>
      <w:r w:rsidR="006B2AE9">
        <w:rPr>
          <w:sz w:val="20"/>
          <w:szCs w:val="20"/>
        </w:rPr>
        <w:t>62,748</w:t>
      </w:r>
    </w:p>
    <w:p w14:paraId="35A54098" w14:textId="4926FFD5" w:rsidR="00B16B6E" w:rsidRDefault="00B16B6E" w:rsidP="00B16B6E">
      <w:pPr>
        <w:tabs>
          <w:tab w:val="decimal" w:pos="3960"/>
          <w:tab w:val="decimal" w:pos="6120"/>
        </w:tabs>
        <w:ind w:left="144" w:right="144"/>
        <w:jc w:val="both"/>
        <w:rPr>
          <w:sz w:val="20"/>
          <w:szCs w:val="20"/>
        </w:rPr>
      </w:pPr>
      <w:r>
        <w:rPr>
          <w:sz w:val="20"/>
          <w:szCs w:val="20"/>
        </w:rPr>
        <w:t>Dean G. Kollintzas</w:t>
      </w:r>
      <w:r>
        <w:rPr>
          <w:sz w:val="20"/>
          <w:szCs w:val="20"/>
        </w:rPr>
        <w:tab/>
      </w:r>
      <w:r w:rsidR="00C8023A">
        <w:rPr>
          <w:sz w:val="20"/>
          <w:szCs w:val="20"/>
        </w:rPr>
        <w:t>1,74</w:t>
      </w:r>
      <w:r w:rsidR="006B2AE9">
        <w:rPr>
          <w:sz w:val="20"/>
          <w:szCs w:val="20"/>
        </w:rPr>
        <w:t>4,279</w:t>
      </w:r>
      <w:r>
        <w:rPr>
          <w:sz w:val="20"/>
          <w:szCs w:val="20"/>
        </w:rPr>
        <w:tab/>
      </w:r>
      <w:r w:rsidR="00C8023A">
        <w:rPr>
          <w:sz w:val="20"/>
          <w:szCs w:val="20"/>
        </w:rPr>
        <w:t>2</w:t>
      </w:r>
      <w:r w:rsidR="006B2AE9">
        <w:rPr>
          <w:sz w:val="20"/>
          <w:szCs w:val="20"/>
        </w:rPr>
        <w:t>60,669</w:t>
      </w:r>
    </w:p>
    <w:p w14:paraId="5832264F" w14:textId="00381B7E" w:rsidR="00B16B6E" w:rsidRDefault="00B16B6E" w:rsidP="00B16B6E">
      <w:pPr>
        <w:tabs>
          <w:tab w:val="decimal" w:pos="3960"/>
          <w:tab w:val="decimal" w:pos="6120"/>
        </w:tabs>
        <w:ind w:left="144" w:right="144"/>
        <w:jc w:val="both"/>
        <w:rPr>
          <w:sz w:val="20"/>
          <w:szCs w:val="20"/>
        </w:rPr>
      </w:pPr>
      <w:r>
        <w:rPr>
          <w:sz w:val="20"/>
          <w:szCs w:val="20"/>
        </w:rPr>
        <w:t>Nicole Lemerond</w:t>
      </w:r>
      <w:r>
        <w:rPr>
          <w:sz w:val="20"/>
          <w:szCs w:val="20"/>
        </w:rPr>
        <w:tab/>
      </w:r>
      <w:r w:rsidR="00C8023A">
        <w:rPr>
          <w:sz w:val="20"/>
          <w:szCs w:val="20"/>
        </w:rPr>
        <w:t>1,8</w:t>
      </w:r>
      <w:r w:rsidR="006B2AE9">
        <w:rPr>
          <w:sz w:val="20"/>
          <w:szCs w:val="20"/>
        </w:rPr>
        <w:t>29,015</w:t>
      </w:r>
      <w:r>
        <w:rPr>
          <w:sz w:val="20"/>
          <w:szCs w:val="20"/>
        </w:rPr>
        <w:tab/>
      </w:r>
      <w:r w:rsidR="00C8023A">
        <w:rPr>
          <w:sz w:val="20"/>
          <w:szCs w:val="20"/>
        </w:rPr>
        <w:t>1</w:t>
      </w:r>
      <w:r w:rsidR="006B2AE9">
        <w:rPr>
          <w:sz w:val="20"/>
          <w:szCs w:val="20"/>
        </w:rPr>
        <w:t>75,933</w:t>
      </w:r>
    </w:p>
    <w:p w14:paraId="42504AEF" w14:textId="5D6AD746" w:rsidR="00B16B6E" w:rsidRDefault="00B16B6E" w:rsidP="00B16B6E">
      <w:pPr>
        <w:tabs>
          <w:tab w:val="decimal" w:pos="3960"/>
          <w:tab w:val="decimal" w:pos="6120"/>
        </w:tabs>
        <w:ind w:left="144" w:right="144"/>
        <w:jc w:val="both"/>
        <w:rPr>
          <w:sz w:val="20"/>
          <w:szCs w:val="20"/>
        </w:rPr>
      </w:pPr>
      <w:r>
        <w:rPr>
          <w:sz w:val="20"/>
          <w:szCs w:val="20"/>
        </w:rPr>
        <w:t>Robert T. McNally</w:t>
      </w:r>
      <w:r>
        <w:rPr>
          <w:sz w:val="20"/>
          <w:szCs w:val="20"/>
        </w:rPr>
        <w:tab/>
      </w:r>
      <w:r w:rsidR="00C8023A">
        <w:rPr>
          <w:sz w:val="20"/>
          <w:szCs w:val="20"/>
        </w:rPr>
        <w:t>1,6</w:t>
      </w:r>
      <w:r w:rsidR="006B2AE9">
        <w:rPr>
          <w:sz w:val="20"/>
          <w:szCs w:val="20"/>
        </w:rPr>
        <w:t>54,889</w:t>
      </w:r>
      <w:r>
        <w:rPr>
          <w:sz w:val="20"/>
          <w:szCs w:val="20"/>
        </w:rPr>
        <w:tab/>
      </w:r>
      <w:r w:rsidR="00C8023A">
        <w:rPr>
          <w:sz w:val="20"/>
          <w:szCs w:val="20"/>
        </w:rPr>
        <w:t>3</w:t>
      </w:r>
      <w:r w:rsidR="006B2AE9">
        <w:rPr>
          <w:sz w:val="20"/>
          <w:szCs w:val="20"/>
        </w:rPr>
        <w:t>50,059</w:t>
      </w:r>
    </w:p>
    <w:p w14:paraId="5349028D" w14:textId="1499F998" w:rsidR="00B16B6E" w:rsidRDefault="00B16B6E" w:rsidP="00B16B6E">
      <w:pPr>
        <w:tabs>
          <w:tab w:val="decimal" w:pos="3960"/>
          <w:tab w:val="decimal" w:pos="6120"/>
        </w:tabs>
        <w:ind w:left="144" w:right="144"/>
        <w:jc w:val="both"/>
        <w:rPr>
          <w:sz w:val="20"/>
          <w:szCs w:val="20"/>
        </w:rPr>
      </w:pPr>
      <w:r>
        <w:rPr>
          <w:sz w:val="20"/>
          <w:szCs w:val="20"/>
        </w:rPr>
        <w:t>Jayne Morgan</w:t>
      </w:r>
      <w:r>
        <w:rPr>
          <w:sz w:val="20"/>
          <w:szCs w:val="20"/>
        </w:rPr>
        <w:tab/>
      </w:r>
      <w:r w:rsidR="00C8023A">
        <w:rPr>
          <w:sz w:val="20"/>
          <w:szCs w:val="20"/>
        </w:rPr>
        <w:t>1,83</w:t>
      </w:r>
      <w:r w:rsidR="006B2AE9">
        <w:rPr>
          <w:sz w:val="20"/>
          <w:szCs w:val="20"/>
        </w:rPr>
        <w:t>3,084</w:t>
      </w:r>
      <w:r>
        <w:rPr>
          <w:sz w:val="20"/>
          <w:szCs w:val="20"/>
        </w:rPr>
        <w:tab/>
      </w:r>
      <w:r w:rsidR="00C8023A">
        <w:rPr>
          <w:sz w:val="20"/>
          <w:szCs w:val="20"/>
        </w:rPr>
        <w:t>1</w:t>
      </w:r>
      <w:r w:rsidR="006B2AE9">
        <w:rPr>
          <w:sz w:val="20"/>
          <w:szCs w:val="20"/>
        </w:rPr>
        <w:t>71,864</w:t>
      </w:r>
    </w:p>
    <w:p w14:paraId="7DA3CED3" w14:textId="52A1129E" w:rsidR="00B16B6E" w:rsidRDefault="00B16B6E" w:rsidP="00B16B6E">
      <w:pPr>
        <w:tabs>
          <w:tab w:val="decimal" w:pos="3960"/>
          <w:tab w:val="decimal" w:pos="6120"/>
        </w:tabs>
        <w:ind w:left="144" w:right="144"/>
        <w:jc w:val="both"/>
        <w:rPr>
          <w:sz w:val="20"/>
          <w:szCs w:val="20"/>
        </w:rPr>
      </w:pPr>
      <w:r>
        <w:rPr>
          <w:sz w:val="20"/>
          <w:szCs w:val="20"/>
        </w:rPr>
        <w:t>John N. Spencer, Jr.</w:t>
      </w:r>
      <w:r>
        <w:rPr>
          <w:sz w:val="20"/>
          <w:szCs w:val="20"/>
        </w:rPr>
        <w:tab/>
      </w:r>
      <w:r w:rsidR="00C8023A">
        <w:rPr>
          <w:sz w:val="20"/>
          <w:szCs w:val="20"/>
        </w:rPr>
        <w:t>1,83</w:t>
      </w:r>
      <w:r w:rsidR="006B2AE9">
        <w:rPr>
          <w:sz w:val="20"/>
          <w:szCs w:val="20"/>
        </w:rPr>
        <w:t>4,828</w:t>
      </w:r>
      <w:r>
        <w:rPr>
          <w:sz w:val="20"/>
          <w:szCs w:val="20"/>
        </w:rPr>
        <w:tab/>
      </w:r>
      <w:r w:rsidR="00C8023A">
        <w:rPr>
          <w:sz w:val="20"/>
          <w:szCs w:val="20"/>
        </w:rPr>
        <w:t>1</w:t>
      </w:r>
      <w:r w:rsidR="006B2AE9">
        <w:rPr>
          <w:sz w:val="20"/>
          <w:szCs w:val="20"/>
        </w:rPr>
        <w:t>70,120</w:t>
      </w:r>
    </w:p>
    <w:p w14:paraId="0EFD90DF" w14:textId="77777777" w:rsidR="00C77C70" w:rsidRDefault="00C77C70" w:rsidP="00C77C70">
      <w:pPr>
        <w:ind w:left="144" w:right="144"/>
        <w:jc w:val="both"/>
        <w:rPr>
          <w:sz w:val="20"/>
          <w:szCs w:val="20"/>
        </w:rPr>
      </w:pPr>
    </w:p>
    <w:p w14:paraId="08A21057" w14:textId="446991CF" w:rsidR="00C77C70" w:rsidRDefault="00F837EE" w:rsidP="00C77C70">
      <w:pPr>
        <w:ind w:left="144" w:right="144"/>
        <w:jc w:val="both"/>
        <w:rPr>
          <w:b/>
          <w:sz w:val="20"/>
          <w:szCs w:val="20"/>
        </w:rPr>
      </w:pPr>
      <w:bookmarkStart w:id="0" w:name="_Hlk199858074"/>
      <w:r>
        <w:rPr>
          <w:b/>
          <w:sz w:val="20"/>
          <w:szCs w:val="20"/>
        </w:rPr>
        <w:t xml:space="preserve">Approval of the </w:t>
      </w:r>
      <w:r w:rsidR="007310D6">
        <w:rPr>
          <w:b/>
          <w:sz w:val="20"/>
          <w:szCs w:val="20"/>
        </w:rPr>
        <w:t>GeoVax Labs, Inc. 2025 Stock Incentive Plan</w:t>
      </w:r>
    </w:p>
    <w:p w14:paraId="511123F0" w14:textId="77777777" w:rsidR="007310D6" w:rsidRDefault="007310D6" w:rsidP="00C77C70">
      <w:pPr>
        <w:ind w:left="144" w:right="144"/>
        <w:jc w:val="both"/>
        <w:rPr>
          <w:b/>
          <w:sz w:val="20"/>
          <w:szCs w:val="20"/>
        </w:rPr>
      </w:pPr>
    </w:p>
    <w:p w14:paraId="4C59824B" w14:textId="429EF8AC" w:rsidR="00C77C70" w:rsidRDefault="00C77C70" w:rsidP="00C77C70">
      <w:pPr>
        <w:ind w:left="144" w:right="144"/>
        <w:jc w:val="both"/>
        <w:rPr>
          <w:sz w:val="20"/>
          <w:szCs w:val="20"/>
        </w:rPr>
      </w:pPr>
      <w:r>
        <w:rPr>
          <w:sz w:val="20"/>
          <w:szCs w:val="20"/>
        </w:rPr>
        <w:t xml:space="preserve">Our stockholders approved </w:t>
      </w:r>
      <w:r w:rsidR="007310D6">
        <w:rPr>
          <w:sz w:val="20"/>
          <w:szCs w:val="20"/>
        </w:rPr>
        <w:t>the GeoVax Labs, Inc. 2025 Stock Incentive Plan</w:t>
      </w:r>
      <w:r>
        <w:rPr>
          <w:sz w:val="20"/>
          <w:szCs w:val="20"/>
        </w:rPr>
        <w:t xml:space="preserve">. </w:t>
      </w:r>
      <w:bookmarkStart w:id="1" w:name="_Hlk167287497"/>
      <w:r>
        <w:rPr>
          <w:sz w:val="20"/>
          <w:szCs w:val="20"/>
        </w:rPr>
        <w:t xml:space="preserve">There were a total of </w:t>
      </w:r>
      <w:r w:rsidR="00C8023A">
        <w:rPr>
          <w:sz w:val="20"/>
          <w:szCs w:val="20"/>
        </w:rPr>
        <w:t>4,</w:t>
      </w:r>
      <w:r w:rsidR="008A6CF2">
        <w:rPr>
          <w:sz w:val="20"/>
          <w:szCs w:val="20"/>
        </w:rPr>
        <w:t>368,295</w:t>
      </w:r>
      <w:r>
        <w:rPr>
          <w:sz w:val="20"/>
          <w:szCs w:val="20"/>
        </w:rPr>
        <w:t xml:space="preserve"> broker non-votes on this item.</w:t>
      </w:r>
      <w:bookmarkEnd w:id="1"/>
    </w:p>
    <w:p w14:paraId="7069FC9E" w14:textId="77777777" w:rsidR="00D026FB" w:rsidRDefault="00D026FB" w:rsidP="00C77C70">
      <w:pPr>
        <w:ind w:left="144" w:right="144"/>
        <w:jc w:val="both"/>
        <w:rPr>
          <w:sz w:val="20"/>
          <w:szCs w:val="20"/>
        </w:rPr>
      </w:pPr>
    </w:p>
    <w:p w14:paraId="0CC3513A"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3C0FC2DC" w14:textId="15DE033A" w:rsidR="00D026FB" w:rsidRDefault="00D026FB" w:rsidP="00D026FB">
      <w:pPr>
        <w:tabs>
          <w:tab w:val="decimal" w:pos="1440"/>
          <w:tab w:val="decimal" w:pos="3600"/>
          <w:tab w:val="decimal" w:pos="5760"/>
        </w:tabs>
        <w:ind w:left="180" w:right="144"/>
        <w:jc w:val="both"/>
        <w:rPr>
          <w:sz w:val="20"/>
          <w:szCs w:val="20"/>
        </w:rPr>
      </w:pPr>
      <w:r>
        <w:rPr>
          <w:sz w:val="20"/>
          <w:szCs w:val="20"/>
        </w:rPr>
        <w:tab/>
      </w:r>
      <w:r w:rsidR="00C8023A">
        <w:rPr>
          <w:sz w:val="20"/>
          <w:szCs w:val="20"/>
        </w:rPr>
        <w:t>1,54</w:t>
      </w:r>
      <w:r w:rsidR="00312C44">
        <w:rPr>
          <w:sz w:val="20"/>
          <w:szCs w:val="20"/>
        </w:rPr>
        <w:t>8,171</w:t>
      </w:r>
      <w:r>
        <w:rPr>
          <w:sz w:val="20"/>
          <w:szCs w:val="20"/>
        </w:rPr>
        <w:tab/>
      </w:r>
      <w:r w:rsidR="00C8023A">
        <w:rPr>
          <w:sz w:val="20"/>
          <w:szCs w:val="20"/>
        </w:rPr>
        <w:t>3</w:t>
      </w:r>
      <w:r w:rsidR="00312C44">
        <w:rPr>
          <w:sz w:val="20"/>
          <w:szCs w:val="20"/>
        </w:rPr>
        <w:t>93,514</w:t>
      </w:r>
      <w:r>
        <w:rPr>
          <w:sz w:val="20"/>
          <w:szCs w:val="20"/>
        </w:rPr>
        <w:tab/>
      </w:r>
      <w:r w:rsidR="00C8023A">
        <w:rPr>
          <w:sz w:val="20"/>
          <w:szCs w:val="20"/>
        </w:rPr>
        <w:t>6</w:t>
      </w:r>
      <w:r w:rsidR="00312C44">
        <w:rPr>
          <w:sz w:val="20"/>
          <w:szCs w:val="20"/>
        </w:rPr>
        <w:t>3,263</w:t>
      </w:r>
    </w:p>
    <w:bookmarkEnd w:id="0"/>
    <w:p w14:paraId="43B352E1" w14:textId="77777777" w:rsidR="00D026FB" w:rsidRDefault="00D026FB" w:rsidP="00D026FB">
      <w:pPr>
        <w:ind w:left="180" w:right="144"/>
        <w:jc w:val="both"/>
        <w:rPr>
          <w:sz w:val="20"/>
          <w:szCs w:val="20"/>
        </w:rPr>
      </w:pPr>
    </w:p>
    <w:p w14:paraId="6A5173BF" w14:textId="7DA7EEE1" w:rsidR="007310D6" w:rsidRDefault="007310D6" w:rsidP="007310D6">
      <w:pPr>
        <w:ind w:left="144" w:right="144"/>
        <w:jc w:val="both"/>
        <w:rPr>
          <w:b/>
          <w:sz w:val="20"/>
          <w:szCs w:val="20"/>
        </w:rPr>
      </w:pPr>
      <w:r>
        <w:rPr>
          <w:b/>
          <w:sz w:val="20"/>
          <w:szCs w:val="20"/>
        </w:rPr>
        <w:t>Approval of the Warrant Exercise Proposal</w:t>
      </w:r>
    </w:p>
    <w:p w14:paraId="51D246AB" w14:textId="77777777" w:rsidR="007310D6" w:rsidRDefault="007310D6" w:rsidP="007310D6">
      <w:pPr>
        <w:ind w:left="144" w:right="144"/>
        <w:jc w:val="both"/>
        <w:rPr>
          <w:b/>
          <w:sz w:val="20"/>
          <w:szCs w:val="20"/>
        </w:rPr>
      </w:pPr>
    </w:p>
    <w:p w14:paraId="0AEDF7A0" w14:textId="45E4B5E7" w:rsidR="007310D6" w:rsidRDefault="007310D6" w:rsidP="007310D6">
      <w:pPr>
        <w:ind w:left="144" w:right="144"/>
        <w:jc w:val="both"/>
        <w:rPr>
          <w:sz w:val="20"/>
          <w:szCs w:val="20"/>
        </w:rPr>
      </w:pPr>
      <w:r>
        <w:rPr>
          <w:sz w:val="20"/>
          <w:szCs w:val="20"/>
        </w:rPr>
        <w:t xml:space="preserve">Our stockholders approved a proposal to approve, pursuant to Nasdaq listing rules, the issuance of up to 3,435,115 shares of our common stock upon exercise of a common stock purchase warrant issued to an institutional investor in connect with the register direct offering which occurred on March 25, 2025. There were a total of </w:t>
      </w:r>
      <w:r w:rsidR="00C8023A">
        <w:rPr>
          <w:sz w:val="20"/>
          <w:szCs w:val="20"/>
        </w:rPr>
        <w:t>4,3</w:t>
      </w:r>
      <w:r w:rsidR="008A6CF2">
        <w:rPr>
          <w:sz w:val="20"/>
          <w:szCs w:val="20"/>
        </w:rPr>
        <w:t>68,295</w:t>
      </w:r>
      <w:r>
        <w:rPr>
          <w:sz w:val="20"/>
          <w:szCs w:val="20"/>
        </w:rPr>
        <w:t xml:space="preserve"> broker non-votes on this item.</w:t>
      </w:r>
    </w:p>
    <w:p w14:paraId="66415F02" w14:textId="77777777" w:rsidR="007310D6" w:rsidRDefault="007310D6" w:rsidP="007310D6">
      <w:pPr>
        <w:ind w:left="144" w:right="144"/>
        <w:jc w:val="both"/>
        <w:rPr>
          <w:sz w:val="20"/>
          <w:szCs w:val="20"/>
        </w:rPr>
      </w:pPr>
    </w:p>
    <w:p w14:paraId="74E6BE2B" w14:textId="77777777" w:rsidR="007310D6" w:rsidRPr="00B16B6E" w:rsidRDefault="007310D6" w:rsidP="007310D6">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531A6DC8" w14:textId="781DC342" w:rsidR="007310D6" w:rsidRDefault="007310D6" w:rsidP="007310D6">
      <w:pPr>
        <w:tabs>
          <w:tab w:val="decimal" w:pos="1440"/>
          <w:tab w:val="decimal" w:pos="3600"/>
          <w:tab w:val="decimal" w:pos="5760"/>
        </w:tabs>
        <w:ind w:left="180" w:right="144"/>
        <w:jc w:val="both"/>
        <w:rPr>
          <w:sz w:val="20"/>
          <w:szCs w:val="20"/>
        </w:rPr>
      </w:pPr>
      <w:r>
        <w:rPr>
          <w:sz w:val="20"/>
          <w:szCs w:val="20"/>
        </w:rPr>
        <w:tab/>
      </w:r>
      <w:r w:rsidR="00C8023A">
        <w:rPr>
          <w:sz w:val="20"/>
          <w:szCs w:val="20"/>
        </w:rPr>
        <w:t>1,</w:t>
      </w:r>
      <w:r w:rsidR="00312C44">
        <w:rPr>
          <w:sz w:val="20"/>
          <w:szCs w:val="20"/>
        </w:rPr>
        <w:t>593,306</w:t>
      </w:r>
      <w:r>
        <w:rPr>
          <w:sz w:val="20"/>
          <w:szCs w:val="20"/>
        </w:rPr>
        <w:tab/>
      </w:r>
      <w:r w:rsidR="00C8023A">
        <w:rPr>
          <w:sz w:val="20"/>
          <w:szCs w:val="20"/>
        </w:rPr>
        <w:t>3</w:t>
      </w:r>
      <w:r w:rsidR="00312C44">
        <w:rPr>
          <w:sz w:val="20"/>
          <w:szCs w:val="20"/>
        </w:rPr>
        <w:t>76,141</w:t>
      </w:r>
      <w:r>
        <w:rPr>
          <w:sz w:val="20"/>
          <w:szCs w:val="20"/>
        </w:rPr>
        <w:tab/>
      </w:r>
      <w:r w:rsidR="00C8023A">
        <w:rPr>
          <w:sz w:val="20"/>
          <w:szCs w:val="20"/>
        </w:rPr>
        <w:t>35,</w:t>
      </w:r>
      <w:r w:rsidR="00312C44">
        <w:rPr>
          <w:sz w:val="20"/>
          <w:szCs w:val="20"/>
        </w:rPr>
        <w:t>504</w:t>
      </w:r>
    </w:p>
    <w:p w14:paraId="1A677CC0" w14:textId="77777777" w:rsidR="00FF5AE4" w:rsidRDefault="00FF5AE4" w:rsidP="00FF5AE4">
      <w:pPr>
        <w:ind w:left="180" w:right="144"/>
        <w:jc w:val="both"/>
        <w:rPr>
          <w:b/>
          <w:sz w:val="20"/>
          <w:szCs w:val="20"/>
        </w:rPr>
      </w:pPr>
    </w:p>
    <w:p w14:paraId="05221C3F" w14:textId="24BDA4C9" w:rsidR="00FF5AE4" w:rsidRDefault="00FF5AE4" w:rsidP="00FF5AE4">
      <w:pPr>
        <w:ind w:left="180" w:right="144"/>
        <w:jc w:val="both"/>
        <w:rPr>
          <w:b/>
          <w:sz w:val="20"/>
          <w:szCs w:val="20"/>
        </w:rPr>
      </w:pPr>
      <w:r>
        <w:rPr>
          <w:b/>
          <w:sz w:val="20"/>
          <w:szCs w:val="20"/>
        </w:rPr>
        <w:t>Ratification of Independent Auditor</w:t>
      </w:r>
    </w:p>
    <w:p w14:paraId="08A26259" w14:textId="77777777" w:rsidR="00FF5AE4" w:rsidRDefault="00FF5AE4" w:rsidP="00FF5AE4">
      <w:pPr>
        <w:ind w:left="180" w:right="144"/>
        <w:jc w:val="both"/>
        <w:rPr>
          <w:sz w:val="20"/>
          <w:szCs w:val="20"/>
        </w:rPr>
      </w:pPr>
    </w:p>
    <w:p w14:paraId="58A3B26B" w14:textId="7A6A0E7C" w:rsidR="00FF5AE4" w:rsidRDefault="00FF5AE4" w:rsidP="00FF5AE4">
      <w:pPr>
        <w:ind w:left="180" w:right="144"/>
        <w:jc w:val="both"/>
        <w:rPr>
          <w:sz w:val="20"/>
          <w:szCs w:val="20"/>
        </w:rPr>
      </w:pPr>
      <w:r>
        <w:rPr>
          <w:sz w:val="20"/>
          <w:szCs w:val="20"/>
        </w:rPr>
        <w:t>Our stockholders approved the ratification of Wipfli LLP as our independent registered public accounting firm for the fiscal year ending December 31, 202</w:t>
      </w:r>
      <w:r w:rsidR="007310D6">
        <w:rPr>
          <w:sz w:val="20"/>
          <w:szCs w:val="20"/>
        </w:rPr>
        <w:t>5</w:t>
      </w:r>
      <w:r>
        <w:rPr>
          <w:sz w:val="20"/>
          <w:szCs w:val="20"/>
        </w:rPr>
        <w:t>. There were no broker non-votes on this item.</w:t>
      </w:r>
    </w:p>
    <w:p w14:paraId="1B0094A8" w14:textId="77777777" w:rsidR="00FF5AE4" w:rsidRDefault="00FF5AE4" w:rsidP="00FF5AE4">
      <w:pPr>
        <w:ind w:left="180" w:right="144"/>
        <w:jc w:val="both"/>
        <w:rPr>
          <w:sz w:val="20"/>
          <w:szCs w:val="20"/>
        </w:rPr>
      </w:pPr>
    </w:p>
    <w:p w14:paraId="0053A616" w14:textId="77777777" w:rsidR="00FF5AE4" w:rsidRPr="00B16B6E" w:rsidRDefault="00FF5AE4" w:rsidP="00FF5AE4">
      <w:pPr>
        <w:tabs>
          <w:tab w:val="center" w:pos="900"/>
          <w:tab w:val="center" w:pos="3240"/>
          <w:tab w:val="center" w:pos="5490"/>
        </w:tabs>
        <w:ind w:left="180" w:right="144"/>
        <w:jc w:val="both"/>
        <w:rPr>
          <w:b/>
          <w:bCs/>
          <w:sz w:val="20"/>
          <w:szCs w:val="20"/>
        </w:rPr>
      </w:pPr>
      <w:bookmarkStart w:id="2" w:name="_Hlk141854950"/>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2AB960A7" w14:textId="23DF421D" w:rsidR="00FF5AE4" w:rsidRDefault="00FF5AE4" w:rsidP="00FF5AE4">
      <w:pPr>
        <w:tabs>
          <w:tab w:val="decimal" w:pos="1440"/>
          <w:tab w:val="decimal" w:pos="3600"/>
          <w:tab w:val="decimal" w:pos="5760"/>
        </w:tabs>
        <w:ind w:left="180" w:right="144"/>
        <w:jc w:val="both"/>
        <w:rPr>
          <w:sz w:val="20"/>
          <w:szCs w:val="20"/>
        </w:rPr>
      </w:pPr>
      <w:r>
        <w:rPr>
          <w:sz w:val="20"/>
          <w:szCs w:val="20"/>
        </w:rPr>
        <w:tab/>
      </w:r>
      <w:r w:rsidR="00C8023A">
        <w:rPr>
          <w:sz w:val="20"/>
          <w:szCs w:val="20"/>
        </w:rPr>
        <w:t>6,</w:t>
      </w:r>
      <w:r w:rsidR="00312C44">
        <w:rPr>
          <w:sz w:val="20"/>
          <w:szCs w:val="20"/>
        </w:rPr>
        <w:t>102,027</w:t>
      </w:r>
      <w:r>
        <w:rPr>
          <w:sz w:val="20"/>
          <w:szCs w:val="20"/>
        </w:rPr>
        <w:tab/>
      </w:r>
      <w:r w:rsidR="00312C44">
        <w:rPr>
          <w:sz w:val="20"/>
          <w:szCs w:val="20"/>
        </w:rPr>
        <w:t>231,866</w:t>
      </w:r>
      <w:r>
        <w:rPr>
          <w:sz w:val="20"/>
          <w:szCs w:val="20"/>
        </w:rPr>
        <w:tab/>
      </w:r>
      <w:r w:rsidR="00312C44">
        <w:rPr>
          <w:sz w:val="20"/>
          <w:szCs w:val="20"/>
        </w:rPr>
        <w:t>39,350</w:t>
      </w:r>
    </w:p>
    <w:bookmarkEnd w:id="2"/>
    <w:p w14:paraId="6CACA5E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675EA845" w14:textId="1F16DAD0" w:rsidR="00D56E8E" w:rsidRPr="00C8023A" w:rsidRDefault="004E1E49" w:rsidP="00C8023A">
      <w:pPr>
        <w:rPr>
          <w:b/>
          <w:bCs/>
          <w:color w:val="000000"/>
          <w:sz w:val="20"/>
          <w:szCs w:val="20"/>
        </w:rPr>
      </w:pPr>
      <w:r>
        <w:rPr>
          <w:b/>
          <w:bCs/>
          <w:color w:val="000000"/>
          <w:sz w:val="20"/>
          <w:szCs w:val="20"/>
        </w:rPr>
        <w:br w:type="page"/>
      </w:r>
    </w:p>
    <w:p w14:paraId="1FBB1B9A" w14:textId="619D40C9"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lastRenderedPageBreak/>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A86447">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3B6AFCCE"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 xml:space="preserve">Date: </w:t>
      </w:r>
      <w:r w:rsidR="007310D6">
        <w:rPr>
          <w:color w:val="000000"/>
          <w:sz w:val="20"/>
          <w:szCs w:val="20"/>
          <w:shd w:val="clear" w:color="auto" w:fill="FFFFFF"/>
        </w:rPr>
        <w:t>June</w:t>
      </w:r>
      <w:r>
        <w:rPr>
          <w:color w:val="000000"/>
          <w:sz w:val="20"/>
          <w:szCs w:val="20"/>
          <w:shd w:val="clear" w:color="auto" w:fill="FFFFFF"/>
        </w:rPr>
        <w:t xml:space="preserve"> </w:t>
      </w:r>
      <w:r w:rsidR="00C3374B">
        <w:rPr>
          <w:color w:val="000000"/>
          <w:sz w:val="20"/>
          <w:szCs w:val="20"/>
          <w:shd w:val="clear" w:color="auto" w:fill="FFFFFF"/>
        </w:rPr>
        <w:t>5</w:t>
      </w:r>
      <w:r>
        <w:rPr>
          <w:color w:val="000000"/>
          <w:sz w:val="20"/>
          <w:szCs w:val="20"/>
          <w:shd w:val="clear" w:color="auto" w:fill="FFFFFF"/>
        </w:rPr>
        <w:t>, 202</w:t>
      </w:r>
      <w:r w:rsidR="007310D6">
        <w:rPr>
          <w:color w:val="000000"/>
          <w:sz w:val="20"/>
          <w:szCs w:val="20"/>
          <w:shd w:val="clear" w:color="auto" w:fill="FFFFFF"/>
        </w:rPr>
        <w:t>5</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w:t>
            </w:r>
            <w:r w:rsidRPr="00C8023A">
              <w:rPr>
                <w:color w:val="000000"/>
                <w:sz w:val="20"/>
                <w:szCs w:val="20"/>
              </w:rPr>
              <w:t>s/ Mark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519A86" w14:textId="2381A9CF" w:rsidR="004B3179" w:rsidRPr="008D7E3A" w:rsidRDefault="004B3179" w:rsidP="008D7E3A"/>
    <w:sectPr w:rsidR="004B3179" w:rsidRPr="008D7E3A" w:rsidSect="00811A15">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9A3B" w14:textId="77777777" w:rsidR="00EB340C" w:rsidRDefault="00EB340C" w:rsidP="004422FB">
      <w:r>
        <w:separator/>
      </w:r>
    </w:p>
  </w:endnote>
  <w:endnote w:type="continuationSeparator" w:id="0">
    <w:p w14:paraId="15C3AB77" w14:textId="77777777" w:rsidR="00EB340C" w:rsidRDefault="00EB340C"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42201" w14:textId="77777777" w:rsidR="00EB340C" w:rsidRDefault="00EB340C" w:rsidP="004422FB">
      <w:r>
        <w:separator/>
      </w:r>
    </w:p>
  </w:footnote>
  <w:footnote w:type="continuationSeparator" w:id="0">
    <w:p w14:paraId="5C492248" w14:textId="77777777" w:rsidR="00EB340C" w:rsidRDefault="00EB340C"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0"/>
  </w:num>
  <w:num w:numId="2" w16cid:durableId="18487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5EA2"/>
    <w:rsid w:val="00096511"/>
    <w:rsid w:val="00097DB1"/>
    <w:rsid w:val="000E6508"/>
    <w:rsid w:val="00134BBC"/>
    <w:rsid w:val="00143E97"/>
    <w:rsid w:val="00144D4F"/>
    <w:rsid w:val="00172B54"/>
    <w:rsid w:val="001841FE"/>
    <w:rsid w:val="001A687F"/>
    <w:rsid w:val="001C5A65"/>
    <w:rsid w:val="001D3520"/>
    <w:rsid w:val="002049D0"/>
    <w:rsid w:val="00241DEF"/>
    <w:rsid w:val="00246139"/>
    <w:rsid w:val="00277674"/>
    <w:rsid w:val="00296BF7"/>
    <w:rsid w:val="00296FD2"/>
    <w:rsid w:val="002A6832"/>
    <w:rsid w:val="002E7A44"/>
    <w:rsid w:val="002F020C"/>
    <w:rsid w:val="003012F8"/>
    <w:rsid w:val="00304DE8"/>
    <w:rsid w:val="00312C44"/>
    <w:rsid w:val="00325A45"/>
    <w:rsid w:val="00330162"/>
    <w:rsid w:val="0035505A"/>
    <w:rsid w:val="00362213"/>
    <w:rsid w:val="0036369E"/>
    <w:rsid w:val="003732F0"/>
    <w:rsid w:val="00376DEC"/>
    <w:rsid w:val="003B3474"/>
    <w:rsid w:val="003B670F"/>
    <w:rsid w:val="003E72CB"/>
    <w:rsid w:val="003F3DEB"/>
    <w:rsid w:val="00401F33"/>
    <w:rsid w:val="00404B0F"/>
    <w:rsid w:val="00414E31"/>
    <w:rsid w:val="004422FB"/>
    <w:rsid w:val="004453D5"/>
    <w:rsid w:val="004562CE"/>
    <w:rsid w:val="00491F48"/>
    <w:rsid w:val="00494777"/>
    <w:rsid w:val="004B3179"/>
    <w:rsid w:val="004C50C2"/>
    <w:rsid w:val="004D4E0A"/>
    <w:rsid w:val="004E1E49"/>
    <w:rsid w:val="004F468A"/>
    <w:rsid w:val="00540D42"/>
    <w:rsid w:val="00552D47"/>
    <w:rsid w:val="00581F5D"/>
    <w:rsid w:val="00583D37"/>
    <w:rsid w:val="005A1F60"/>
    <w:rsid w:val="00652DCC"/>
    <w:rsid w:val="00677F25"/>
    <w:rsid w:val="00691E45"/>
    <w:rsid w:val="006A30B4"/>
    <w:rsid w:val="006B2AE9"/>
    <w:rsid w:val="006B4011"/>
    <w:rsid w:val="006C4831"/>
    <w:rsid w:val="006E7AA3"/>
    <w:rsid w:val="007150B5"/>
    <w:rsid w:val="00716A75"/>
    <w:rsid w:val="00725E35"/>
    <w:rsid w:val="007310D6"/>
    <w:rsid w:val="00734084"/>
    <w:rsid w:val="00766EB9"/>
    <w:rsid w:val="00777838"/>
    <w:rsid w:val="007B5113"/>
    <w:rsid w:val="007D058F"/>
    <w:rsid w:val="007E3D57"/>
    <w:rsid w:val="007F5E53"/>
    <w:rsid w:val="008108DD"/>
    <w:rsid w:val="00811A15"/>
    <w:rsid w:val="00820274"/>
    <w:rsid w:val="00846F5B"/>
    <w:rsid w:val="0089446A"/>
    <w:rsid w:val="008A5F28"/>
    <w:rsid w:val="008A6CF2"/>
    <w:rsid w:val="008B7616"/>
    <w:rsid w:val="008D7E3A"/>
    <w:rsid w:val="008E4E77"/>
    <w:rsid w:val="00903941"/>
    <w:rsid w:val="00922B4A"/>
    <w:rsid w:val="00922FCF"/>
    <w:rsid w:val="0095070C"/>
    <w:rsid w:val="009A1E69"/>
    <w:rsid w:val="009B15B2"/>
    <w:rsid w:val="009B27D7"/>
    <w:rsid w:val="009F16FD"/>
    <w:rsid w:val="009F32C7"/>
    <w:rsid w:val="009F7B30"/>
    <w:rsid w:val="00A13059"/>
    <w:rsid w:val="00A213F5"/>
    <w:rsid w:val="00A30573"/>
    <w:rsid w:val="00A7343F"/>
    <w:rsid w:val="00A7489D"/>
    <w:rsid w:val="00A7711D"/>
    <w:rsid w:val="00A8483E"/>
    <w:rsid w:val="00A86447"/>
    <w:rsid w:val="00AA3D35"/>
    <w:rsid w:val="00B16B6E"/>
    <w:rsid w:val="00B44E7B"/>
    <w:rsid w:val="00B4616E"/>
    <w:rsid w:val="00B51502"/>
    <w:rsid w:val="00B61191"/>
    <w:rsid w:val="00B66AAD"/>
    <w:rsid w:val="00B66B45"/>
    <w:rsid w:val="00BB7014"/>
    <w:rsid w:val="00BC0F2B"/>
    <w:rsid w:val="00BC6263"/>
    <w:rsid w:val="00BC6551"/>
    <w:rsid w:val="00BF415F"/>
    <w:rsid w:val="00C11F91"/>
    <w:rsid w:val="00C3374B"/>
    <w:rsid w:val="00C36B57"/>
    <w:rsid w:val="00C438BC"/>
    <w:rsid w:val="00C528BC"/>
    <w:rsid w:val="00C53991"/>
    <w:rsid w:val="00C61333"/>
    <w:rsid w:val="00C77C70"/>
    <w:rsid w:val="00C8023A"/>
    <w:rsid w:val="00C815CE"/>
    <w:rsid w:val="00CB1EAA"/>
    <w:rsid w:val="00CB3D5C"/>
    <w:rsid w:val="00CC52F4"/>
    <w:rsid w:val="00CD55C2"/>
    <w:rsid w:val="00CE3919"/>
    <w:rsid w:val="00CE3B4D"/>
    <w:rsid w:val="00CE7666"/>
    <w:rsid w:val="00D026FB"/>
    <w:rsid w:val="00D128D7"/>
    <w:rsid w:val="00D17971"/>
    <w:rsid w:val="00D46FAD"/>
    <w:rsid w:val="00D56E8E"/>
    <w:rsid w:val="00D60567"/>
    <w:rsid w:val="00D722D8"/>
    <w:rsid w:val="00D95C48"/>
    <w:rsid w:val="00DA49BC"/>
    <w:rsid w:val="00DB638C"/>
    <w:rsid w:val="00DE728B"/>
    <w:rsid w:val="00E00577"/>
    <w:rsid w:val="00E115D3"/>
    <w:rsid w:val="00E633E7"/>
    <w:rsid w:val="00EB340C"/>
    <w:rsid w:val="00EB5CF9"/>
    <w:rsid w:val="00EC3F8A"/>
    <w:rsid w:val="00EE2BC8"/>
    <w:rsid w:val="00F073F4"/>
    <w:rsid w:val="00F100FC"/>
    <w:rsid w:val="00F13A9C"/>
    <w:rsid w:val="00F243C8"/>
    <w:rsid w:val="00F27385"/>
    <w:rsid w:val="00F53643"/>
    <w:rsid w:val="00F65C64"/>
    <w:rsid w:val="00F737D0"/>
    <w:rsid w:val="00F837EE"/>
    <w:rsid w:val="00F958BB"/>
    <w:rsid w:val="00FD1599"/>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3972">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13</cp:revision>
  <dcterms:created xsi:type="dcterms:W3CDTF">2024-05-22T20:15:00Z</dcterms:created>
  <dcterms:modified xsi:type="dcterms:W3CDTF">2025-06-05T12:21:00Z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