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E15A8A"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1AA6CE1C" w:rsidR="008D7E3A" w:rsidRDefault="008D7E3A" w:rsidP="008D7E3A">
      <w:pPr>
        <w:ind w:left="144" w:right="144"/>
        <w:jc w:val="center"/>
        <w:rPr>
          <w:sz w:val="20"/>
          <w:szCs w:val="20"/>
        </w:rPr>
      </w:pPr>
      <w:r>
        <w:rPr>
          <w:b/>
          <w:bCs/>
          <w:sz w:val="20"/>
          <w:szCs w:val="20"/>
        </w:rPr>
        <w:t>Date of report (Date of earliest event reported)</w:t>
      </w:r>
      <w:proofErr w:type="gramStart"/>
      <w:r>
        <w:rPr>
          <w:b/>
          <w:bCs/>
          <w:sz w:val="20"/>
          <w:szCs w:val="20"/>
        </w:rPr>
        <w:t>:  </w:t>
      </w:r>
      <w:r w:rsidR="003D3388">
        <w:rPr>
          <w:b/>
          <w:bCs/>
          <w:sz w:val="20"/>
          <w:szCs w:val="20"/>
        </w:rPr>
        <w:t>July</w:t>
      </w:r>
      <w:proofErr w:type="gramEnd"/>
      <w:r w:rsidR="00DA73E9">
        <w:rPr>
          <w:b/>
          <w:bCs/>
          <w:sz w:val="20"/>
          <w:szCs w:val="20"/>
        </w:rPr>
        <w:t xml:space="preserve"> </w:t>
      </w:r>
      <w:r w:rsidR="003D3388">
        <w:rPr>
          <w:b/>
          <w:bCs/>
          <w:sz w:val="20"/>
          <w:szCs w:val="20"/>
        </w:rPr>
        <w:t>28</w:t>
      </w:r>
      <w:r>
        <w:rPr>
          <w:b/>
          <w:bCs/>
          <w:sz w:val="20"/>
          <w:szCs w:val="20"/>
        </w:rPr>
        <w:t>, 202</w:t>
      </w:r>
      <w:r w:rsidR="00D93377">
        <w:rPr>
          <w:b/>
          <w:bCs/>
          <w:sz w:val="20"/>
          <w:szCs w:val="20"/>
        </w:rPr>
        <w:t>5</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E15A8A"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77777777" w:rsidR="003F3DEB" w:rsidRDefault="003F3DEB" w:rsidP="00272EA7">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543D638B" w14:textId="77777777" w:rsidR="003F3DEB" w:rsidRDefault="003F3DEB" w:rsidP="00272EA7">
            <w:pPr>
              <w:rPr>
                <w:color w:val="000000"/>
                <w:sz w:val="20"/>
                <w:szCs w:val="20"/>
              </w:rPr>
            </w:pPr>
            <w:r>
              <w:rPr>
                <w:b/>
                <w:bCs/>
                <w:color w:val="000000"/>
                <w:sz w:val="20"/>
                <w:szCs w:val="20"/>
              </w:rPr>
              <w:t>Results of Operations and Financial Condition.</w:t>
            </w:r>
          </w:p>
        </w:tc>
      </w:tr>
    </w:tbl>
    <w:p w14:paraId="4C7EA2DE" w14:textId="77777777" w:rsidR="003F3DEB" w:rsidRDefault="003F3DEB" w:rsidP="003F3DEB">
      <w:pPr>
        <w:ind w:left="144" w:right="144"/>
        <w:rPr>
          <w:sz w:val="20"/>
          <w:szCs w:val="20"/>
        </w:rPr>
      </w:pPr>
      <w:r>
        <w:rPr>
          <w:b/>
          <w:bCs/>
          <w:i/>
          <w:iCs/>
          <w:sz w:val="20"/>
          <w:szCs w:val="20"/>
        </w:rPr>
        <w:t> </w:t>
      </w:r>
      <w:r>
        <w:rPr>
          <w:sz w:val="20"/>
          <w:szCs w:val="20"/>
        </w:rPr>
        <w:t> </w:t>
      </w:r>
    </w:p>
    <w:p w14:paraId="313AF3C5" w14:textId="0CE364C9" w:rsidR="003F3DEB" w:rsidRDefault="003F3DEB" w:rsidP="003F3DEB">
      <w:pPr>
        <w:ind w:left="144" w:right="144"/>
        <w:jc w:val="both"/>
        <w:rPr>
          <w:sz w:val="20"/>
          <w:szCs w:val="20"/>
        </w:rPr>
      </w:pPr>
      <w:r>
        <w:rPr>
          <w:bCs/>
          <w:sz w:val="20"/>
          <w:szCs w:val="20"/>
        </w:rPr>
        <w:t xml:space="preserve">On </w:t>
      </w:r>
      <w:r w:rsidR="003D3388">
        <w:rPr>
          <w:bCs/>
          <w:sz w:val="20"/>
          <w:szCs w:val="20"/>
        </w:rPr>
        <w:t>July</w:t>
      </w:r>
      <w:r>
        <w:rPr>
          <w:bCs/>
          <w:sz w:val="20"/>
          <w:szCs w:val="20"/>
        </w:rPr>
        <w:t xml:space="preserve"> </w:t>
      </w:r>
      <w:r w:rsidR="003D3388">
        <w:rPr>
          <w:bCs/>
          <w:sz w:val="20"/>
          <w:szCs w:val="20"/>
        </w:rPr>
        <w:t>28</w:t>
      </w:r>
      <w:r>
        <w:rPr>
          <w:bCs/>
          <w:sz w:val="20"/>
          <w:szCs w:val="20"/>
        </w:rPr>
        <w:t>, 202</w:t>
      </w:r>
      <w:r w:rsidR="00D93377">
        <w:rPr>
          <w:bCs/>
          <w:sz w:val="20"/>
          <w:szCs w:val="20"/>
        </w:rPr>
        <w:t>5</w:t>
      </w:r>
      <w:r>
        <w:rPr>
          <w:bCs/>
          <w:sz w:val="20"/>
          <w:szCs w:val="20"/>
        </w:rPr>
        <w:t xml:space="preserve">, </w:t>
      </w:r>
      <w:r w:rsidR="00EC3F8A">
        <w:rPr>
          <w:bCs/>
          <w:sz w:val="20"/>
          <w:szCs w:val="20"/>
        </w:rPr>
        <w:t xml:space="preserve">GeoVax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4F2672">
        <w:rPr>
          <w:bCs/>
          <w:sz w:val="20"/>
          <w:szCs w:val="20"/>
        </w:rPr>
        <w:t>quarter</w:t>
      </w:r>
      <w:r>
        <w:rPr>
          <w:bCs/>
          <w:sz w:val="20"/>
          <w:szCs w:val="20"/>
        </w:rPr>
        <w:t xml:space="preserve"> ended </w:t>
      </w:r>
      <w:r w:rsidR="003D3388">
        <w:rPr>
          <w:bCs/>
          <w:sz w:val="20"/>
          <w:szCs w:val="20"/>
        </w:rPr>
        <w:t>June</w:t>
      </w:r>
      <w:r w:rsidR="00F470EC">
        <w:rPr>
          <w:bCs/>
          <w:sz w:val="20"/>
          <w:szCs w:val="20"/>
        </w:rPr>
        <w:t xml:space="preserve"> 3</w:t>
      </w:r>
      <w:r w:rsidR="003D3388">
        <w:rPr>
          <w:bCs/>
          <w:sz w:val="20"/>
          <w:szCs w:val="20"/>
        </w:rPr>
        <w:t>0</w:t>
      </w:r>
      <w:r>
        <w:rPr>
          <w:bCs/>
          <w:sz w:val="20"/>
          <w:szCs w:val="20"/>
        </w:rPr>
        <w:t>, 202</w:t>
      </w:r>
      <w:r w:rsidR="004F2672">
        <w:rPr>
          <w:bCs/>
          <w:sz w:val="20"/>
          <w:szCs w:val="20"/>
        </w:rPr>
        <w:t>5</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2563F947" w:rsidR="008D7E3A" w:rsidRDefault="00EC3F8A" w:rsidP="00EC3F8A">
            <w:pPr>
              <w:rPr>
                <w:sz w:val="20"/>
                <w:szCs w:val="20"/>
              </w:rPr>
            </w:pPr>
            <w:r w:rsidRPr="00B02C57">
              <w:rPr>
                <w:bCs/>
                <w:sz w:val="20"/>
                <w:szCs w:val="20"/>
              </w:rPr>
              <w:t xml:space="preserve">Press Release dated </w:t>
            </w:r>
            <w:r w:rsidR="003D3388">
              <w:rPr>
                <w:bCs/>
                <w:sz w:val="20"/>
                <w:szCs w:val="20"/>
              </w:rPr>
              <w:t>July</w:t>
            </w:r>
            <w:r w:rsidR="00DA73E9" w:rsidRPr="00B02C57">
              <w:rPr>
                <w:bCs/>
                <w:sz w:val="20"/>
                <w:szCs w:val="20"/>
              </w:rPr>
              <w:t xml:space="preserve"> </w:t>
            </w:r>
            <w:r w:rsidR="003D3388">
              <w:rPr>
                <w:bCs/>
                <w:sz w:val="20"/>
                <w:szCs w:val="20"/>
              </w:rPr>
              <w:t>28</w:t>
            </w:r>
            <w:r w:rsidRPr="00B02C57">
              <w:rPr>
                <w:bCs/>
                <w:sz w:val="20"/>
                <w:szCs w:val="20"/>
              </w:rPr>
              <w:t>, 202</w:t>
            </w:r>
            <w:r w:rsidR="00D93377">
              <w:rPr>
                <w:bCs/>
                <w:sz w:val="20"/>
                <w:szCs w:val="20"/>
              </w:rPr>
              <w:t>5</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7443F246" w:rsidR="008D7E3A" w:rsidRDefault="008D7E3A" w:rsidP="008D7E3A">
      <w:pPr>
        <w:ind w:left="144" w:right="144"/>
        <w:rPr>
          <w:sz w:val="20"/>
          <w:szCs w:val="20"/>
        </w:rPr>
      </w:pPr>
      <w:r>
        <w:rPr>
          <w:sz w:val="20"/>
          <w:szCs w:val="20"/>
        </w:rPr>
        <w:t xml:space="preserve">Date: </w:t>
      </w:r>
      <w:r w:rsidR="003D3388">
        <w:rPr>
          <w:sz w:val="20"/>
          <w:szCs w:val="20"/>
        </w:rPr>
        <w:t>July</w:t>
      </w:r>
      <w:r w:rsidR="00DA73E9">
        <w:rPr>
          <w:sz w:val="20"/>
          <w:szCs w:val="20"/>
        </w:rPr>
        <w:t xml:space="preserve"> </w:t>
      </w:r>
      <w:r w:rsidR="003D3388">
        <w:rPr>
          <w:sz w:val="20"/>
          <w:szCs w:val="20"/>
        </w:rPr>
        <w:t>28</w:t>
      </w:r>
      <w:r>
        <w:rPr>
          <w:sz w:val="20"/>
          <w:szCs w:val="20"/>
        </w:rPr>
        <w:t>, 202</w:t>
      </w:r>
      <w:r w:rsidR="00D93377">
        <w:rPr>
          <w:sz w:val="20"/>
          <w:szCs w:val="20"/>
        </w:rPr>
        <w:t>5</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587FD7AF" w14:textId="77777777" w:rsidR="00E15A8A" w:rsidRDefault="00E15A8A" w:rsidP="008D7E3A">
      <w:pPr>
        <w:sectPr w:rsidR="00E15A8A">
          <w:footerReference w:type="default" r:id="rId8"/>
          <w:pgSz w:w="12240" w:h="15840"/>
          <w:pgMar w:top="576" w:right="720" w:bottom="576" w:left="720" w:header="144" w:footer="432" w:gutter="0"/>
          <w:cols w:space="720"/>
        </w:sectPr>
      </w:pPr>
    </w:p>
    <w:p w14:paraId="2B519A86" w14:textId="75028B41" w:rsidR="004B3179" w:rsidRDefault="00E15A8A" w:rsidP="008D7E3A">
      <w:r>
        <w:rPr>
          <w:noProof/>
        </w:rPr>
        <w:lastRenderedPageBreak/>
        <mc:AlternateContent>
          <mc:Choice Requires="wps">
            <w:drawing>
              <wp:anchor distT="45720" distB="45720" distL="114300" distR="114300" simplePos="0" relativeHeight="251659264" behindDoc="0" locked="0" layoutInCell="1" allowOverlap="1" wp14:anchorId="7A04DDA7" wp14:editId="2B5443B1">
                <wp:simplePos x="0" y="0"/>
                <wp:positionH relativeFrom="column">
                  <wp:posOffset>3742690</wp:posOffset>
                </wp:positionH>
                <wp:positionV relativeFrom="paragraph">
                  <wp:posOffset>0</wp:posOffset>
                </wp:positionV>
                <wp:extent cx="2360930"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3A4175" w14:textId="716F7C3B" w:rsidR="00E15A8A" w:rsidRPr="00E15A8A" w:rsidRDefault="00E15A8A" w:rsidP="00E15A8A">
                            <w:pPr>
                              <w:jc w:val="right"/>
                              <w:rPr>
                                <w:b/>
                                <w:bCs/>
                              </w:rPr>
                            </w:pPr>
                            <w:r w:rsidRPr="00E15A8A">
                              <w:rPr>
                                <w:b/>
                                <w:bCs/>
                              </w:rPr>
                              <w:t>Exhibit 99.1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04DDA7" id="_x0000_t202" coordsize="21600,21600" o:spt="202" path="m,l,21600r21600,l21600,xe">
                <v:stroke joinstyle="miter"/>
                <v:path gradientshapeok="t" o:connecttype="rect"/>
              </v:shapetype>
              <v:shape id="Text Box 2" o:spid="_x0000_s1026" type="#_x0000_t202" style="position:absolute;margin-left:294.7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" stroked="f">
                <v:textbox style="mso-fit-shape-to-text:t">
                  <w:txbxContent>
                    <w:p w14:paraId="3B3A4175" w14:textId="716F7C3B" w:rsidR="00E15A8A" w:rsidRPr="00E15A8A" w:rsidRDefault="00E15A8A" w:rsidP="00E15A8A">
                      <w:pPr>
                        <w:jc w:val="right"/>
                        <w:rPr>
                          <w:b/>
                          <w:bCs/>
                        </w:rPr>
                      </w:pPr>
                      <w:r w:rsidRPr="00E15A8A">
                        <w:rPr>
                          <w:b/>
                          <w:bCs/>
                        </w:rPr>
                        <w:t>Exhibit 99.1</w:t>
                      </w:r>
                    </w:p>
                  </w:txbxContent>
                </v:textbox>
                <w10:wrap type="square"/>
              </v:shape>
            </w:pict>
          </mc:Fallback>
        </mc:AlternateContent>
      </w:r>
    </w:p>
    <w:p w14:paraId="4005DDAA" w14:textId="67AD0E18" w:rsidR="00E15A8A" w:rsidRPr="00E15A8A" w:rsidRDefault="00E15A8A" w:rsidP="00E15A8A"/>
    <w:p w14:paraId="32B43777" w14:textId="77777777" w:rsidR="00E15A8A" w:rsidRPr="00E15A8A" w:rsidRDefault="00E15A8A" w:rsidP="00E15A8A">
      <w:pPr>
        <w:jc w:val="center"/>
        <w:rPr>
          <w:bCs/>
          <w:color w:val="FF0000"/>
          <w:sz w:val="32"/>
          <w:szCs w:val="32"/>
        </w:rPr>
      </w:pPr>
    </w:p>
    <w:p w14:paraId="46C093E4" w14:textId="77777777" w:rsidR="00E15A8A" w:rsidRPr="00E15A8A" w:rsidRDefault="00E15A8A" w:rsidP="00E15A8A">
      <w:pPr>
        <w:jc w:val="center"/>
        <w:rPr>
          <w:b/>
          <w:color w:val="000000"/>
          <w:sz w:val="36"/>
          <w:szCs w:val="36"/>
        </w:rPr>
      </w:pPr>
      <w:r w:rsidRPr="00E15A8A">
        <w:rPr>
          <w:b/>
          <w:color w:val="000000"/>
          <w:sz w:val="36"/>
          <w:szCs w:val="36"/>
        </w:rPr>
        <w:t>GeoVax Reports Second Quarter 2025 Financial Results and Provides Business Update</w:t>
      </w:r>
    </w:p>
    <w:p w14:paraId="64F66C7D" w14:textId="77777777" w:rsidR="00E15A8A" w:rsidRPr="00E15A8A" w:rsidRDefault="00E15A8A" w:rsidP="00E15A8A">
      <w:pPr>
        <w:rPr>
          <w:bCs/>
          <w:i/>
          <w:iCs/>
          <w:color w:val="000000"/>
          <w:sz w:val="22"/>
          <w:szCs w:val="22"/>
        </w:rPr>
      </w:pPr>
    </w:p>
    <w:p w14:paraId="5CACEF5E" w14:textId="77777777" w:rsidR="00E15A8A" w:rsidRPr="00E15A8A" w:rsidRDefault="00E15A8A" w:rsidP="00E15A8A">
      <w:pPr>
        <w:jc w:val="center"/>
        <w:rPr>
          <w:bCs/>
          <w:i/>
          <w:iCs/>
          <w:color w:val="000000"/>
        </w:rPr>
      </w:pPr>
      <w:r w:rsidRPr="00E15A8A">
        <w:rPr>
          <w:bCs/>
          <w:i/>
          <w:iCs/>
          <w:color w:val="000000"/>
        </w:rPr>
        <w:t xml:space="preserve">GEO-MVA received favorable European regulatory guidance supporting streamlined development pathway </w:t>
      </w:r>
    </w:p>
    <w:p w14:paraId="7167E1EE" w14:textId="77777777" w:rsidR="00E15A8A" w:rsidRPr="00E15A8A" w:rsidRDefault="00E15A8A" w:rsidP="00E15A8A">
      <w:pPr>
        <w:jc w:val="center"/>
        <w:rPr>
          <w:bCs/>
          <w:i/>
          <w:iCs/>
          <w:color w:val="000000"/>
        </w:rPr>
      </w:pPr>
    </w:p>
    <w:p w14:paraId="3953602C" w14:textId="77777777" w:rsidR="00E15A8A" w:rsidRPr="00E15A8A" w:rsidRDefault="00E15A8A" w:rsidP="00E15A8A">
      <w:pPr>
        <w:jc w:val="center"/>
        <w:rPr>
          <w:bCs/>
          <w:i/>
          <w:iCs/>
          <w:color w:val="000000"/>
        </w:rPr>
      </w:pPr>
      <w:r w:rsidRPr="00E15A8A">
        <w:rPr>
          <w:bCs/>
          <w:i/>
          <w:iCs/>
          <w:color w:val="000000"/>
        </w:rPr>
        <w:t>GEO-CM04S1 demonstrates superior robust immune responses in CLL patients; data presented at EHA 2025</w:t>
      </w:r>
    </w:p>
    <w:p w14:paraId="4E9D4370" w14:textId="77777777" w:rsidR="00E15A8A" w:rsidRPr="00E15A8A" w:rsidRDefault="00E15A8A" w:rsidP="00E15A8A">
      <w:pPr>
        <w:jc w:val="center"/>
        <w:rPr>
          <w:bCs/>
          <w:i/>
          <w:iCs/>
          <w:color w:val="000000"/>
        </w:rPr>
      </w:pPr>
    </w:p>
    <w:p w14:paraId="0230F629" w14:textId="77777777" w:rsidR="00E15A8A" w:rsidRPr="00E15A8A" w:rsidRDefault="00E15A8A" w:rsidP="00E15A8A">
      <w:pPr>
        <w:jc w:val="center"/>
        <w:rPr>
          <w:bCs/>
          <w:i/>
          <w:iCs/>
          <w:color w:val="000000"/>
        </w:rPr>
      </w:pPr>
      <w:r w:rsidRPr="00E15A8A">
        <w:rPr>
          <w:bCs/>
          <w:i/>
          <w:iCs/>
          <w:color w:val="000000"/>
        </w:rPr>
        <w:t>Gedeptin® highlighted strong safety and efficacy for the treatment of solid tumors; data presented at AACR 2025</w:t>
      </w:r>
    </w:p>
    <w:p w14:paraId="2B602789" w14:textId="77777777" w:rsidR="00E15A8A" w:rsidRPr="00E15A8A" w:rsidRDefault="00E15A8A" w:rsidP="00E15A8A">
      <w:pPr>
        <w:jc w:val="center"/>
        <w:rPr>
          <w:bCs/>
          <w:i/>
          <w:iCs/>
          <w:color w:val="000000"/>
          <w:highlight w:val="yellow"/>
        </w:rPr>
      </w:pPr>
    </w:p>
    <w:p w14:paraId="22D985CB" w14:textId="77777777" w:rsidR="00E15A8A" w:rsidRPr="00E15A8A" w:rsidRDefault="00E15A8A" w:rsidP="00E15A8A">
      <w:pPr>
        <w:jc w:val="center"/>
        <w:rPr>
          <w:bCs/>
          <w:i/>
          <w:iCs/>
          <w:color w:val="000000"/>
        </w:rPr>
      </w:pPr>
      <w:r w:rsidRPr="00E15A8A">
        <w:rPr>
          <w:bCs/>
          <w:i/>
          <w:iCs/>
          <w:color w:val="000000"/>
        </w:rPr>
        <w:t>Company to host conference call today at 4:30 p.m. ET</w:t>
      </w:r>
    </w:p>
    <w:p w14:paraId="0DEE911E" w14:textId="77777777" w:rsidR="00E15A8A" w:rsidRPr="00E15A8A" w:rsidRDefault="00E15A8A" w:rsidP="00E15A8A">
      <w:pPr>
        <w:tabs>
          <w:tab w:val="left" w:pos="6399"/>
        </w:tabs>
        <w:rPr>
          <w:bCs/>
        </w:rPr>
      </w:pPr>
    </w:p>
    <w:p w14:paraId="1441F39C" w14:textId="77777777" w:rsidR="00E15A8A" w:rsidRPr="00E15A8A" w:rsidRDefault="00E15A8A" w:rsidP="00E15A8A">
      <w:pPr>
        <w:widowControl w:val="0"/>
        <w:autoSpaceDE w:val="0"/>
        <w:autoSpaceDN w:val="0"/>
        <w:adjustRightInd w:val="0"/>
        <w:jc w:val="both"/>
        <w:rPr>
          <w:bCs/>
          <w:sz w:val="22"/>
          <w:szCs w:val="22"/>
        </w:rPr>
      </w:pPr>
      <w:r w:rsidRPr="00E15A8A">
        <w:rPr>
          <w:b/>
          <w:color w:val="000000"/>
          <w:sz w:val="22"/>
          <w:szCs w:val="22"/>
        </w:rPr>
        <w:t>ATLANTA, GA, July 28, 2025</w:t>
      </w:r>
      <w:r w:rsidRPr="00E15A8A">
        <w:rPr>
          <w:bCs/>
          <w:color w:val="000000"/>
          <w:sz w:val="22"/>
          <w:szCs w:val="22"/>
        </w:rPr>
        <w:t xml:space="preserve"> – GeoVax Labs, Inc. (Nasdaq: GOVX), a clinical-stage biotechnology company developing multi-antigenic vaccines and immunotherapies for infectious diseases and cancer,</w:t>
      </w:r>
      <w:r w:rsidRPr="00E15A8A">
        <w:rPr>
          <w:bCs/>
          <w:sz w:val="22"/>
          <w:szCs w:val="22"/>
        </w:rPr>
        <w:t xml:space="preserve"> </w:t>
      </w:r>
      <w:r w:rsidRPr="00E15A8A">
        <w:rPr>
          <w:bCs/>
          <w:color w:val="000000"/>
          <w:sz w:val="22"/>
          <w:szCs w:val="22"/>
        </w:rPr>
        <w:t>today announced financial results for the second quarter ended June 30, 2025, and provided a business update.</w:t>
      </w:r>
    </w:p>
    <w:p w14:paraId="412B54A1" w14:textId="77777777" w:rsidR="00E15A8A" w:rsidRPr="00E15A8A" w:rsidRDefault="00E15A8A" w:rsidP="00E15A8A">
      <w:pPr>
        <w:jc w:val="both"/>
        <w:rPr>
          <w:rFonts w:eastAsia="Calibri"/>
          <w:bCs/>
          <w:kern w:val="2"/>
          <w:sz w:val="22"/>
          <w:szCs w:val="22"/>
          <w14:ligatures w14:val="standardContextual"/>
        </w:rPr>
      </w:pPr>
    </w:p>
    <w:p w14:paraId="365A7DBB" w14:textId="77777777" w:rsidR="00E15A8A" w:rsidRPr="00E15A8A" w:rsidRDefault="00E15A8A" w:rsidP="00E15A8A">
      <w:pPr>
        <w:jc w:val="both"/>
        <w:rPr>
          <w:rFonts w:eastAsia="Calibri"/>
          <w:bCs/>
          <w:kern w:val="2"/>
          <w:sz w:val="22"/>
          <w:szCs w:val="22"/>
          <w14:ligatures w14:val="standardContextual"/>
        </w:rPr>
      </w:pPr>
      <w:r w:rsidRPr="00E15A8A">
        <w:rPr>
          <w:rFonts w:eastAsia="Calibri"/>
          <w:bCs/>
          <w:kern w:val="2"/>
          <w:sz w:val="22"/>
          <w:szCs w:val="22"/>
          <w14:ligatures w14:val="standardContextual"/>
        </w:rPr>
        <w:t>“The second quarter marked a pivotal period for GeoVax, with compelling clinical data and regulatory milestones reinforcing the strength of our pipeline and our focus on accelerating to commercial status,” said David Dodd, GeoVax’s Chairman and CEO. “The favorable European regulatory guidance for GEO-MVA, robust immune responses demonstrated by GEO-CM04S1 in immunocompromised patients, particularly those with Chronic Lymphocytic Leukemia (CLL), and the continued progress towards initiation of the Gedeptin</w:t>
      </w:r>
      <w:r w:rsidRPr="00E15A8A">
        <w:rPr>
          <w:rFonts w:eastAsia="Calibri"/>
          <w:bCs/>
          <w:kern w:val="2"/>
          <w:sz w:val="22"/>
          <w:szCs w:val="22"/>
          <w:vertAlign w:val="superscript"/>
          <w14:ligatures w14:val="standardContextual"/>
        </w:rPr>
        <w:t>®</w:t>
      </w:r>
      <w:r w:rsidRPr="00E15A8A">
        <w:rPr>
          <w:rFonts w:eastAsia="Calibri"/>
          <w:bCs/>
          <w:kern w:val="2"/>
          <w:sz w:val="22"/>
          <w:szCs w:val="22"/>
          <w14:ligatures w14:val="standardContextual"/>
        </w:rPr>
        <w:t xml:space="preserve"> Phase 2 trial highlight our expanding footprint in oncology and global infectious disease preparedness. These achievements reflect our commitment to advancing innovative, vaccines and immunotherapies that address urgent and underserved medical needs.”</w:t>
      </w:r>
    </w:p>
    <w:p w14:paraId="48962F39" w14:textId="77777777" w:rsidR="00E15A8A" w:rsidRPr="00E15A8A" w:rsidRDefault="00E15A8A" w:rsidP="00E15A8A">
      <w:pPr>
        <w:jc w:val="both"/>
        <w:rPr>
          <w:rFonts w:eastAsia="Calibri"/>
          <w:bCs/>
          <w:kern w:val="2"/>
          <w:sz w:val="22"/>
          <w:szCs w:val="22"/>
          <w14:ligatures w14:val="standardContextual"/>
        </w:rPr>
      </w:pPr>
    </w:p>
    <w:p w14:paraId="449E71B4" w14:textId="77777777" w:rsidR="00E15A8A" w:rsidRPr="00E15A8A" w:rsidRDefault="00E15A8A" w:rsidP="00E15A8A">
      <w:pPr>
        <w:jc w:val="both"/>
        <w:rPr>
          <w:rFonts w:eastAsia="Calibri"/>
          <w:b/>
          <w:kern w:val="2"/>
          <w:sz w:val="22"/>
          <w:szCs w:val="22"/>
          <w14:ligatures w14:val="standardContextual"/>
        </w:rPr>
      </w:pPr>
      <w:r w:rsidRPr="00E15A8A">
        <w:rPr>
          <w:rFonts w:eastAsia="Calibri"/>
          <w:b/>
          <w:kern w:val="2"/>
          <w:sz w:val="22"/>
          <w:szCs w:val="22"/>
          <w14:ligatures w14:val="standardContextual"/>
        </w:rPr>
        <w:t>Clinical Trial Progress and Operational Developments</w:t>
      </w:r>
    </w:p>
    <w:p w14:paraId="0D7CD19F" w14:textId="77777777" w:rsidR="00E15A8A" w:rsidRPr="00E15A8A" w:rsidRDefault="00E15A8A" w:rsidP="00E15A8A">
      <w:pPr>
        <w:jc w:val="both"/>
        <w:rPr>
          <w:rFonts w:eastAsia="Calibri"/>
          <w:bCs/>
          <w:kern w:val="2"/>
          <w:sz w:val="22"/>
          <w:szCs w:val="22"/>
          <w14:ligatures w14:val="standardContextual"/>
        </w:rPr>
      </w:pPr>
    </w:p>
    <w:p w14:paraId="08828254" w14:textId="77777777" w:rsidR="00E15A8A" w:rsidRPr="00E15A8A" w:rsidRDefault="00E15A8A" w:rsidP="00E15A8A">
      <w:pPr>
        <w:shd w:val="clear" w:color="auto" w:fill="FFFFFF"/>
        <w:rPr>
          <w:bCs/>
          <w:color w:val="000000"/>
          <w:sz w:val="22"/>
          <w:szCs w:val="22"/>
        </w:rPr>
      </w:pPr>
      <w:r w:rsidRPr="00E15A8A">
        <w:rPr>
          <w:bCs/>
          <w:color w:val="000000"/>
          <w:sz w:val="22"/>
          <w:szCs w:val="22"/>
        </w:rPr>
        <w:t xml:space="preserve">GEO-MVA </w:t>
      </w:r>
    </w:p>
    <w:p w14:paraId="11CE8186" w14:textId="77777777" w:rsidR="00E15A8A" w:rsidRPr="00E15A8A" w:rsidRDefault="00E15A8A" w:rsidP="00E15A8A">
      <w:pPr>
        <w:numPr>
          <w:ilvl w:val="0"/>
          <w:numId w:val="3"/>
        </w:numPr>
        <w:ind w:left="360"/>
        <w:jc w:val="both"/>
        <w:rPr>
          <w:bCs/>
          <w:color w:val="000000"/>
          <w:sz w:val="22"/>
          <w:szCs w:val="22"/>
        </w:rPr>
      </w:pPr>
      <w:r w:rsidRPr="00E15A8A">
        <w:rPr>
          <w:bCs/>
          <w:color w:val="000000"/>
          <w:sz w:val="22"/>
          <w:szCs w:val="22"/>
        </w:rPr>
        <w:t xml:space="preserve">Received favorable European Scientific Advice (SA) supporting streamlined development pathway for GEO-MVA based vaccine for the prevention of Mpox and smallpox. The SA supports the suitability of GeoVax’s clinical and </w:t>
      </w:r>
      <w:proofErr w:type="gramStart"/>
      <w:r w:rsidRPr="00E15A8A">
        <w:rPr>
          <w:bCs/>
          <w:color w:val="000000"/>
          <w:sz w:val="22"/>
          <w:szCs w:val="22"/>
        </w:rPr>
        <w:t>nonclinical</w:t>
      </w:r>
      <w:proofErr w:type="gramEnd"/>
      <w:r w:rsidRPr="00E15A8A">
        <w:rPr>
          <w:bCs/>
          <w:color w:val="000000"/>
          <w:sz w:val="22"/>
          <w:szCs w:val="22"/>
        </w:rPr>
        <w:t xml:space="preserve"> development strategy. This feedback from the European Medicines Agency (EMA) provides clear regulatory alignment and enables an efficient pathway toward potential approval, eliminating multiple development steps commonly required for vaccines. Key highlights below:</w:t>
      </w:r>
    </w:p>
    <w:p w14:paraId="3A4B9D37" w14:textId="77777777" w:rsidR="00E15A8A" w:rsidRPr="00E15A8A" w:rsidRDefault="00E15A8A" w:rsidP="00E15A8A">
      <w:pPr>
        <w:numPr>
          <w:ilvl w:val="1"/>
          <w:numId w:val="3"/>
        </w:numPr>
        <w:ind w:left="720"/>
        <w:jc w:val="both"/>
        <w:rPr>
          <w:bCs/>
          <w:color w:val="000000"/>
          <w:sz w:val="22"/>
          <w:szCs w:val="22"/>
        </w:rPr>
      </w:pPr>
      <w:r w:rsidRPr="00E15A8A">
        <w:rPr>
          <w:bCs/>
          <w:color w:val="000000"/>
          <w:sz w:val="22"/>
          <w:szCs w:val="22"/>
        </w:rPr>
        <w:t>EMA confirmed that one Phase 3 immuno-bridging trial, if successful, meets criteria for market authorization in all 27 EU countries, and this guidance coincides with the WHO’s fourth Mpox PHEIC declaration and Clade I outbreaks across multiple continents.</w:t>
      </w:r>
    </w:p>
    <w:p w14:paraId="01DB0EEA" w14:textId="77777777" w:rsidR="00E15A8A" w:rsidRPr="00E15A8A" w:rsidRDefault="00E15A8A" w:rsidP="00E15A8A">
      <w:pPr>
        <w:numPr>
          <w:ilvl w:val="1"/>
          <w:numId w:val="3"/>
        </w:numPr>
        <w:jc w:val="both"/>
        <w:rPr>
          <w:bCs/>
          <w:color w:val="000000"/>
          <w:sz w:val="22"/>
          <w:szCs w:val="22"/>
        </w:rPr>
      </w:pPr>
      <w:r w:rsidRPr="00E15A8A">
        <w:rPr>
          <w:bCs/>
          <w:color w:val="000000"/>
          <w:sz w:val="22"/>
          <w:szCs w:val="22"/>
        </w:rPr>
        <w:t>GeoVax expects to initiate its Phase 3 trial in 2H 2026.</w:t>
      </w:r>
    </w:p>
    <w:p w14:paraId="4BD7E8DF" w14:textId="77777777" w:rsidR="00E15A8A" w:rsidRPr="00E15A8A" w:rsidRDefault="00E15A8A" w:rsidP="00E15A8A">
      <w:pPr>
        <w:numPr>
          <w:ilvl w:val="0"/>
          <w:numId w:val="3"/>
        </w:numPr>
        <w:ind w:left="360"/>
        <w:jc w:val="both"/>
        <w:rPr>
          <w:rFonts w:eastAsia="Calibri"/>
          <w:bCs/>
          <w:kern w:val="2"/>
          <w:sz w:val="22"/>
          <w:szCs w:val="22"/>
          <w14:ligatures w14:val="standardContextual"/>
        </w:rPr>
      </w:pPr>
      <w:r w:rsidRPr="00E15A8A">
        <w:rPr>
          <w:rFonts w:eastAsia="Calibri"/>
          <w:bCs/>
          <w:kern w:val="2"/>
          <w:sz w:val="22"/>
          <w:szCs w:val="22"/>
          <w14:ligatures w14:val="standardContextual"/>
        </w:rPr>
        <w:t>GEO-MVA addresses a significant medical need worldwide reflected in an estimated market potential at $10B+.</w:t>
      </w:r>
    </w:p>
    <w:p w14:paraId="350D7FE4" w14:textId="77777777" w:rsidR="00E15A8A" w:rsidRPr="00E15A8A" w:rsidRDefault="00E15A8A" w:rsidP="00E15A8A">
      <w:pPr>
        <w:shd w:val="clear" w:color="auto" w:fill="FFFFFF"/>
        <w:rPr>
          <w:bCs/>
          <w:color w:val="000000"/>
          <w:sz w:val="22"/>
          <w:szCs w:val="22"/>
        </w:rPr>
      </w:pPr>
    </w:p>
    <w:p w14:paraId="61F0263E" w14:textId="77777777" w:rsidR="00E15A8A" w:rsidRPr="00E15A8A" w:rsidRDefault="00E15A8A" w:rsidP="00E15A8A">
      <w:pPr>
        <w:shd w:val="clear" w:color="auto" w:fill="FFFFFF"/>
        <w:rPr>
          <w:bCs/>
          <w:color w:val="000000"/>
          <w:sz w:val="22"/>
          <w:szCs w:val="22"/>
        </w:rPr>
      </w:pPr>
      <w:r w:rsidRPr="00E15A8A">
        <w:rPr>
          <w:bCs/>
          <w:color w:val="000000"/>
          <w:sz w:val="22"/>
          <w:szCs w:val="22"/>
        </w:rPr>
        <w:t>GEO-CM04S1</w:t>
      </w:r>
    </w:p>
    <w:p w14:paraId="54F7FF40" w14:textId="77777777" w:rsidR="00E15A8A" w:rsidRPr="00E15A8A" w:rsidRDefault="00E15A8A" w:rsidP="00E15A8A">
      <w:pPr>
        <w:numPr>
          <w:ilvl w:val="0"/>
          <w:numId w:val="3"/>
        </w:numPr>
        <w:ind w:left="360"/>
        <w:jc w:val="both"/>
        <w:rPr>
          <w:rFonts w:eastAsia="Calibri"/>
          <w:bCs/>
          <w:kern w:val="2"/>
          <w:sz w:val="22"/>
          <w:szCs w:val="22"/>
          <w14:ligatures w14:val="standardContextual"/>
        </w:rPr>
      </w:pPr>
      <w:r w:rsidRPr="00E15A8A">
        <w:rPr>
          <w:rFonts w:eastAsia="Calibri"/>
          <w:bCs/>
          <w:kern w:val="2"/>
          <w:sz w:val="22"/>
          <w:szCs w:val="22"/>
          <w14:ligatures w14:val="standardContextual"/>
        </w:rPr>
        <w:t>Positive immune response data in CLL patients presented at European Hematology Association (EHA) 2025 Conference. Key findings from the study include:</w:t>
      </w:r>
    </w:p>
    <w:p w14:paraId="49081536" w14:textId="77777777" w:rsidR="00E15A8A" w:rsidRPr="00E15A8A" w:rsidRDefault="00E15A8A" w:rsidP="00E15A8A">
      <w:pPr>
        <w:numPr>
          <w:ilvl w:val="1"/>
          <w:numId w:val="3"/>
        </w:numPr>
        <w:ind w:left="720"/>
        <w:jc w:val="both"/>
        <w:rPr>
          <w:rFonts w:eastAsia="Calibri"/>
          <w:bCs/>
          <w:kern w:val="2"/>
          <w:sz w:val="22"/>
          <w:szCs w:val="22"/>
          <w14:ligatures w14:val="standardContextual"/>
        </w:rPr>
      </w:pPr>
      <w:r w:rsidRPr="00E15A8A">
        <w:rPr>
          <w:rFonts w:eastAsia="Calibri"/>
          <w:bCs/>
          <w:kern w:val="2"/>
          <w:sz w:val="22"/>
          <w:szCs w:val="22"/>
          <w14:ligatures w14:val="standardContextual"/>
        </w:rPr>
        <w:lastRenderedPageBreak/>
        <w:t>GEO-CM04S1 demonstrated significantly enhanced T cell responses—specifically IFN-γ secretion and activation-induced markers (AIM+)—compared to a matched cohort receiving an authorized mRNA vaccine.</w:t>
      </w:r>
    </w:p>
    <w:p w14:paraId="5622A616" w14:textId="77777777" w:rsidR="00E15A8A" w:rsidRPr="00E15A8A" w:rsidRDefault="00E15A8A" w:rsidP="00E15A8A">
      <w:pPr>
        <w:numPr>
          <w:ilvl w:val="1"/>
          <w:numId w:val="3"/>
        </w:numPr>
        <w:ind w:left="720"/>
        <w:jc w:val="both"/>
        <w:rPr>
          <w:rFonts w:eastAsia="Calibri"/>
          <w:bCs/>
          <w:kern w:val="2"/>
          <w:sz w:val="22"/>
          <w:szCs w:val="22"/>
          <w14:ligatures w14:val="standardContextual"/>
        </w:rPr>
      </w:pPr>
      <w:r w:rsidRPr="00E15A8A">
        <w:rPr>
          <w:rFonts w:eastAsia="Calibri"/>
          <w:bCs/>
          <w:kern w:val="2"/>
          <w:sz w:val="22"/>
          <w:szCs w:val="22"/>
          <w14:ligatures w14:val="standardContextual"/>
        </w:rPr>
        <w:t>While both vaccines stimulated humoral immune responses, only GEO-CM04S1 elicited statistically significant SARS-CoV-2 Nucleocapsid (N)-specific IgG and T cell responses.</w:t>
      </w:r>
    </w:p>
    <w:p w14:paraId="0A4A824C" w14:textId="77777777" w:rsidR="00E15A8A" w:rsidRPr="00E15A8A" w:rsidRDefault="00E15A8A" w:rsidP="00E15A8A">
      <w:pPr>
        <w:numPr>
          <w:ilvl w:val="1"/>
          <w:numId w:val="3"/>
        </w:numPr>
        <w:ind w:left="720"/>
        <w:jc w:val="both"/>
        <w:rPr>
          <w:rFonts w:eastAsia="Calibri"/>
          <w:bCs/>
          <w:kern w:val="2"/>
          <w:sz w:val="22"/>
          <w:szCs w:val="22"/>
          <w14:ligatures w14:val="standardContextual"/>
        </w:rPr>
      </w:pPr>
      <w:r w:rsidRPr="00E15A8A">
        <w:rPr>
          <w:rFonts w:eastAsia="Calibri"/>
          <w:bCs/>
          <w:kern w:val="2"/>
          <w:sz w:val="22"/>
          <w:szCs w:val="22"/>
          <w14:ligatures w14:val="standardContextual"/>
        </w:rPr>
        <w:t>The mRNA vaccine failed to meet the pre-defined primary immunogenicity endpoint; as a result, further enrollment is now restricted to the GEO-CM04S1 arm only.</w:t>
      </w:r>
    </w:p>
    <w:p w14:paraId="67754B17" w14:textId="77777777" w:rsidR="00E15A8A" w:rsidRPr="00E15A8A" w:rsidRDefault="00E15A8A" w:rsidP="00E15A8A">
      <w:pPr>
        <w:numPr>
          <w:ilvl w:val="1"/>
          <w:numId w:val="3"/>
        </w:numPr>
        <w:ind w:left="720"/>
        <w:jc w:val="both"/>
        <w:rPr>
          <w:rFonts w:eastAsia="Calibri"/>
          <w:bCs/>
          <w:kern w:val="2"/>
          <w:sz w:val="22"/>
          <w:szCs w:val="22"/>
          <w14:ligatures w14:val="standardContextual"/>
        </w:rPr>
      </w:pPr>
      <w:r w:rsidRPr="00E15A8A">
        <w:rPr>
          <w:rFonts w:eastAsia="Calibri"/>
          <w:bCs/>
          <w:kern w:val="2"/>
          <w:sz w:val="22"/>
          <w:szCs w:val="22"/>
          <w14:ligatures w14:val="standardContextual"/>
        </w:rPr>
        <w:t>Both vaccines were well-tolerated, with no grade ≥3 adverse events reported.</w:t>
      </w:r>
    </w:p>
    <w:p w14:paraId="19CE9503" w14:textId="77777777" w:rsidR="00E15A8A" w:rsidRPr="00E15A8A" w:rsidRDefault="00E15A8A" w:rsidP="00E15A8A">
      <w:pPr>
        <w:numPr>
          <w:ilvl w:val="0"/>
          <w:numId w:val="3"/>
        </w:numPr>
        <w:ind w:left="360"/>
        <w:jc w:val="both"/>
        <w:rPr>
          <w:bCs/>
          <w:color w:val="000000"/>
          <w:sz w:val="22"/>
          <w:szCs w:val="22"/>
        </w:rPr>
      </w:pPr>
      <w:r w:rsidRPr="00E15A8A">
        <w:rPr>
          <w:bCs/>
          <w:color w:val="000000"/>
          <w:sz w:val="22"/>
          <w:szCs w:val="22"/>
        </w:rPr>
        <w:t>Highlighted positive findings from studies at Keystone Symposia.</w:t>
      </w:r>
      <w:r w:rsidRPr="00E15A8A">
        <w:rPr>
          <w:bCs/>
          <w:i/>
          <w:color w:val="000000"/>
          <w:sz w:val="22"/>
          <w:szCs w:val="22"/>
        </w:rPr>
        <w:t xml:space="preserve"> </w:t>
      </w:r>
      <w:r w:rsidRPr="00E15A8A">
        <w:rPr>
          <w:bCs/>
          <w:color w:val="000000"/>
          <w:sz w:val="22"/>
          <w:szCs w:val="22"/>
        </w:rPr>
        <w:t>This study evaluated the immunogenicity and protective efficacy of GEO-CM04S1, a clinical-stage multi-antigen MVA-vectored vaccine co-expressing spike (S) and nucleocapsid (N) proteins, in a K18-hACE2 mouse model. Mice were challenged intranasally with either the original B.1 strain or the Omicron XBB.1.5 subvariant. GEO-CM04S1 conferred full protection against clinical disease, lung injury, and inflammation in both viral challenge models.</w:t>
      </w:r>
    </w:p>
    <w:p w14:paraId="25375DE5" w14:textId="77777777" w:rsidR="00E15A8A" w:rsidRPr="00E15A8A" w:rsidRDefault="00E15A8A" w:rsidP="00E15A8A">
      <w:pPr>
        <w:numPr>
          <w:ilvl w:val="0"/>
          <w:numId w:val="3"/>
        </w:numPr>
        <w:ind w:left="360"/>
        <w:jc w:val="both"/>
        <w:rPr>
          <w:bCs/>
          <w:color w:val="000000"/>
          <w:sz w:val="22"/>
          <w:szCs w:val="22"/>
        </w:rPr>
      </w:pPr>
      <w:r w:rsidRPr="00E15A8A">
        <w:rPr>
          <w:bCs/>
          <w:color w:val="000000"/>
          <w:sz w:val="22"/>
          <w:szCs w:val="22"/>
        </w:rPr>
        <w:t>Presented dual protective potential of GEO-CM04S1 at the American Association of Immunology (AAI) 2025 Annual Meeting. The presentation, titled </w:t>
      </w:r>
      <w:r w:rsidRPr="00E15A8A">
        <w:rPr>
          <w:bCs/>
          <w:i/>
          <w:iCs/>
          <w:color w:val="000000"/>
          <w:sz w:val="22"/>
          <w:szCs w:val="22"/>
        </w:rPr>
        <w:t>“Immunogenicity of Synthetic MVA-based Vaccine COH04S1 Against SARS-CoV-2 in Post-HCT/CAR-T Patients and Its Cross-Protective Potential Against Mpox”</w:t>
      </w:r>
      <w:r w:rsidRPr="00E15A8A">
        <w:rPr>
          <w:bCs/>
          <w:color w:val="000000"/>
          <w:sz w:val="22"/>
          <w:szCs w:val="22"/>
        </w:rPr>
        <w:t xml:space="preserve"> (Abstract Number: 9352), highlighted findings from an the initial segment of an ongoing Phase 2 clinical study in blood cancer patients receiving hematopoietic cell transplantation or CAR-T therapy that was conducted by investigators at City of Hope Medical Center with the next-generation multi-antigen COVID-19 vaccine COH04S1 (licensed by GeoVax as GEO-CM04S1), as well as studies with sera obtained from COH04S1-vaccinated healthy adults and non-human primates demonstrating induction of </w:t>
      </w:r>
      <w:proofErr w:type="spellStart"/>
      <w:r w:rsidRPr="00E15A8A">
        <w:rPr>
          <w:bCs/>
          <w:color w:val="000000"/>
          <w:sz w:val="22"/>
          <w:szCs w:val="22"/>
        </w:rPr>
        <w:t>orthopox</w:t>
      </w:r>
      <w:proofErr w:type="spellEnd"/>
      <w:r w:rsidRPr="00E15A8A">
        <w:rPr>
          <w:bCs/>
          <w:color w:val="000000"/>
          <w:sz w:val="22"/>
          <w:szCs w:val="22"/>
        </w:rPr>
        <w:t>-specific and Mpox cross-reactive immune responses.</w:t>
      </w:r>
    </w:p>
    <w:p w14:paraId="5819F0CF" w14:textId="77777777" w:rsidR="00E15A8A" w:rsidRPr="00E15A8A" w:rsidRDefault="00E15A8A" w:rsidP="00E15A8A">
      <w:pPr>
        <w:numPr>
          <w:ilvl w:val="0"/>
          <w:numId w:val="3"/>
        </w:numPr>
        <w:ind w:left="360"/>
        <w:jc w:val="both"/>
        <w:rPr>
          <w:bCs/>
          <w:color w:val="000000"/>
          <w:sz w:val="22"/>
          <w:szCs w:val="22"/>
        </w:rPr>
      </w:pPr>
      <w:r w:rsidRPr="00E15A8A">
        <w:rPr>
          <w:bCs/>
          <w:color w:val="000000"/>
          <w:sz w:val="22"/>
          <w:szCs w:val="22"/>
        </w:rPr>
        <w:t>Showcased strong clinical results following presentation of multi-antigen COVID-19 vaccine at the 25</w:t>
      </w:r>
      <w:r w:rsidRPr="00E15A8A">
        <w:rPr>
          <w:bCs/>
          <w:color w:val="000000"/>
          <w:sz w:val="22"/>
          <w:szCs w:val="22"/>
          <w:vertAlign w:val="superscript"/>
        </w:rPr>
        <w:t>th</w:t>
      </w:r>
      <w:r w:rsidRPr="00E15A8A">
        <w:rPr>
          <w:bCs/>
          <w:color w:val="000000"/>
          <w:sz w:val="22"/>
          <w:szCs w:val="22"/>
        </w:rPr>
        <w:t xml:space="preserve"> Annual World Vaccine Congress. The presentation, titled “Phase 2b Study Results That Evaluated and Compared GeoVax’s Multi-Antigen Vaccine Candidate (GEO-CM04S1) to an Approved Vaccine Against COVID-19,” was given by Don J. Diamond, Ph.D. on April 24, 2025. It highlighted results across several Phase 1 and 2 clinical trials, including studies involving healthy volunteers as well as immunocompromised patients such as stem cell transplant recipients and those with chronic lymphocytic leukemia (CLL). </w:t>
      </w:r>
    </w:p>
    <w:p w14:paraId="76380E23" w14:textId="77777777" w:rsidR="00E15A8A" w:rsidRPr="00E15A8A" w:rsidRDefault="00E15A8A" w:rsidP="00E15A8A">
      <w:pPr>
        <w:numPr>
          <w:ilvl w:val="0"/>
          <w:numId w:val="3"/>
        </w:numPr>
        <w:ind w:left="360"/>
        <w:jc w:val="both"/>
        <w:rPr>
          <w:rFonts w:eastAsia="Calibri"/>
          <w:bCs/>
          <w:kern w:val="2"/>
          <w:sz w:val="22"/>
          <w:szCs w:val="22"/>
          <w14:ligatures w14:val="standardContextual"/>
        </w:rPr>
      </w:pPr>
      <w:r w:rsidRPr="00E15A8A">
        <w:rPr>
          <w:rFonts w:eastAsia="Calibri"/>
          <w:bCs/>
          <w:kern w:val="2"/>
          <w:sz w:val="22"/>
          <w:szCs w:val="22"/>
          <w14:ligatures w14:val="standardContextual"/>
        </w:rPr>
        <w:t xml:space="preserve">GEO-CMO4S1 addresses a significant medical need worldwide reflected in an estimated market potential at $30B+. </w:t>
      </w:r>
    </w:p>
    <w:p w14:paraId="5F8345DB" w14:textId="77777777" w:rsidR="00E15A8A" w:rsidRPr="00E15A8A" w:rsidRDefault="00E15A8A" w:rsidP="00E15A8A">
      <w:pPr>
        <w:jc w:val="both"/>
        <w:rPr>
          <w:bCs/>
          <w:color w:val="000000"/>
          <w:sz w:val="22"/>
          <w:szCs w:val="22"/>
        </w:rPr>
      </w:pPr>
    </w:p>
    <w:p w14:paraId="4A1BC730" w14:textId="77777777" w:rsidR="00E15A8A" w:rsidRPr="00E15A8A" w:rsidRDefault="00E15A8A" w:rsidP="00E15A8A">
      <w:pPr>
        <w:jc w:val="both"/>
        <w:rPr>
          <w:bCs/>
          <w:color w:val="000000"/>
          <w:sz w:val="22"/>
          <w:szCs w:val="22"/>
        </w:rPr>
      </w:pPr>
      <w:r w:rsidRPr="00E15A8A">
        <w:rPr>
          <w:bCs/>
          <w:color w:val="000000"/>
          <w:sz w:val="22"/>
          <w:szCs w:val="22"/>
        </w:rPr>
        <w:t>Gedeptin</w:t>
      </w:r>
      <w:r w:rsidRPr="00E15A8A">
        <w:rPr>
          <w:bCs/>
          <w:color w:val="000000"/>
          <w:sz w:val="22"/>
          <w:szCs w:val="22"/>
          <w:vertAlign w:val="superscript"/>
        </w:rPr>
        <w:t>®</w:t>
      </w:r>
    </w:p>
    <w:p w14:paraId="26B5541B" w14:textId="77777777" w:rsidR="00E15A8A" w:rsidRPr="00E15A8A" w:rsidRDefault="00E15A8A" w:rsidP="00E15A8A">
      <w:pPr>
        <w:numPr>
          <w:ilvl w:val="0"/>
          <w:numId w:val="3"/>
        </w:numPr>
        <w:ind w:left="360"/>
        <w:jc w:val="both"/>
        <w:rPr>
          <w:rFonts w:eastAsia="Calibri"/>
          <w:bCs/>
          <w:kern w:val="2"/>
          <w:sz w:val="22"/>
          <w:szCs w:val="22"/>
          <w14:ligatures w14:val="standardContextual"/>
        </w:rPr>
      </w:pPr>
      <w:r w:rsidRPr="00E15A8A">
        <w:rPr>
          <w:rFonts w:eastAsia="Calibri"/>
          <w:bCs/>
          <w:kern w:val="2"/>
          <w:sz w:val="22"/>
          <w:szCs w:val="22"/>
          <w14:ligatures w14:val="standardContextual"/>
        </w:rPr>
        <w:t xml:space="preserve">Presented clinical data at the American Association for Cancer Research (AACR) Annual Meeting. The presentation, titled “Viral-Vectored, Gene-Directed Prodrug Therapy (Gedeptin) in Needle-Accessible Solid Tumors,” was delivered by J. Marc Pipas, M.D., Executive Medical Director, Oncology at GeoVax, during the Phase II Clinical Trials 1 Poster Session on April 29, 2025. The session drew significant interest from researchers and clinicians, underscoring the growing recognition of </w:t>
      </w:r>
      <w:proofErr w:type="spellStart"/>
      <w:r w:rsidRPr="00E15A8A">
        <w:rPr>
          <w:rFonts w:eastAsia="Calibri"/>
          <w:bCs/>
          <w:kern w:val="2"/>
          <w:sz w:val="22"/>
          <w:szCs w:val="22"/>
          <w14:ligatures w14:val="standardContextual"/>
        </w:rPr>
        <w:t>Gedeptin’s</w:t>
      </w:r>
      <w:proofErr w:type="spellEnd"/>
      <w:r w:rsidRPr="00E15A8A">
        <w:rPr>
          <w:rFonts w:eastAsia="Calibri"/>
          <w:bCs/>
          <w:kern w:val="2"/>
          <w:sz w:val="22"/>
          <w:szCs w:val="22"/>
          <w14:ligatures w14:val="standardContextual"/>
        </w:rPr>
        <w:t xml:space="preserve"> therapeutic potential. The corresponding abstract was published in the AACR journal Cancer Research. Key Findings from the Clinical Study include:</w:t>
      </w:r>
    </w:p>
    <w:p w14:paraId="15685738" w14:textId="77777777" w:rsidR="00E15A8A" w:rsidRPr="00E15A8A" w:rsidRDefault="00E15A8A" w:rsidP="00E15A8A">
      <w:pPr>
        <w:numPr>
          <w:ilvl w:val="1"/>
          <w:numId w:val="3"/>
        </w:numPr>
        <w:ind w:left="720"/>
        <w:jc w:val="both"/>
        <w:rPr>
          <w:rFonts w:eastAsia="Calibri"/>
          <w:bCs/>
          <w:kern w:val="2"/>
          <w:sz w:val="22"/>
          <w:szCs w:val="22"/>
          <w14:ligatures w14:val="standardContextual"/>
        </w:rPr>
      </w:pPr>
      <w:r w:rsidRPr="00E15A8A">
        <w:rPr>
          <w:rFonts w:eastAsia="Calibri"/>
          <w:bCs/>
          <w:kern w:val="2"/>
          <w:sz w:val="22"/>
          <w:szCs w:val="22"/>
          <w14:ligatures w14:val="standardContextual"/>
        </w:rPr>
        <w:t xml:space="preserve">Trial Design: Up to five treatment cycles were administered, each consisting of </w:t>
      </w:r>
      <w:proofErr w:type="spellStart"/>
      <w:r w:rsidRPr="00E15A8A">
        <w:rPr>
          <w:rFonts w:eastAsia="Calibri"/>
          <w:bCs/>
          <w:kern w:val="2"/>
          <w:sz w:val="22"/>
          <w:szCs w:val="22"/>
          <w14:ligatures w14:val="standardContextual"/>
        </w:rPr>
        <w:t>intratumoral</w:t>
      </w:r>
      <w:proofErr w:type="spellEnd"/>
      <w:r w:rsidRPr="00E15A8A">
        <w:rPr>
          <w:rFonts w:eastAsia="Calibri"/>
          <w:bCs/>
          <w:kern w:val="2"/>
          <w:sz w:val="22"/>
          <w:szCs w:val="22"/>
          <w14:ligatures w14:val="standardContextual"/>
        </w:rPr>
        <w:t xml:space="preserve"> (IT) injection of Gedeptin followed by intravenous (IV) administration of fludarabine.</w:t>
      </w:r>
    </w:p>
    <w:p w14:paraId="5EE6B6CA" w14:textId="77777777" w:rsidR="00E15A8A" w:rsidRPr="00E15A8A" w:rsidRDefault="00E15A8A" w:rsidP="00E15A8A">
      <w:pPr>
        <w:numPr>
          <w:ilvl w:val="1"/>
          <w:numId w:val="3"/>
        </w:numPr>
        <w:ind w:left="720"/>
        <w:jc w:val="both"/>
        <w:rPr>
          <w:rFonts w:eastAsia="Calibri"/>
          <w:bCs/>
          <w:kern w:val="2"/>
          <w:sz w:val="22"/>
          <w:szCs w:val="22"/>
          <w14:ligatures w14:val="standardContextual"/>
        </w:rPr>
      </w:pPr>
      <w:r w:rsidRPr="00E15A8A">
        <w:rPr>
          <w:rFonts w:eastAsia="Calibri"/>
          <w:bCs/>
          <w:kern w:val="2"/>
          <w:sz w:val="22"/>
          <w:szCs w:val="22"/>
          <w14:ligatures w14:val="standardContextual"/>
        </w:rPr>
        <w:t>Patient Population: Eight heavily pretreated patients (median four prior lines of systemic therapies) were enrolled, including those with squamous cell carcinoma, nasopharyngeal carcinoma, and lymphoepithelial carcinoma.</w:t>
      </w:r>
    </w:p>
    <w:p w14:paraId="53FF4D1B" w14:textId="77777777" w:rsidR="00E15A8A" w:rsidRPr="00E15A8A" w:rsidRDefault="00E15A8A" w:rsidP="00E15A8A">
      <w:pPr>
        <w:numPr>
          <w:ilvl w:val="1"/>
          <w:numId w:val="3"/>
        </w:numPr>
        <w:ind w:left="720"/>
        <w:jc w:val="both"/>
        <w:rPr>
          <w:rFonts w:eastAsia="Calibri"/>
          <w:bCs/>
          <w:kern w:val="2"/>
          <w:sz w:val="22"/>
          <w:szCs w:val="22"/>
          <w14:ligatures w14:val="standardContextual"/>
        </w:rPr>
      </w:pPr>
      <w:r w:rsidRPr="00E15A8A">
        <w:rPr>
          <w:rFonts w:eastAsia="Calibri"/>
          <w:bCs/>
          <w:kern w:val="2"/>
          <w:sz w:val="22"/>
          <w:szCs w:val="22"/>
          <w14:ligatures w14:val="standardContextual"/>
        </w:rPr>
        <w:t>Efficacy &amp; Safety:</w:t>
      </w:r>
    </w:p>
    <w:p w14:paraId="043DE9F7" w14:textId="77777777" w:rsidR="00E15A8A" w:rsidRPr="00E15A8A" w:rsidRDefault="00E15A8A" w:rsidP="00E15A8A">
      <w:pPr>
        <w:numPr>
          <w:ilvl w:val="2"/>
          <w:numId w:val="3"/>
        </w:numPr>
        <w:ind w:left="1080"/>
        <w:jc w:val="both"/>
        <w:rPr>
          <w:rFonts w:eastAsia="Calibri"/>
          <w:bCs/>
          <w:kern w:val="2"/>
          <w:sz w:val="22"/>
          <w:szCs w:val="22"/>
          <w14:ligatures w14:val="standardContextual"/>
        </w:rPr>
      </w:pPr>
      <w:r w:rsidRPr="00E15A8A">
        <w:rPr>
          <w:rFonts w:eastAsia="Calibri"/>
          <w:bCs/>
          <w:kern w:val="2"/>
          <w:sz w:val="22"/>
          <w:szCs w:val="22"/>
          <w14:ligatures w14:val="standardContextual"/>
        </w:rPr>
        <w:t>Several patients achieved stable disease (SD) despite extensive prior therapy.</w:t>
      </w:r>
    </w:p>
    <w:p w14:paraId="56456473" w14:textId="77777777" w:rsidR="00E15A8A" w:rsidRPr="00E15A8A" w:rsidRDefault="00E15A8A" w:rsidP="00E15A8A">
      <w:pPr>
        <w:numPr>
          <w:ilvl w:val="2"/>
          <w:numId w:val="3"/>
        </w:numPr>
        <w:ind w:left="1080"/>
        <w:jc w:val="both"/>
        <w:rPr>
          <w:rFonts w:eastAsia="Calibri"/>
          <w:bCs/>
          <w:kern w:val="2"/>
          <w:sz w:val="22"/>
          <w:szCs w:val="22"/>
          <w14:ligatures w14:val="standardContextual"/>
        </w:rPr>
      </w:pPr>
      <w:r w:rsidRPr="00E15A8A">
        <w:rPr>
          <w:rFonts w:eastAsia="Calibri"/>
          <w:bCs/>
          <w:kern w:val="2"/>
          <w:sz w:val="22"/>
          <w:szCs w:val="22"/>
          <w14:ligatures w14:val="standardContextual"/>
        </w:rPr>
        <w:t>Median progression-free survival (PFS) and overall survival (OS) were both 7.0 months.</w:t>
      </w:r>
    </w:p>
    <w:p w14:paraId="3F2B60B3" w14:textId="77777777" w:rsidR="00E15A8A" w:rsidRPr="00E15A8A" w:rsidRDefault="00E15A8A" w:rsidP="00E15A8A">
      <w:pPr>
        <w:numPr>
          <w:ilvl w:val="2"/>
          <w:numId w:val="3"/>
        </w:numPr>
        <w:ind w:left="1080"/>
        <w:jc w:val="both"/>
        <w:rPr>
          <w:rFonts w:eastAsia="Calibri"/>
          <w:bCs/>
          <w:kern w:val="2"/>
          <w:sz w:val="22"/>
          <w:szCs w:val="22"/>
          <w14:ligatures w14:val="standardContextual"/>
        </w:rPr>
      </w:pPr>
      <w:r w:rsidRPr="00E15A8A">
        <w:rPr>
          <w:rFonts w:eastAsia="Calibri"/>
          <w:bCs/>
          <w:kern w:val="2"/>
          <w:sz w:val="22"/>
          <w:szCs w:val="22"/>
          <w14:ligatures w14:val="standardContextual"/>
        </w:rPr>
        <w:t>No dose-limiting toxicities (DLTs) were reported.</w:t>
      </w:r>
    </w:p>
    <w:p w14:paraId="7E299375" w14:textId="77777777" w:rsidR="00E15A8A" w:rsidRPr="00E15A8A" w:rsidRDefault="00E15A8A" w:rsidP="00E15A8A">
      <w:pPr>
        <w:numPr>
          <w:ilvl w:val="2"/>
          <w:numId w:val="3"/>
        </w:numPr>
        <w:ind w:left="1080"/>
        <w:jc w:val="both"/>
        <w:rPr>
          <w:rFonts w:eastAsia="Calibri"/>
          <w:bCs/>
          <w:kern w:val="2"/>
          <w:sz w:val="22"/>
          <w:szCs w:val="22"/>
          <w14:ligatures w14:val="standardContextual"/>
        </w:rPr>
      </w:pPr>
      <w:r w:rsidRPr="00E15A8A">
        <w:rPr>
          <w:rFonts w:eastAsia="Calibri"/>
          <w:bCs/>
          <w:kern w:val="2"/>
          <w:sz w:val="22"/>
          <w:szCs w:val="22"/>
          <w14:ligatures w14:val="standardContextual"/>
        </w:rPr>
        <w:t>Treatment-related adverse events (AEs) were minimal, with injection site pain being the most common.</w:t>
      </w:r>
    </w:p>
    <w:p w14:paraId="1C0AE6F1" w14:textId="77777777" w:rsidR="00E15A8A" w:rsidRPr="00E15A8A" w:rsidRDefault="00E15A8A" w:rsidP="00E15A8A">
      <w:pPr>
        <w:numPr>
          <w:ilvl w:val="2"/>
          <w:numId w:val="3"/>
        </w:numPr>
        <w:ind w:left="1080"/>
        <w:jc w:val="both"/>
        <w:rPr>
          <w:rFonts w:eastAsia="Calibri"/>
          <w:bCs/>
          <w:kern w:val="2"/>
          <w:sz w:val="22"/>
          <w:szCs w:val="22"/>
          <w14:ligatures w14:val="standardContextual"/>
        </w:rPr>
      </w:pPr>
      <w:r w:rsidRPr="00E15A8A">
        <w:rPr>
          <w:rFonts w:eastAsia="Calibri"/>
          <w:bCs/>
          <w:kern w:val="2"/>
          <w:sz w:val="22"/>
          <w:szCs w:val="22"/>
          <w14:ligatures w14:val="standardContextual"/>
        </w:rPr>
        <w:lastRenderedPageBreak/>
        <w:t>Serious adverse events (SAEs) observed in five patients were mostly attributed to the underlying disease.</w:t>
      </w:r>
    </w:p>
    <w:p w14:paraId="694A73B4" w14:textId="77777777" w:rsidR="00E15A8A" w:rsidRPr="00E15A8A" w:rsidRDefault="00E15A8A" w:rsidP="00E15A8A">
      <w:pPr>
        <w:numPr>
          <w:ilvl w:val="0"/>
          <w:numId w:val="3"/>
        </w:numPr>
        <w:ind w:left="360"/>
        <w:jc w:val="both"/>
        <w:rPr>
          <w:rFonts w:eastAsia="Calibri"/>
          <w:bCs/>
          <w:kern w:val="2"/>
          <w:sz w:val="22"/>
          <w:szCs w:val="22"/>
          <w14:ligatures w14:val="standardContextual"/>
        </w:rPr>
      </w:pPr>
      <w:r w:rsidRPr="00E15A8A">
        <w:rPr>
          <w:rFonts w:eastAsia="Calibri"/>
          <w:bCs/>
          <w:kern w:val="2"/>
          <w:sz w:val="22"/>
          <w:szCs w:val="22"/>
          <w14:ligatures w14:val="standardContextual"/>
        </w:rPr>
        <w:t>Gedeptin addresses a significant medical need worldwide reflected in an estimated market potential at $15B+.</w:t>
      </w:r>
    </w:p>
    <w:p w14:paraId="6845BD85" w14:textId="77777777" w:rsidR="00E15A8A" w:rsidRPr="00E15A8A" w:rsidRDefault="00E15A8A" w:rsidP="00E15A8A">
      <w:pPr>
        <w:jc w:val="both"/>
        <w:rPr>
          <w:rFonts w:eastAsia="Calibri"/>
          <w:bCs/>
          <w:kern w:val="2"/>
          <w:sz w:val="22"/>
          <w:szCs w:val="22"/>
          <w14:ligatures w14:val="standardContextual"/>
        </w:rPr>
      </w:pPr>
    </w:p>
    <w:p w14:paraId="56847E31" w14:textId="77777777" w:rsidR="00E15A8A" w:rsidRPr="00E15A8A" w:rsidRDefault="00E15A8A" w:rsidP="00E15A8A">
      <w:pPr>
        <w:jc w:val="both"/>
        <w:rPr>
          <w:rFonts w:eastAsia="Calibri"/>
          <w:b/>
          <w:kern w:val="2"/>
          <w:sz w:val="22"/>
          <w:szCs w:val="22"/>
          <w14:ligatures w14:val="standardContextual"/>
        </w:rPr>
      </w:pPr>
      <w:r w:rsidRPr="00E15A8A">
        <w:rPr>
          <w:rFonts w:eastAsia="Calibri"/>
          <w:b/>
          <w:kern w:val="2"/>
          <w:sz w:val="22"/>
          <w:szCs w:val="22"/>
          <w14:ligatures w14:val="standardContextual"/>
        </w:rPr>
        <w:t>Other Corporate Updates</w:t>
      </w:r>
    </w:p>
    <w:p w14:paraId="33EA06B4" w14:textId="77777777" w:rsidR="00E15A8A" w:rsidRPr="00E15A8A" w:rsidRDefault="00E15A8A" w:rsidP="00E15A8A">
      <w:pPr>
        <w:numPr>
          <w:ilvl w:val="0"/>
          <w:numId w:val="3"/>
        </w:numPr>
        <w:ind w:left="360"/>
        <w:jc w:val="both"/>
        <w:rPr>
          <w:rFonts w:eastAsia="Calibri"/>
          <w:bCs/>
          <w:kern w:val="2"/>
          <w:sz w:val="22"/>
          <w:szCs w:val="22"/>
          <w14:ligatures w14:val="standardContextual"/>
        </w:rPr>
      </w:pPr>
      <w:r w:rsidRPr="00E15A8A">
        <w:rPr>
          <w:rFonts w:eastAsia="Calibri"/>
          <w:bCs/>
          <w:kern w:val="2"/>
          <w:sz w:val="22"/>
          <w:szCs w:val="22"/>
          <w14:ligatures w14:val="standardContextual"/>
        </w:rPr>
        <w:t>Issued a patent covering novel vaccine construct for preventing Malaria infection. The U.S. Patent and Trademark Office has issued U.S. Patent No. 12,329,808, from patent application No.18,394,580, titled “Compositions and Methods for Generating an Immune Response to Treat or Prevent Malaria.”</w:t>
      </w:r>
    </w:p>
    <w:p w14:paraId="340FE642" w14:textId="77777777" w:rsidR="00E15A8A" w:rsidRPr="00E15A8A" w:rsidRDefault="00E15A8A" w:rsidP="00E15A8A">
      <w:pPr>
        <w:numPr>
          <w:ilvl w:val="0"/>
          <w:numId w:val="3"/>
        </w:numPr>
        <w:ind w:left="360"/>
        <w:jc w:val="both"/>
        <w:rPr>
          <w:rFonts w:eastAsia="Calibri"/>
          <w:bCs/>
          <w:kern w:val="2"/>
          <w:sz w:val="22"/>
          <w:szCs w:val="22"/>
          <w14:ligatures w14:val="standardContextual"/>
        </w:rPr>
      </w:pPr>
      <w:r w:rsidRPr="00E15A8A">
        <w:rPr>
          <w:rFonts w:eastAsia="Calibri"/>
          <w:bCs/>
          <w:kern w:val="2"/>
          <w:sz w:val="22"/>
          <w:szCs w:val="22"/>
          <w14:ligatures w14:val="standardContextual"/>
        </w:rPr>
        <w:t xml:space="preserve">Issued additional patent claims covering the synergistic combination of Gedeptin therapy with radiation as a targeted approach for solid tumors. The U.S. Patent and Trademark Office has issued a Notice of Allowance related to U.S. patent application 17/502,101 entitled “Enhanced Therapeutic Usage of a Purine Nucleoside Phosphorylase or Nucleoside Hydrolase Prodrug”. The </w:t>
      </w:r>
      <w:proofErr w:type="gramStart"/>
      <w:r w:rsidRPr="00E15A8A">
        <w:rPr>
          <w:rFonts w:eastAsia="Calibri"/>
          <w:bCs/>
          <w:kern w:val="2"/>
          <w:sz w:val="22"/>
          <w:szCs w:val="22"/>
          <w14:ligatures w14:val="standardContextual"/>
        </w:rPr>
        <w:t>allowed claims</w:t>
      </w:r>
      <w:proofErr w:type="gramEnd"/>
      <w:r w:rsidRPr="00E15A8A">
        <w:rPr>
          <w:rFonts w:eastAsia="Calibri"/>
          <w:bCs/>
          <w:kern w:val="2"/>
          <w:sz w:val="22"/>
          <w:szCs w:val="22"/>
          <w14:ligatures w14:val="standardContextual"/>
        </w:rPr>
        <w:t xml:space="preserve"> further strengthen GeoVax’s intellectual property position in the oncology space.</w:t>
      </w:r>
    </w:p>
    <w:p w14:paraId="610134A9" w14:textId="77777777" w:rsidR="00E15A8A" w:rsidRPr="00E15A8A" w:rsidRDefault="00E15A8A" w:rsidP="00E15A8A">
      <w:pPr>
        <w:numPr>
          <w:ilvl w:val="0"/>
          <w:numId w:val="3"/>
        </w:numPr>
        <w:ind w:left="360"/>
        <w:jc w:val="both"/>
        <w:rPr>
          <w:rFonts w:eastAsia="Calibri"/>
          <w:bCs/>
          <w:kern w:val="2"/>
          <w:sz w:val="22"/>
          <w:szCs w:val="22"/>
          <w14:ligatures w14:val="standardContextual"/>
        </w:rPr>
      </w:pPr>
      <w:r w:rsidRPr="00E15A8A">
        <w:rPr>
          <w:rFonts w:eastAsia="Calibri"/>
          <w:bCs/>
          <w:kern w:val="2"/>
          <w:sz w:val="22"/>
          <w:szCs w:val="22"/>
          <w14:ligatures w14:val="standardContextual"/>
        </w:rPr>
        <w:t>Strengthened its leadership team with appointment of Dr. Senthil Ranganathan as Vice President, Technical Development and CMC Operations. Dr. Ranganathan brings over 20 years of experience in biologics development to commercialization across vaccines, cell and gene therapies, monoclonal antibodies, and viral vector products.</w:t>
      </w:r>
    </w:p>
    <w:p w14:paraId="064E2A90" w14:textId="77777777" w:rsidR="00E15A8A" w:rsidRPr="00E15A8A" w:rsidRDefault="00E15A8A" w:rsidP="00E15A8A">
      <w:pPr>
        <w:jc w:val="both"/>
        <w:rPr>
          <w:rFonts w:eastAsia="Calibri"/>
          <w:bCs/>
          <w:kern w:val="2"/>
          <w:sz w:val="22"/>
          <w:szCs w:val="22"/>
          <w14:ligatures w14:val="standardContextual"/>
        </w:rPr>
      </w:pPr>
    </w:p>
    <w:p w14:paraId="7FC390C1" w14:textId="77777777" w:rsidR="00E15A8A" w:rsidRPr="00E15A8A" w:rsidRDefault="00E15A8A" w:rsidP="00E15A8A">
      <w:pPr>
        <w:jc w:val="both"/>
        <w:rPr>
          <w:rFonts w:eastAsia="Calibri"/>
          <w:b/>
          <w:bCs/>
          <w:color w:val="000000"/>
          <w:kern w:val="2"/>
          <w:sz w:val="22"/>
          <w:szCs w:val="22"/>
          <w14:ligatures w14:val="standardContextual"/>
        </w:rPr>
      </w:pPr>
      <w:r w:rsidRPr="00E15A8A">
        <w:rPr>
          <w:rFonts w:eastAsia="Calibri"/>
          <w:b/>
          <w:bCs/>
          <w:color w:val="000000"/>
          <w:kern w:val="2"/>
          <w:sz w:val="22"/>
          <w:szCs w:val="22"/>
          <w14:ligatures w14:val="standardContextual"/>
        </w:rPr>
        <w:t>Second Quarter 2025 Financial Results</w:t>
      </w:r>
    </w:p>
    <w:p w14:paraId="0C953008" w14:textId="77777777" w:rsidR="00E15A8A" w:rsidRPr="00E15A8A" w:rsidRDefault="00E15A8A" w:rsidP="00E15A8A">
      <w:pPr>
        <w:jc w:val="both"/>
        <w:rPr>
          <w:rFonts w:eastAsia="Calibri"/>
          <w:b/>
          <w:bCs/>
          <w:color w:val="000000"/>
          <w:kern w:val="2"/>
          <w:sz w:val="22"/>
          <w:szCs w:val="22"/>
          <w14:ligatures w14:val="standardContextual"/>
        </w:rPr>
      </w:pPr>
    </w:p>
    <w:p w14:paraId="52605662" w14:textId="77777777" w:rsidR="00E15A8A" w:rsidRPr="00E15A8A" w:rsidRDefault="00E15A8A" w:rsidP="00E15A8A">
      <w:pPr>
        <w:jc w:val="both"/>
        <w:rPr>
          <w:color w:val="000000"/>
          <w:sz w:val="22"/>
          <w:szCs w:val="22"/>
        </w:rPr>
      </w:pPr>
      <w:r w:rsidRPr="00E15A8A">
        <w:rPr>
          <w:b/>
          <w:bCs/>
          <w:color w:val="000000"/>
          <w:sz w:val="22"/>
          <w:szCs w:val="22"/>
        </w:rPr>
        <w:t>Net Loss</w:t>
      </w:r>
      <w:r w:rsidRPr="00E15A8A">
        <w:rPr>
          <w:color w:val="000000"/>
          <w:sz w:val="22"/>
          <w:szCs w:val="22"/>
        </w:rPr>
        <w:t>: Net loss for the three-month period ended June 30, 2025, was $5,369,783, or $0.35 per share, as compared to $5,064,042, or $1.99 per share, for the comparable period in 2024.</w:t>
      </w:r>
      <w:r w:rsidRPr="00E15A8A">
        <w:rPr>
          <w:sz w:val="22"/>
          <w:szCs w:val="22"/>
        </w:rPr>
        <w:t xml:space="preserve"> For the six-month period ended June 30, 2025, the Company’s net loss was $10,727,434, or $0.79 per share, as compared to $10,914,174, or $4.68 per share, in 2024.</w:t>
      </w:r>
    </w:p>
    <w:p w14:paraId="54DEBF46" w14:textId="77777777" w:rsidR="00E15A8A" w:rsidRPr="00E15A8A" w:rsidRDefault="00E15A8A" w:rsidP="00E15A8A">
      <w:pPr>
        <w:jc w:val="both"/>
        <w:rPr>
          <w:b/>
          <w:bCs/>
          <w:color w:val="000000"/>
          <w:sz w:val="22"/>
          <w:szCs w:val="22"/>
        </w:rPr>
      </w:pPr>
    </w:p>
    <w:p w14:paraId="005CB9D3" w14:textId="77777777" w:rsidR="00E15A8A" w:rsidRPr="00E15A8A" w:rsidRDefault="00E15A8A" w:rsidP="00E15A8A">
      <w:pPr>
        <w:jc w:val="both"/>
        <w:rPr>
          <w:color w:val="000000"/>
          <w:sz w:val="22"/>
          <w:szCs w:val="22"/>
        </w:rPr>
      </w:pPr>
      <w:r w:rsidRPr="00E15A8A">
        <w:rPr>
          <w:b/>
          <w:bCs/>
          <w:color w:val="000000"/>
          <w:sz w:val="22"/>
          <w:szCs w:val="22"/>
        </w:rPr>
        <w:t>Revenue.</w:t>
      </w:r>
      <w:r w:rsidRPr="00E15A8A">
        <w:rPr>
          <w:color w:val="000000"/>
          <w:sz w:val="22"/>
          <w:szCs w:val="22"/>
        </w:rPr>
        <w:t xml:space="preserve">  </w:t>
      </w:r>
      <w:r w:rsidRPr="00E15A8A">
        <w:rPr>
          <w:sz w:val="22"/>
          <w:szCs w:val="22"/>
        </w:rPr>
        <w:t>During the three-month and six-month periods ending June 30, 2025, the Company reported $852,282 and $2,489,145 of government contract revenues associated with the BARDA/RRPV Project NextGen award, compared to $300,677 and $300,677 for the comparable periods in 2024.  During the second quarter of 2025 GeoVax received notification that BARDA determined to terminate the contract for convenience to the government.</w:t>
      </w:r>
    </w:p>
    <w:p w14:paraId="00517B85" w14:textId="77777777" w:rsidR="00E15A8A" w:rsidRPr="00E15A8A" w:rsidRDefault="00E15A8A" w:rsidP="00E15A8A">
      <w:pPr>
        <w:jc w:val="both"/>
        <w:rPr>
          <w:b/>
          <w:bCs/>
          <w:color w:val="000000"/>
          <w:sz w:val="22"/>
          <w:szCs w:val="22"/>
        </w:rPr>
      </w:pPr>
    </w:p>
    <w:p w14:paraId="50FC42B5" w14:textId="77777777" w:rsidR="00E15A8A" w:rsidRPr="00E15A8A" w:rsidRDefault="00E15A8A" w:rsidP="00E15A8A">
      <w:pPr>
        <w:jc w:val="both"/>
        <w:rPr>
          <w:color w:val="000000"/>
          <w:sz w:val="22"/>
          <w:szCs w:val="22"/>
        </w:rPr>
      </w:pPr>
      <w:r w:rsidRPr="00E15A8A">
        <w:rPr>
          <w:b/>
          <w:bCs/>
          <w:color w:val="000000"/>
          <w:sz w:val="22"/>
          <w:szCs w:val="22"/>
        </w:rPr>
        <w:t>R&amp;D Expenses</w:t>
      </w:r>
      <w:r w:rsidRPr="00E15A8A">
        <w:rPr>
          <w:color w:val="000000"/>
          <w:sz w:val="22"/>
          <w:szCs w:val="22"/>
        </w:rPr>
        <w:t>: Research and development expenses were $4,728,998 and $10,083,586 for the three-month and six-month periods ended June 30, 2025, compared with $4,276,868 and $8,702,596 for the comparable period in 2024, with the overall increase primarily due to program-specific costs associated with the BARDA/RRPV contract and GEO-MVA, partially offset by lower costs for the GEO-CM04S1 clinical trials and manufacturing costs not covered by the BARDA/RRPV contract.</w:t>
      </w:r>
    </w:p>
    <w:p w14:paraId="7897F41A" w14:textId="77777777" w:rsidR="00E15A8A" w:rsidRPr="00E15A8A" w:rsidRDefault="00E15A8A" w:rsidP="00E15A8A">
      <w:pPr>
        <w:jc w:val="both"/>
        <w:rPr>
          <w:b/>
          <w:bCs/>
          <w:color w:val="000000"/>
          <w:sz w:val="22"/>
          <w:szCs w:val="22"/>
        </w:rPr>
      </w:pPr>
    </w:p>
    <w:p w14:paraId="787C8646" w14:textId="77777777" w:rsidR="00E15A8A" w:rsidRPr="00E15A8A" w:rsidRDefault="00E15A8A" w:rsidP="00E15A8A">
      <w:pPr>
        <w:jc w:val="both"/>
        <w:rPr>
          <w:color w:val="000000"/>
          <w:sz w:val="22"/>
          <w:szCs w:val="22"/>
        </w:rPr>
      </w:pPr>
      <w:r w:rsidRPr="00E15A8A">
        <w:rPr>
          <w:b/>
          <w:bCs/>
          <w:color w:val="000000"/>
          <w:sz w:val="22"/>
          <w:szCs w:val="22"/>
        </w:rPr>
        <w:t>G&amp;A Expenses</w:t>
      </w:r>
      <w:r w:rsidRPr="00E15A8A">
        <w:rPr>
          <w:color w:val="000000"/>
          <w:sz w:val="22"/>
          <w:szCs w:val="22"/>
        </w:rPr>
        <w:t xml:space="preserve">: General and administrative expenses were $1,542,190 and $3,229,635 for the three-month and six-month periods ended June 30, 2025, compared to $1,086,030 and $2,543,383 for the comparable periods in 2024, with the overall increase primarily due to higher investor relations consulting costs and stock-based compensation expense.  </w:t>
      </w:r>
    </w:p>
    <w:p w14:paraId="5C381CF2" w14:textId="77777777" w:rsidR="00E15A8A" w:rsidRPr="00E15A8A" w:rsidRDefault="00E15A8A" w:rsidP="00E15A8A">
      <w:pPr>
        <w:jc w:val="both"/>
        <w:rPr>
          <w:b/>
          <w:bCs/>
          <w:color w:val="000000"/>
          <w:sz w:val="22"/>
          <w:szCs w:val="22"/>
        </w:rPr>
      </w:pPr>
    </w:p>
    <w:p w14:paraId="6FBB50F2" w14:textId="77777777" w:rsidR="00E15A8A" w:rsidRPr="00E15A8A" w:rsidRDefault="00E15A8A" w:rsidP="00E15A8A">
      <w:pPr>
        <w:jc w:val="both"/>
        <w:rPr>
          <w:color w:val="000000"/>
          <w:sz w:val="22"/>
          <w:szCs w:val="22"/>
        </w:rPr>
      </w:pPr>
      <w:r w:rsidRPr="00E15A8A">
        <w:rPr>
          <w:b/>
          <w:bCs/>
          <w:color w:val="000000"/>
          <w:sz w:val="22"/>
          <w:szCs w:val="22"/>
        </w:rPr>
        <w:t>Cash Position</w:t>
      </w:r>
      <w:r w:rsidRPr="00E15A8A">
        <w:rPr>
          <w:color w:val="000000"/>
          <w:sz w:val="22"/>
          <w:szCs w:val="22"/>
        </w:rPr>
        <w:t>: GeoVax reported cash balances of $3,093,862 at June 30, 2025, as compared to $5,506,941 at December 31, 2024.  During July 2025, the Company completed a public offering of common stock and warrants with net proceeds of approximately $5.6 million.</w:t>
      </w:r>
    </w:p>
    <w:p w14:paraId="001D3660" w14:textId="77777777" w:rsidR="00E15A8A" w:rsidRPr="00E15A8A" w:rsidRDefault="00E15A8A" w:rsidP="00E15A8A">
      <w:pPr>
        <w:shd w:val="clear" w:color="auto" w:fill="FFFFFF"/>
        <w:jc w:val="both"/>
        <w:rPr>
          <w:color w:val="000000"/>
          <w:sz w:val="22"/>
          <w:szCs w:val="22"/>
        </w:rPr>
      </w:pPr>
    </w:p>
    <w:p w14:paraId="7BBBA80F" w14:textId="77777777" w:rsidR="00E15A8A" w:rsidRPr="00E15A8A" w:rsidRDefault="00E15A8A" w:rsidP="00E15A8A">
      <w:pPr>
        <w:jc w:val="both"/>
        <w:rPr>
          <w:color w:val="000000"/>
          <w:sz w:val="22"/>
          <w:szCs w:val="22"/>
        </w:rPr>
      </w:pPr>
      <w:r w:rsidRPr="00E15A8A">
        <w:rPr>
          <w:color w:val="000000"/>
          <w:sz w:val="22"/>
          <w:szCs w:val="22"/>
        </w:rPr>
        <w:t>Summarized financial information is attached. Further information is included in the Company’s Quarterly Report on Form 10-Q filed with the Securities and Exchange Commission.</w:t>
      </w:r>
    </w:p>
    <w:p w14:paraId="692B4793" w14:textId="77777777" w:rsidR="00E15A8A" w:rsidRPr="00E15A8A" w:rsidRDefault="00E15A8A" w:rsidP="00E15A8A">
      <w:pPr>
        <w:jc w:val="both"/>
        <w:rPr>
          <w:rFonts w:eastAsia="Calibri"/>
          <w:b/>
          <w:bCs/>
          <w:color w:val="000000"/>
          <w:kern w:val="2"/>
          <w:sz w:val="22"/>
          <w:szCs w:val="22"/>
          <w14:ligatures w14:val="standardContextual"/>
        </w:rPr>
      </w:pPr>
    </w:p>
    <w:p w14:paraId="3C65D1DB" w14:textId="77777777" w:rsidR="00E15A8A" w:rsidRPr="00E15A8A" w:rsidRDefault="00E15A8A" w:rsidP="00E15A8A">
      <w:pPr>
        <w:rPr>
          <w:rFonts w:eastAsia="Calibri"/>
          <w:b/>
          <w:bCs/>
          <w:color w:val="000000"/>
          <w:kern w:val="2"/>
          <w:sz w:val="22"/>
          <w:szCs w:val="22"/>
          <w14:ligatures w14:val="standardContextual"/>
        </w:rPr>
      </w:pPr>
      <w:r w:rsidRPr="00E15A8A">
        <w:rPr>
          <w:rFonts w:eastAsia="Calibri"/>
          <w:b/>
          <w:bCs/>
          <w:color w:val="000000"/>
          <w:kern w:val="2"/>
          <w:sz w:val="22"/>
          <w:szCs w:val="22"/>
          <w14:ligatures w14:val="standardContextual"/>
        </w:rPr>
        <w:br w:type="page"/>
      </w:r>
    </w:p>
    <w:p w14:paraId="29309747" w14:textId="77777777" w:rsidR="00E15A8A" w:rsidRPr="00E15A8A" w:rsidRDefault="00E15A8A" w:rsidP="00E15A8A">
      <w:pPr>
        <w:jc w:val="both"/>
        <w:rPr>
          <w:rFonts w:eastAsia="Calibri"/>
          <w:b/>
          <w:bCs/>
          <w:color w:val="000000"/>
          <w:kern w:val="2"/>
          <w:sz w:val="22"/>
          <w:szCs w:val="22"/>
          <w14:ligatures w14:val="standardContextual"/>
        </w:rPr>
      </w:pPr>
      <w:r w:rsidRPr="00E15A8A">
        <w:rPr>
          <w:rFonts w:eastAsia="Calibri"/>
          <w:b/>
          <w:bCs/>
          <w:color w:val="000000"/>
          <w:kern w:val="2"/>
          <w:sz w:val="22"/>
          <w:szCs w:val="22"/>
          <w14:ligatures w14:val="standardContextual"/>
        </w:rPr>
        <w:lastRenderedPageBreak/>
        <w:t>Conference Call Details</w:t>
      </w:r>
    </w:p>
    <w:p w14:paraId="482834AB" w14:textId="77777777" w:rsidR="00E15A8A" w:rsidRPr="00E15A8A" w:rsidRDefault="00E15A8A" w:rsidP="00E15A8A">
      <w:pPr>
        <w:jc w:val="both"/>
        <w:rPr>
          <w:rFonts w:eastAsia="Calibri"/>
          <w:b/>
          <w:bCs/>
          <w:color w:val="000000"/>
          <w:kern w:val="2"/>
          <w:sz w:val="22"/>
          <w:szCs w:val="22"/>
          <w14:ligatures w14:val="standardContextual"/>
        </w:rPr>
      </w:pPr>
    </w:p>
    <w:p w14:paraId="49794E99" w14:textId="77777777" w:rsidR="00E15A8A" w:rsidRPr="00E15A8A" w:rsidRDefault="00E15A8A" w:rsidP="00E15A8A">
      <w:pPr>
        <w:jc w:val="both"/>
        <w:rPr>
          <w:rFonts w:eastAsia="Calibri"/>
          <w:kern w:val="2"/>
          <w:sz w:val="22"/>
          <w:szCs w:val="22"/>
          <w14:ligatures w14:val="standardContextual"/>
        </w:rPr>
      </w:pPr>
      <w:r w:rsidRPr="00E15A8A">
        <w:rPr>
          <w:rFonts w:eastAsia="Calibri"/>
          <w:kern w:val="2"/>
          <w:sz w:val="22"/>
          <w:szCs w:val="22"/>
          <w14:ligatures w14:val="standardContextual"/>
        </w:rPr>
        <w:t>Management will host a conference call and live audio webcast today, July 28, 2025, at 4:30 p.m. ET to review financial results and provide an update on corporate developments. A question-and-answer session will follow management’s formal remarks.</w:t>
      </w:r>
    </w:p>
    <w:p w14:paraId="4DC9328D" w14:textId="77777777" w:rsidR="00E15A8A" w:rsidRPr="00E15A8A" w:rsidRDefault="00E15A8A" w:rsidP="00E15A8A">
      <w:pPr>
        <w:jc w:val="both"/>
        <w:rPr>
          <w:rFonts w:eastAsia="Calibri"/>
          <w:kern w:val="2"/>
          <w:sz w:val="22"/>
          <w:szCs w:val="22"/>
          <w14:ligatures w14:val="standardContextual"/>
        </w:rPr>
      </w:pPr>
    </w:p>
    <w:p w14:paraId="3AA52570" w14:textId="77777777" w:rsidR="00E15A8A" w:rsidRPr="00E15A8A" w:rsidRDefault="00E15A8A" w:rsidP="00E15A8A">
      <w:pPr>
        <w:jc w:val="both"/>
        <w:rPr>
          <w:rFonts w:eastAsia="Calibri"/>
          <w:kern w:val="2"/>
          <w:sz w:val="22"/>
          <w:szCs w:val="22"/>
          <w14:ligatures w14:val="standardContextual"/>
        </w:rPr>
      </w:pPr>
      <w:r w:rsidRPr="00E15A8A">
        <w:rPr>
          <w:rFonts w:eastAsia="Calibri"/>
          <w:kern w:val="2"/>
          <w:sz w:val="22"/>
          <w:szCs w:val="22"/>
          <w14:ligatures w14:val="standardContextual"/>
        </w:rPr>
        <w:t xml:space="preserve">To access the live conference call, participants may register </w:t>
      </w:r>
      <w:hyperlink r:id="rId9" w:history="1">
        <w:r w:rsidRPr="00E15A8A">
          <w:rPr>
            <w:rFonts w:eastAsia="Calibri"/>
            <w:color w:val="0000FF"/>
            <w:kern w:val="2"/>
            <w:sz w:val="22"/>
            <w:szCs w:val="22"/>
            <w:u w:val="single"/>
            <w14:ligatures w14:val="standardContextual"/>
          </w:rPr>
          <w:t>here</w:t>
        </w:r>
      </w:hyperlink>
      <w:r w:rsidRPr="00E15A8A">
        <w:rPr>
          <w:rFonts w:eastAsia="Calibri"/>
          <w:kern w:val="2"/>
          <w:sz w:val="22"/>
          <w:szCs w:val="22"/>
          <w14:ligatures w14:val="standardContextual"/>
        </w:rPr>
        <w:t xml:space="preserve">. The live audio webcast of the call will be available under "Events and Presentations" in the Investor Relations section of the GeoVax website at </w:t>
      </w:r>
      <w:hyperlink r:id="rId10" w:history="1">
        <w:r w:rsidRPr="00E15A8A">
          <w:rPr>
            <w:rFonts w:eastAsia="Calibri"/>
            <w:color w:val="0000FF"/>
            <w:kern w:val="2"/>
            <w:sz w:val="22"/>
            <w:szCs w:val="22"/>
            <w:u w:val="single"/>
            <w14:ligatures w14:val="standardContextual"/>
          </w:rPr>
          <w:t>geovax.com/investors</w:t>
        </w:r>
      </w:hyperlink>
      <w:r w:rsidRPr="00E15A8A">
        <w:rPr>
          <w:rFonts w:eastAsia="Calibri"/>
          <w:kern w:val="2"/>
          <w:sz w:val="22"/>
          <w:szCs w:val="22"/>
          <w14:ligatures w14:val="standardContextual"/>
        </w:rPr>
        <w:t xml:space="preserve">. To participate via telephone, please register in advance </w:t>
      </w:r>
      <w:hyperlink r:id="rId11" w:history="1">
        <w:r w:rsidRPr="00E15A8A">
          <w:rPr>
            <w:rFonts w:eastAsia="Calibri"/>
            <w:color w:val="0000FF"/>
            <w:kern w:val="2"/>
            <w:sz w:val="22"/>
            <w:szCs w:val="22"/>
            <w:u w:val="single"/>
            <w14:ligatures w14:val="standardContextual"/>
          </w:rPr>
          <w:t>here</w:t>
        </w:r>
      </w:hyperlink>
      <w:r w:rsidRPr="00E15A8A">
        <w:rPr>
          <w:rFonts w:eastAsia="Calibri"/>
          <w:kern w:val="2"/>
          <w:sz w:val="22"/>
          <w:szCs w:val="22"/>
          <w14:ligatures w14:val="standardContextual"/>
        </w:rPr>
        <w:t xml:space="preserve">. Upon registration, all telephone participants will receive a confirmation email detailing how to join the conference call, including the dial-in number along with a unique passcode and registrant ID that can be used to access the call. While not required, it is recommended that participants join the call ten minutes prior to the scheduled start. </w:t>
      </w:r>
    </w:p>
    <w:p w14:paraId="6C9A07D6" w14:textId="77777777" w:rsidR="00E15A8A" w:rsidRPr="00E15A8A" w:rsidRDefault="00E15A8A" w:rsidP="00E15A8A">
      <w:pPr>
        <w:jc w:val="both"/>
        <w:rPr>
          <w:rFonts w:eastAsia="Calibri"/>
          <w:kern w:val="2"/>
          <w:sz w:val="22"/>
          <w:szCs w:val="22"/>
          <w14:ligatures w14:val="standardContextual"/>
        </w:rPr>
      </w:pPr>
    </w:p>
    <w:p w14:paraId="6C2B87E3" w14:textId="77777777" w:rsidR="00E15A8A" w:rsidRPr="00E15A8A" w:rsidRDefault="00E15A8A" w:rsidP="00E15A8A">
      <w:pPr>
        <w:jc w:val="both"/>
        <w:rPr>
          <w:rFonts w:eastAsia="Calibri"/>
          <w:kern w:val="2"/>
          <w:sz w:val="22"/>
          <w:szCs w:val="22"/>
          <w14:ligatures w14:val="standardContextual"/>
        </w:rPr>
      </w:pPr>
      <w:r w:rsidRPr="00E15A8A">
        <w:rPr>
          <w:rFonts w:eastAsia="Calibri"/>
          <w:kern w:val="2"/>
          <w:sz w:val="22"/>
          <w:szCs w:val="22"/>
          <w14:ligatures w14:val="standardContextual"/>
        </w:rPr>
        <w:t>An archive of the audio webcast will be available on GeoVax’s website approximately two hours after the conference call and will remain available for at least 90 days following the event.</w:t>
      </w:r>
    </w:p>
    <w:p w14:paraId="5D090613" w14:textId="77777777" w:rsidR="00E15A8A" w:rsidRPr="00E15A8A" w:rsidRDefault="00E15A8A" w:rsidP="00E15A8A">
      <w:pPr>
        <w:jc w:val="both"/>
        <w:rPr>
          <w:rFonts w:eastAsia="SimSun"/>
          <w:b/>
          <w:bCs/>
          <w:sz w:val="22"/>
          <w:szCs w:val="22"/>
        </w:rPr>
      </w:pPr>
    </w:p>
    <w:p w14:paraId="3E3AF56C" w14:textId="77777777" w:rsidR="00E15A8A" w:rsidRPr="00E15A8A" w:rsidRDefault="00E15A8A" w:rsidP="00E15A8A">
      <w:pPr>
        <w:jc w:val="both"/>
        <w:rPr>
          <w:sz w:val="22"/>
          <w:szCs w:val="22"/>
        </w:rPr>
      </w:pPr>
      <w:r w:rsidRPr="00E15A8A">
        <w:rPr>
          <w:rFonts w:eastAsia="SimSun"/>
          <w:b/>
          <w:bCs/>
          <w:sz w:val="22"/>
          <w:szCs w:val="22"/>
        </w:rPr>
        <w:t>About GeoVax</w:t>
      </w:r>
    </w:p>
    <w:p w14:paraId="76E60700" w14:textId="77777777" w:rsidR="00E15A8A" w:rsidRPr="00E15A8A" w:rsidRDefault="00E15A8A" w:rsidP="00E15A8A">
      <w:pPr>
        <w:jc w:val="both"/>
        <w:rPr>
          <w:rFonts w:eastAsia="SimSun"/>
          <w:color w:val="000000"/>
          <w:sz w:val="22"/>
          <w:szCs w:val="22"/>
        </w:rPr>
      </w:pPr>
    </w:p>
    <w:p w14:paraId="71A771E0" w14:textId="77777777" w:rsidR="00E15A8A" w:rsidRPr="00E15A8A" w:rsidRDefault="00E15A8A" w:rsidP="00E15A8A">
      <w:pPr>
        <w:jc w:val="both"/>
        <w:rPr>
          <w:rFonts w:eastAsia="SimSun"/>
          <w:color w:val="000000"/>
          <w:sz w:val="22"/>
          <w:szCs w:val="22"/>
        </w:rPr>
      </w:pPr>
      <w:r w:rsidRPr="00E15A8A">
        <w:rPr>
          <w:rFonts w:eastAsia="SimSun"/>
          <w:color w:val="000000"/>
          <w:sz w:val="22"/>
          <w:szCs w:val="22"/>
        </w:rPr>
        <w:t>GeoVax Labs, Inc. is a clinical-stage biotechnology company developing novel vaccines against infectious diseases and therapies for solid tumor cancers. The Company’s lead clinical program is GEO-CM04S1, a next-generation COVID-19 vaccine currently in three Phase 2 clinical trials, being evaluated as (1) a primary vaccine for immunocompromised patients such as those suffering from hematologic cancers and other patient populations for whom the current authorized COVID-19 vaccines are insufficient, (2) a booster vaccine in patients with chronic lymphocytic leukemia (CLL) and (3) a more robust, durable COVID-19 booster among healthy patients who previously received the mRNA vaccines. In oncology the lead clinical program is evaluating a novel oncolytic solid tumor gene-directed therapy, Gedeptin</w:t>
      </w:r>
      <w:r w:rsidRPr="00E15A8A">
        <w:rPr>
          <w:rFonts w:eastAsia="SimSun"/>
          <w:color w:val="000000"/>
          <w:sz w:val="22"/>
          <w:szCs w:val="22"/>
          <w:vertAlign w:val="superscript"/>
        </w:rPr>
        <w:t>®</w:t>
      </w:r>
      <w:r w:rsidRPr="00E15A8A">
        <w:rPr>
          <w:rFonts w:eastAsia="SimSun"/>
          <w:color w:val="000000"/>
          <w:sz w:val="22"/>
          <w:szCs w:val="22"/>
        </w:rPr>
        <w:t xml:space="preserve">, having recently completed a multicenter Phase 1/2 clinical trial for advanced head and neck cancers. </w:t>
      </w:r>
      <w:r w:rsidRPr="00E15A8A">
        <w:rPr>
          <w:sz w:val="22"/>
          <w:szCs w:val="22"/>
        </w:rPr>
        <w:t>GeoVax is also developing a vaccine targeting Mpox and smallpox and, based on recent regulatory guidance, anticipates progressing directly to a Phase 3 clinical evaluation, omitting Phase 1 and Phase 2 trials. GeoV</w:t>
      </w:r>
      <w:r w:rsidRPr="00E15A8A">
        <w:rPr>
          <w:rFonts w:eastAsia="SimSun"/>
          <w:color w:val="000000"/>
          <w:sz w:val="22"/>
          <w:szCs w:val="22"/>
        </w:rPr>
        <w:t xml:space="preserve">ax has a strong IP portfolio in support of its technologies and product candidates, holding worldwide rights for its technologies and products. For more information about the </w:t>
      </w:r>
      <w:proofErr w:type="gramStart"/>
      <w:r w:rsidRPr="00E15A8A">
        <w:rPr>
          <w:rFonts w:eastAsia="SimSun"/>
          <w:color w:val="000000"/>
          <w:sz w:val="22"/>
          <w:szCs w:val="22"/>
        </w:rPr>
        <w:t>current status</w:t>
      </w:r>
      <w:proofErr w:type="gramEnd"/>
      <w:r w:rsidRPr="00E15A8A">
        <w:rPr>
          <w:rFonts w:eastAsia="SimSun"/>
          <w:color w:val="000000"/>
          <w:sz w:val="22"/>
          <w:szCs w:val="22"/>
        </w:rPr>
        <w:t xml:space="preserve"> of our clinical trials and other updates, visit our website: </w:t>
      </w:r>
      <w:hyperlink r:id="rId12" w:history="1">
        <w:r w:rsidRPr="00E15A8A">
          <w:rPr>
            <w:rFonts w:eastAsia="SimSun"/>
            <w:color w:val="0000FF"/>
            <w:sz w:val="22"/>
            <w:szCs w:val="22"/>
            <w:u w:val="single"/>
          </w:rPr>
          <w:t>www.geovax.com</w:t>
        </w:r>
      </w:hyperlink>
      <w:r w:rsidRPr="00E15A8A">
        <w:rPr>
          <w:rFonts w:eastAsia="SimSun"/>
          <w:color w:val="000000"/>
          <w:sz w:val="22"/>
          <w:szCs w:val="22"/>
        </w:rPr>
        <w:t>.</w:t>
      </w:r>
    </w:p>
    <w:p w14:paraId="3FC8875A" w14:textId="77777777" w:rsidR="00E15A8A" w:rsidRPr="00E15A8A" w:rsidRDefault="00E15A8A" w:rsidP="00E15A8A">
      <w:pPr>
        <w:jc w:val="both"/>
        <w:outlineLvl w:val="0"/>
        <w:rPr>
          <w:rFonts w:eastAsia="SimSun"/>
          <w:bCs/>
          <w:iCs/>
          <w:sz w:val="22"/>
          <w:szCs w:val="22"/>
        </w:rPr>
      </w:pPr>
    </w:p>
    <w:p w14:paraId="0AFD4D9B" w14:textId="77777777" w:rsidR="00E15A8A" w:rsidRPr="00E15A8A" w:rsidRDefault="00E15A8A" w:rsidP="00E15A8A">
      <w:pPr>
        <w:jc w:val="both"/>
        <w:rPr>
          <w:i/>
          <w:iCs/>
          <w:sz w:val="22"/>
          <w:szCs w:val="22"/>
        </w:rPr>
      </w:pPr>
      <w:r w:rsidRPr="00E15A8A">
        <w:rPr>
          <w:i/>
          <w:iCs/>
          <w:sz w:val="22"/>
          <w:szCs w:val="22"/>
        </w:rPr>
        <w:t>Forward-Looking Statements</w:t>
      </w:r>
    </w:p>
    <w:p w14:paraId="3296F8D8" w14:textId="77777777" w:rsidR="00E15A8A" w:rsidRPr="00E15A8A" w:rsidRDefault="00E15A8A" w:rsidP="00E15A8A">
      <w:pPr>
        <w:shd w:val="clear" w:color="auto" w:fill="FFFFFF"/>
        <w:jc w:val="both"/>
        <w:rPr>
          <w:sz w:val="22"/>
          <w:szCs w:val="22"/>
        </w:rPr>
      </w:pPr>
    </w:p>
    <w:p w14:paraId="64D53F86" w14:textId="77777777" w:rsidR="00E15A8A" w:rsidRPr="00E15A8A" w:rsidRDefault="00E15A8A" w:rsidP="00E15A8A">
      <w:pPr>
        <w:shd w:val="clear" w:color="auto" w:fill="FFFFFF"/>
        <w:jc w:val="both"/>
        <w:rPr>
          <w:rFonts w:eastAsia="SimSun"/>
          <w:i/>
          <w:iCs/>
          <w:sz w:val="22"/>
          <w:szCs w:val="22"/>
        </w:rPr>
      </w:pPr>
      <w:r w:rsidRPr="00E15A8A">
        <w:rPr>
          <w:rFonts w:eastAsia="SimSun"/>
          <w:i/>
          <w:iCs/>
          <w:sz w:val="22"/>
          <w:szCs w:val="22"/>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competitive products that may be more effective or easier to use than GeoVax’s products, </w:t>
      </w:r>
      <w:r w:rsidRPr="00E15A8A">
        <w:rPr>
          <w:rFonts w:eastAsia="SimSun"/>
          <w:i/>
          <w:iCs/>
          <w:sz w:val="22"/>
          <w:szCs w:val="22"/>
        </w:rPr>
        <w:lastRenderedPageBreak/>
        <w:t>GeoVax will be able to enter into favorable manufacturing and distribution agreements, and other factors, over which GeoVax has no control.</w:t>
      </w:r>
    </w:p>
    <w:p w14:paraId="63F2D557" w14:textId="77777777" w:rsidR="00E15A8A" w:rsidRPr="00E15A8A" w:rsidRDefault="00E15A8A" w:rsidP="00E15A8A">
      <w:pPr>
        <w:shd w:val="clear" w:color="auto" w:fill="FFFFFF"/>
        <w:jc w:val="both"/>
        <w:rPr>
          <w:rFonts w:eastAsia="SimSun"/>
          <w:i/>
          <w:iCs/>
          <w:sz w:val="22"/>
          <w:szCs w:val="22"/>
        </w:rPr>
      </w:pPr>
    </w:p>
    <w:p w14:paraId="75EF4664" w14:textId="77777777" w:rsidR="00E15A8A" w:rsidRPr="00E15A8A" w:rsidRDefault="00E15A8A" w:rsidP="00E15A8A">
      <w:pPr>
        <w:shd w:val="clear" w:color="auto" w:fill="FFFFFF"/>
        <w:jc w:val="both"/>
        <w:rPr>
          <w:rFonts w:eastAsia="SimSun"/>
          <w:i/>
          <w:iCs/>
          <w:sz w:val="22"/>
          <w:szCs w:val="22"/>
        </w:rPr>
      </w:pPr>
      <w:r w:rsidRPr="00E15A8A">
        <w:rPr>
          <w:rFonts w:eastAsia="SimSun"/>
          <w:i/>
          <w:iCs/>
          <w:sz w:val="22"/>
          <w:szCs w:val="22"/>
        </w:rPr>
        <w:t xml:space="preserve">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E15A8A">
        <w:rPr>
          <w:rFonts w:eastAsia="SimSun"/>
          <w:i/>
          <w:iCs/>
          <w:sz w:val="22"/>
          <w:szCs w:val="22"/>
        </w:rPr>
        <w:t>as a result of</w:t>
      </w:r>
      <w:proofErr w:type="gramEnd"/>
      <w:r w:rsidRPr="00E15A8A">
        <w:rPr>
          <w:rFonts w:eastAsia="SimSun"/>
          <w:i/>
          <w:iCs/>
          <w:sz w:val="22"/>
          <w:szCs w:val="22"/>
        </w:rPr>
        <w:t xml:space="preserve"> new information, future developments or otherwise, except as may be required by law.</w:t>
      </w:r>
    </w:p>
    <w:p w14:paraId="776C57B8" w14:textId="77777777" w:rsidR="00E15A8A" w:rsidRPr="00E15A8A" w:rsidRDefault="00E15A8A" w:rsidP="00E15A8A">
      <w:pPr>
        <w:jc w:val="both"/>
        <w:rPr>
          <w:bCs/>
          <w:sz w:val="22"/>
          <w:szCs w:val="22"/>
        </w:rPr>
      </w:pPr>
    </w:p>
    <w:p w14:paraId="126E358B" w14:textId="77777777" w:rsidR="00E15A8A" w:rsidRPr="00E15A8A" w:rsidRDefault="00E15A8A" w:rsidP="00E15A8A">
      <w:pPr>
        <w:tabs>
          <w:tab w:val="left" w:pos="2880"/>
          <w:tab w:val="left" w:pos="6480"/>
        </w:tabs>
        <w:jc w:val="both"/>
        <w:rPr>
          <w:bCs/>
          <w:sz w:val="22"/>
          <w:szCs w:val="22"/>
        </w:rPr>
      </w:pPr>
    </w:p>
    <w:p w14:paraId="2908C72D" w14:textId="77777777" w:rsidR="00E15A8A" w:rsidRPr="00E15A8A" w:rsidRDefault="00E15A8A" w:rsidP="00E15A8A">
      <w:pPr>
        <w:tabs>
          <w:tab w:val="left" w:pos="2880"/>
          <w:tab w:val="left" w:pos="6480"/>
        </w:tabs>
        <w:jc w:val="both"/>
        <w:rPr>
          <w:b/>
          <w:sz w:val="22"/>
          <w:szCs w:val="22"/>
        </w:rPr>
      </w:pPr>
      <w:r w:rsidRPr="00E15A8A">
        <w:rPr>
          <w:b/>
          <w:sz w:val="22"/>
          <w:szCs w:val="22"/>
        </w:rPr>
        <w:t>Company Contact:</w:t>
      </w:r>
    </w:p>
    <w:p w14:paraId="50CDCD3B" w14:textId="77777777" w:rsidR="00E15A8A" w:rsidRPr="00E15A8A" w:rsidRDefault="00E15A8A" w:rsidP="00E15A8A">
      <w:pPr>
        <w:tabs>
          <w:tab w:val="left" w:pos="2880"/>
          <w:tab w:val="left" w:pos="6480"/>
        </w:tabs>
        <w:jc w:val="both"/>
        <w:rPr>
          <w:sz w:val="22"/>
          <w:szCs w:val="22"/>
        </w:rPr>
      </w:pPr>
      <w:hyperlink r:id="rId13" w:history="1">
        <w:r w:rsidRPr="00E15A8A">
          <w:rPr>
            <w:bCs/>
            <w:color w:val="0000FF"/>
            <w:sz w:val="22"/>
            <w:szCs w:val="22"/>
            <w:u w:val="single"/>
          </w:rPr>
          <w:t>info@geovax.com</w:t>
        </w:r>
      </w:hyperlink>
    </w:p>
    <w:p w14:paraId="02474002" w14:textId="77777777" w:rsidR="00E15A8A" w:rsidRPr="00E15A8A" w:rsidRDefault="00E15A8A" w:rsidP="00E15A8A">
      <w:pPr>
        <w:tabs>
          <w:tab w:val="left" w:pos="2880"/>
          <w:tab w:val="left" w:pos="6480"/>
        </w:tabs>
        <w:jc w:val="both"/>
        <w:rPr>
          <w:sz w:val="22"/>
          <w:szCs w:val="22"/>
        </w:rPr>
      </w:pPr>
      <w:r w:rsidRPr="00E15A8A">
        <w:rPr>
          <w:bCs/>
          <w:sz w:val="22"/>
          <w:szCs w:val="22"/>
        </w:rPr>
        <w:t>678-384-7220</w:t>
      </w:r>
    </w:p>
    <w:p w14:paraId="026F2B9A" w14:textId="77777777" w:rsidR="00E15A8A" w:rsidRPr="00E15A8A" w:rsidRDefault="00E15A8A" w:rsidP="00E15A8A">
      <w:pPr>
        <w:tabs>
          <w:tab w:val="left" w:pos="2880"/>
          <w:tab w:val="left" w:pos="6480"/>
        </w:tabs>
        <w:jc w:val="both"/>
        <w:rPr>
          <w:sz w:val="22"/>
          <w:szCs w:val="22"/>
        </w:rPr>
      </w:pPr>
    </w:p>
    <w:p w14:paraId="7DE86020" w14:textId="77777777" w:rsidR="00E15A8A" w:rsidRPr="00E15A8A" w:rsidRDefault="00E15A8A" w:rsidP="00E15A8A">
      <w:pPr>
        <w:tabs>
          <w:tab w:val="left" w:pos="2880"/>
          <w:tab w:val="left" w:pos="6480"/>
        </w:tabs>
        <w:jc w:val="both"/>
        <w:rPr>
          <w:b/>
          <w:sz w:val="22"/>
          <w:szCs w:val="22"/>
        </w:rPr>
      </w:pPr>
      <w:r w:rsidRPr="00E15A8A">
        <w:rPr>
          <w:b/>
          <w:sz w:val="22"/>
          <w:szCs w:val="22"/>
        </w:rPr>
        <w:t>Investor Relations Contact:</w:t>
      </w:r>
    </w:p>
    <w:p w14:paraId="56BCB0C4" w14:textId="77777777" w:rsidR="00E15A8A" w:rsidRPr="00E15A8A" w:rsidRDefault="00E15A8A" w:rsidP="00E15A8A">
      <w:pPr>
        <w:tabs>
          <w:tab w:val="left" w:pos="2880"/>
          <w:tab w:val="left" w:pos="6480"/>
        </w:tabs>
        <w:jc w:val="both"/>
        <w:rPr>
          <w:sz w:val="22"/>
          <w:szCs w:val="22"/>
        </w:rPr>
      </w:pPr>
      <w:hyperlink r:id="rId14" w:history="1">
        <w:r w:rsidRPr="00E15A8A">
          <w:rPr>
            <w:color w:val="0000FF"/>
            <w:sz w:val="22"/>
            <w:szCs w:val="22"/>
            <w:u w:val="single"/>
          </w:rPr>
          <w:t>geovax@precisionaq.com</w:t>
        </w:r>
      </w:hyperlink>
    </w:p>
    <w:p w14:paraId="1FD63F39" w14:textId="77777777" w:rsidR="00E15A8A" w:rsidRPr="00E15A8A" w:rsidRDefault="00E15A8A" w:rsidP="00E15A8A">
      <w:pPr>
        <w:tabs>
          <w:tab w:val="left" w:pos="2880"/>
          <w:tab w:val="left" w:pos="6480"/>
        </w:tabs>
        <w:jc w:val="both"/>
        <w:rPr>
          <w:bCs/>
          <w:sz w:val="22"/>
          <w:szCs w:val="22"/>
          <w:lang w:val="es-ES"/>
        </w:rPr>
      </w:pPr>
      <w:r w:rsidRPr="00E15A8A">
        <w:rPr>
          <w:bCs/>
          <w:sz w:val="22"/>
          <w:szCs w:val="22"/>
          <w:lang w:val="es-ES"/>
        </w:rPr>
        <w:t>212-698-8696</w:t>
      </w:r>
    </w:p>
    <w:p w14:paraId="79443662" w14:textId="77777777" w:rsidR="00E15A8A" w:rsidRPr="00E15A8A" w:rsidRDefault="00E15A8A" w:rsidP="00E15A8A">
      <w:pPr>
        <w:tabs>
          <w:tab w:val="left" w:pos="2880"/>
          <w:tab w:val="left" w:pos="6480"/>
        </w:tabs>
        <w:jc w:val="both"/>
        <w:rPr>
          <w:bCs/>
          <w:sz w:val="22"/>
          <w:szCs w:val="22"/>
          <w:lang w:val="es-ES"/>
        </w:rPr>
      </w:pPr>
    </w:p>
    <w:p w14:paraId="48E75526" w14:textId="77777777" w:rsidR="00E15A8A" w:rsidRPr="00E15A8A" w:rsidRDefault="00E15A8A" w:rsidP="00E15A8A">
      <w:pPr>
        <w:tabs>
          <w:tab w:val="left" w:pos="2880"/>
          <w:tab w:val="left" w:pos="6480"/>
        </w:tabs>
        <w:jc w:val="both"/>
        <w:rPr>
          <w:b/>
          <w:sz w:val="22"/>
          <w:szCs w:val="22"/>
          <w:lang w:val="es-ES"/>
        </w:rPr>
      </w:pPr>
      <w:r w:rsidRPr="00E15A8A">
        <w:rPr>
          <w:b/>
          <w:sz w:val="22"/>
          <w:szCs w:val="22"/>
          <w:lang w:val="es-ES"/>
        </w:rPr>
        <w:t xml:space="preserve">Media </w:t>
      </w:r>
      <w:proofErr w:type="spellStart"/>
      <w:r w:rsidRPr="00E15A8A">
        <w:rPr>
          <w:b/>
          <w:sz w:val="22"/>
          <w:szCs w:val="22"/>
          <w:lang w:val="es-ES"/>
        </w:rPr>
        <w:t>Contact</w:t>
      </w:r>
      <w:proofErr w:type="spellEnd"/>
      <w:r w:rsidRPr="00E15A8A">
        <w:rPr>
          <w:b/>
          <w:sz w:val="22"/>
          <w:szCs w:val="22"/>
          <w:lang w:val="es-ES"/>
        </w:rPr>
        <w:t>:</w:t>
      </w:r>
    </w:p>
    <w:p w14:paraId="6DBA5CE8" w14:textId="77777777" w:rsidR="00E15A8A" w:rsidRPr="00E15A8A" w:rsidRDefault="00E15A8A" w:rsidP="00E15A8A">
      <w:pPr>
        <w:tabs>
          <w:tab w:val="left" w:pos="2880"/>
          <w:tab w:val="left" w:pos="6480"/>
        </w:tabs>
        <w:jc w:val="both"/>
        <w:rPr>
          <w:sz w:val="22"/>
          <w:szCs w:val="22"/>
          <w:lang w:val="es-ES"/>
        </w:rPr>
      </w:pPr>
      <w:r w:rsidRPr="00E15A8A">
        <w:rPr>
          <w:sz w:val="22"/>
          <w:szCs w:val="22"/>
          <w:lang w:val="es-ES"/>
        </w:rPr>
        <w:t>Jessica Starman</w:t>
      </w:r>
    </w:p>
    <w:p w14:paraId="218B22C6" w14:textId="77777777" w:rsidR="00E15A8A" w:rsidRPr="00E15A8A" w:rsidRDefault="00E15A8A" w:rsidP="00E15A8A">
      <w:pPr>
        <w:tabs>
          <w:tab w:val="left" w:pos="2880"/>
          <w:tab w:val="left" w:pos="6480"/>
        </w:tabs>
        <w:jc w:val="both"/>
        <w:rPr>
          <w:bCs/>
          <w:sz w:val="22"/>
          <w:szCs w:val="22"/>
          <w:lang w:val="es-ES"/>
        </w:rPr>
      </w:pPr>
      <w:hyperlink r:id="rId15" w:history="1">
        <w:r w:rsidRPr="00E15A8A">
          <w:rPr>
            <w:bCs/>
            <w:color w:val="0000FF"/>
            <w:sz w:val="22"/>
            <w:szCs w:val="22"/>
            <w:u w:val="single"/>
            <w:lang w:val="es-ES"/>
          </w:rPr>
          <w:t>media@geovax.com</w:t>
        </w:r>
      </w:hyperlink>
      <w:r w:rsidRPr="00E15A8A">
        <w:rPr>
          <w:bCs/>
          <w:sz w:val="22"/>
          <w:szCs w:val="22"/>
          <w:lang w:val="es-ES"/>
        </w:rPr>
        <w:t xml:space="preserve">  </w:t>
      </w:r>
    </w:p>
    <w:p w14:paraId="71C1CE62" w14:textId="77777777" w:rsidR="00E15A8A" w:rsidRPr="00E15A8A" w:rsidRDefault="00E15A8A" w:rsidP="00E15A8A">
      <w:pPr>
        <w:rPr>
          <w:sz w:val="22"/>
          <w:szCs w:val="22"/>
          <w:lang w:val="es-ES"/>
        </w:rPr>
      </w:pPr>
    </w:p>
    <w:p w14:paraId="3317783E" w14:textId="77777777" w:rsidR="00E15A8A" w:rsidRPr="00E15A8A" w:rsidRDefault="00E15A8A" w:rsidP="00E15A8A">
      <w:pPr>
        <w:jc w:val="both"/>
        <w:rPr>
          <w:sz w:val="22"/>
          <w:szCs w:val="22"/>
          <w:lang w:val="es-ES"/>
        </w:rPr>
      </w:pPr>
    </w:p>
    <w:p w14:paraId="266CB911" w14:textId="77777777" w:rsidR="00E15A8A" w:rsidRPr="00E15A8A" w:rsidRDefault="00E15A8A" w:rsidP="00E15A8A">
      <w:pPr>
        <w:jc w:val="center"/>
        <w:rPr>
          <w:sz w:val="22"/>
          <w:szCs w:val="22"/>
        </w:rPr>
      </w:pPr>
      <w:r w:rsidRPr="00E15A8A">
        <w:rPr>
          <w:b/>
          <w:sz w:val="22"/>
          <w:szCs w:val="22"/>
        </w:rPr>
        <w:t>FINANCIAL TABLES FOLLOW</w:t>
      </w:r>
    </w:p>
    <w:p w14:paraId="34049326" w14:textId="77777777" w:rsidR="00E15A8A" w:rsidRPr="00E15A8A" w:rsidRDefault="00E15A8A" w:rsidP="00E15A8A">
      <w:pPr>
        <w:rPr>
          <w:szCs w:val="20"/>
        </w:rPr>
        <w:sectPr w:rsidR="00E15A8A" w:rsidRPr="00E15A8A" w:rsidSect="00E15A8A">
          <w:footerReference w:type="default" r:id="rId16"/>
          <w:headerReference w:type="first" r:id="rId17"/>
          <w:footerReference w:type="first" r:id="rId18"/>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30"/>
        <w:gridCol w:w="448"/>
        <w:gridCol w:w="1208"/>
        <w:gridCol w:w="1208"/>
        <w:gridCol w:w="1208"/>
        <w:gridCol w:w="1208"/>
      </w:tblGrid>
      <w:tr w:rsidR="00E15A8A" w:rsidRPr="00E15A8A" w14:paraId="14FEC87F" w14:textId="77777777" w:rsidTr="00D473CB">
        <w:trPr>
          <w:cantSplit/>
          <w:trHeight w:val="293"/>
        </w:trPr>
        <w:tc>
          <w:tcPr>
            <w:tcW w:w="9930" w:type="dxa"/>
            <w:gridSpan w:val="9"/>
          </w:tcPr>
          <w:p w14:paraId="2E8DE7B5" w14:textId="77777777" w:rsidR="00E15A8A" w:rsidRPr="00E15A8A" w:rsidRDefault="00E15A8A" w:rsidP="00E15A8A">
            <w:pPr>
              <w:jc w:val="center"/>
              <w:rPr>
                <w:snapToGrid w:val="0"/>
                <w:sz w:val="22"/>
                <w:szCs w:val="22"/>
              </w:rPr>
            </w:pPr>
            <w:r w:rsidRPr="00E15A8A">
              <w:rPr>
                <w:b/>
                <w:bCs/>
                <w:snapToGrid w:val="0"/>
                <w:sz w:val="22"/>
                <w:szCs w:val="22"/>
              </w:rPr>
              <w:lastRenderedPageBreak/>
              <w:t>GEOVAX LABS, INC.</w:t>
            </w:r>
          </w:p>
        </w:tc>
      </w:tr>
      <w:tr w:rsidR="00E15A8A" w:rsidRPr="00E15A8A" w14:paraId="7CFD2337" w14:textId="77777777" w:rsidTr="00D473CB">
        <w:trPr>
          <w:cantSplit/>
          <w:trHeight w:val="293"/>
        </w:trPr>
        <w:tc>
          <w:tcPr>
            <w:tcW w:w="9930" w:type="dxa"/>
            <w:gridSpan w:val="9"/>
          </w:tcPr>
          <w:p w14:paraId="0D5E7D64" w14:textId="77777777" w:rsidR="00E15A8A" w:rsidRPr="00E15A8A" w:rsidRDefault="00E15A8A" w:rsidP="00E15A8A">
            <w:pPr>
              <w:jc w:val="center"/>
              <w:rPr>
                <w:snapToGrid w:val="0"/>
                <w:sz w:val="22"/>
                <w:szCs w:val="22"/>
              </w:rPr>
            </w:pPr>
            <w:r w:rsidRPr="00E15A8A">
              <w:rPr>
                <w:b/>
                <w:bCs/>
                <w:snapToGrid w:val="0"/>
                <w:sz w:val="22"/>
                <w:szCs w:val="22"/>
              </w:rPr>
              <w:t>Condensed Consolidated Statements of Operations Information</w:t>
            </w:r>
          </w:p>
        </w:tc>
      </w:tr>
      <w:tr w:rsidR="00E15A8A" w:rsidRPr="00E15A8A" w14:paraId="3BCA9B7E" w14:textId="77777777" w:rsidTr="00D473CB">
        <w:trPr>
          <w:cantSplit/>
          <w:trHeight w:val="293"/>
        </w:trPr>
        <w:tc>
          <w:tcPr>
            <w:tcW w:w="9930" w:type="dxa"/>
            <w:gridSpan w:val="9"/>
          </w:tcPr>
          <w:p w14:paraId="163CF689" w14:textId="77777777" w:rsidR="00E15A8A" w:rsidRPr="00E15A8A" w:rsidRDefault="00E15A8A" w:rsidP="00E15A8A">
            <w:pPr>
              <w:jc w:val="center"/>
              <w:rPr>
                <w:i/>
                <w:snapToGrid w:val="0"/>
                <w:sz w:val="22"/>
                <w:szCs w:val="22"/>
              </w:rPr>
            </w:pPr>
            <w:r w:rsidRPr="00E15A8A">
              <w:rPr>
                <w:bCs/>
                <w:i/>
                <w:snapToGrid w:val="0"/>
                <w:sz w:val="22"/>
                <w:szCs w:val="22"/>
              </w:rPr>
              <w:t>(amounts in thousands, except common share information)</w:t>
            </w:r>
          </w:p>
        </w:tc>
      </w:tr>
      <w:tr w:rsidR="00E15A8A" w:rsidRPr="00E15A8A" w14:paraId="584BCB0F" w14:textId="77777777" w:rsidTr="00D473CB">
        <w:trPr>
          <w:cantSplit/>
          <w:trHeight w:val="293"/>
        </w:trPr>
        <w:tc>
          <w:tcPr>
            <w:tcW w:w="9930" w:type="dxa"/>
            <w:gridSpan w:val="9"/>
          </w:tcPr>
          <w:p w14:paraId="66BC13AD" w14:textId="77777777" w:rsidR="00E15A8A" w:rsidRPr="00E15A8A" w:rsidRDefault="00E15A8A" w:rsidP="00E15A8A">
            <w:pPr>
              <w:jc w:val="center"/>
              <w:rPr>
                <w:bCs/>
                <w:i/>
                <w:snapToGrid w:val="0"/>
                <w:sz w:val="22"/>
                <w:szCs w:val="22"/>
              </w:rPr>
            </w:pPr>
          </w:p>
        </w:tc>
      </w:tr>
      <w:tr w:rsidR="00E15A8A" w:rsidRPr="00E15A8A" w14:paraId="71605E11" w14:textId="77777777" w:rsidTr="00D473CB">
        <w:trPr>
          <w:trHeight w:val="276"/>
        </w:trPr>
        <w:tc>
          <w:tcPr>
            <w:tcW w:w="237" w:type="dxa"/>
          </w:tcPr>
          <w:p w14:paraId="6EB9D7E9" w14:textId="77777777" w:rsidR="00E15A8A" w:rsidRPr="00E15A8A" w:rsidRDefault="00E15A8A" w:rsidP="00E15A8A">
            <w:pPr>
              <w:spacing w:line="276" w:lineRule="auto"/>
              <w:jc w:val="right"/>
              <w:rPr>
                <w:snapToGrid w:val="0"/>
                <w:sz w:val="22"/>
                <w:szCs w:val="22"/>
              </w:rPr>
            </w:pPr>
          </w:p>
        </w:tc>
        <w:tc>
          <w:tcPr>
            <w:tcW w:w="1462" w:type="dxa"/>
          </w:tcPr>
          <w:p w14:paraId="6A9D0133" w14:textId="77777777" w:rsidR="00E15A8A" w:rsidRPr="00E15A8A" w:rsidRDefault="00E15A8A" w:rsidP="00E15A8A">
            <w:pPr>
              <w:spacing w:line="276" w:lineRule="auto"/>
              <w:jc w:val="right"/>
              <w:rPr>
                <w:snapToGrid w:val="0"/>
                <w:sz w:val="22"/>
                <w:szCs w:val="22"/>
              </w:rPr>
            </w:pPr>
          </w:p>
        </w:tc>
        <w:tc>
          <w:tcPr>
            <w:tcW w:w="2921" w:type="dxa"/>
          </w:tcPr>
          <w:p w14:paraId="2443EF99" w14:textId="77777777" w:rsidR="00E15A8A" w:rsidRPr="00E15A8A" w:rsidRDefault="00E15A8A" w:rsidP="00E15A8A">
            <w:pPr>
              <w:spacing w:line="276" w:lineRule="auto"/>
              <w:jc w:val="right"/>
              <w:rPr>
                <w:snapToGrid w:val="0"/>
                <w:sz w:val="22"/>
                <w:szCs w:val="22"/>
              </w:rPr>
            </w:pPr>
          </w:p>
        </w:tc>
        <w:tc>
          <w:tcPr>
            <w:tcW w:w="478" w:type="dxa"/>
            <w:gridSpan w:val="2"/>
          </w:tcPr>
          <w:p w14:paraId="5D4B93E7" w14:textId="77777777" w:rsidR="00E15A8A" w:rsidRPr="00E15A8A" w:rsidRDefault="00E15A8A" w:rsidP="00E15A8A">
            <w:pPr>
              <w:spacing w:line="276" w:lineRule="auto"/>
              <w:jc w:val="right"/>
              <w:rPr>
                <w:snapToGrid w:val="0"/>
                <w:sz w:val="22"/>
                <w:szCs w:val="22"/>
              </w:rPr>
            </w:pPr>
          </w:p>
        </w:tc>
        <w:tc>
          <w:tcPr>
            <w:tcW w:w="2416" w:type="dxa"/>
            <w:gridSpan w:val="2"/>
          </w:tcPr>
          <w:p w14:paraId="3775DE29" w14:textId="77777777" w:rsidR="00E15A8A" w:rsidRPr="00E15A8A" w:rsidRDefault="00E15A8A" w:rsidP="00E15A8A">
            <w:pPr>
              <w:spacing w:line="276" w:lineRule="auto"/>
              <w:ind w:right="-210"/>
              <w:jc w:val="center"/>
              <w:rPr>
                <w:snapToGrid w:val="0"/>
                <w:sz w:val="22"/>
                <w:szCs w:val="22"/>
              </w:rPr>
            </w:pPr>
            <w:r w:rsidRPr="00E15A8A">
              <w:rPr>
                <w:snapToGrid w:val="0"/>
                <w:sz w:val="22"/>
                <w:szCs w:val="22"/>
              </w:rPr>
              <w:t>Three Months Ended</w:t>
            </w:r>
          </w:p>
        </w:tc>
        <w:tc>
          <w:tcPr>
            <w:tcW w:w="2416" w:type="dxa"/>
            <w:gridSpan w:val="2"/>
          </w:tcPr>
          <w:p w14:paraId="3FD88B2F" w14:textId="77777777" w:rsidR="00E15A8A" w:rsidRPr="00E15A8A" w:rsidRDefault="00E15A8A" w:rsidP="00E15A8A">
            <w:pPr>
              <w:spacing w:line="276" w:lineRule="auto"/>
              <w:jc w:val="center"/>
              <w:rPr>
                <w:snapToGrid w:val="0"/>
                <w:sz w:val="22"/>
                <w:szCs w:val="22"/>
              </w:rPr>
            </w:pPr>
            <w:r w:rsidRPr="00E15A8A">
              <w:rPr>
                <w:snapToGrid w:val="0"/>
                <w:sz w:val="22"/>
                <w:szCs w:val="22"/>
              </w:rPr>
              <w:t>Six Months Ended</w:t>
            </w:r>
          </w:p>
        </w:tc>
      </w:tr>
      <w:tr w:rsidR="00E15A8A" w:rsidRPr="00E15A8A" w14:paraId="75E6E599" w14:textId="77777777" w:rsidTr="00D473CB">
        <w:trPr>
          <w:trHeight w:val="276"/>
        </w:trPr>
        <w:tc>
          <w:tcPr>
            <w:tcW w:w="237" w:type="dxa"/>
          </w:tcPr>
          <w:p w14:paraId="1905A3C5" w14:textId="77777777" w:rsidR="00E15A8A" w:rsidRPr="00E15A8A" w:rsidRDefault="00E15A8A" w:rsidP="00E15A8A">
            <w:pPr>
              <w:spacing w:line="276" w:lineRule="auto"/>
              <w:jc w:val="right"/>
              <w:rPr>
                <w:snapToGrid w:val="0"/>
                <w:sz w:val="22"/>
                <w:szCs w:val="22"/>
              </w:rPr>
            </w:pPr>
          </w:p>
        </w:tc>
        <w:tc>
          <w:tcPr>
            <w:tcW w:w="1462" w:type="dxa"/>
          </w:tcPr>
          <w:p w14:paraId="08687E22" w14:textId="77777777" w:rsidR="00E15A8A" w:rsidRPr="00E15A8A" w:rsidRDefault="00E15A8A" w:rsidP="00E15A8A">
            <w:pPr>
              <w:spacing w:line="276" w:lineRule="auto"/>
              <w:jc w:val="right"/>
              <w:rPr>
                <w:snapToGrid w:val="0"/>
                <w:sz w:val="22"/>
                <w:szCs w:val="22"/>
              </w:rPr>
            </w:pPr>
          </w:p>
        </w:tc>
        <w:tc>
          <w:tcPr>
            <w:tcW w:w="2921" w:type="dxa"/>
          </w:tcPr>
          <w:p w14:paraId="2BBB8F5B" w14:textId="77777777" w:rsidR="00E15A8A" w:rsidRPr="00E15A8A" w:rsidRDefault="00E15A8A" w:rsidP="00E15A8A">
            <w:pPr>
              <w:spacing w:line="276" w:lineRule="auto"/>
              <w:jc w:val="right"/>
              <w:rPr>
                <w:snapToGrid w:val="0"/>
                <w:sz w:val="22"/>
                <w:szCs w:val="22"/>
              </w:rPr>
            </w:pPr>
          </w:p>
        </w:tc>
        <w:tc>
          <w:tcPr>
            <w:tcW w:w="478" w:type="dxa"/>
            <w:gridSpan w:val="2"/>
          </w:tcPr>
          <w:p w14:paraId="557767F4" w14:textId="77777777" w:rsidR="00E15A8A" w:rsidRPr="00E15A8A" w:rsidRDefault="00E15A8A" w:rsidP="00E15A8A">
            <w:pPr>
              <w:spacing w:line="276" w:lineRule="auto"/>
              <w:jc w:val="right"/>
              <w:rPr>
                <w:snapToGrid w:val="0"/>
                <w:sz w:val="22"/>
                <w:szCs w:val="22"/>
              </w:rPr>
            </w:pPr>
          </w:p>
        </w:tc>
        <w:tc>
          <w:tcPr>
            <w:tcW w:w="2416" w:type="dxa"/>
            <w:gridSpan w:val="2"/>
            <w:tcBorders>
              <w:bottom w:val="single" w:sz="4" w:space="0" w:color="auto"/>
            </w:tcBorders>
          </w:tcPr>
          <w:p w14:paraId="60DBE9EF" w14:textId="77777777" w:rsidR="00E15A8A" w:rsidRPr="00E15A8A" w:rsidRDefault="00E15A8A" w:rsidP="00E15A8A">
            <w:pPr>
              <w:spacing w:line="276" w:lineRule="auto"/>
              <w:jc w:val="center"/>
              <w:rPr>
                <w:snapToGrid w:val="0"/>
                <w:sz w:val="22"/>
                <w:szCs w:val="22"/>
              </w:rPr>
            </w:pPr>
            <w:r w:rsidRPr="00E15A8A">
              <w:rPr>
                <w:snapToGrid w:val="0"/>
                <w:sz w:val="22"/>
                <w:szCs w:val="22"/>
              </w:rPr>
              <w:t>June 30,</w:t>
            </w:r>
          </w:p>
        </w:tc>
        <w:tc>
          <w:tcPr>
            <w:tcW w:w="2416" w:type="dxa"/>
            <w:gridSpan w:val="2"/>
            <w:tcBorders>
              <w:bottom w:val="single" w:sz="6" w:space="0" w:color="auto"/>
            </w:tcBorders>
          </w:tcPr>
          <w:p w14:paraId="6FAA5E0C" w14:textId="77777777" w:rsidR="00E15A8A" w:rsidRPr="00E15A8A" w:rsidRDefault="00E15A8A" w:rsidP="00E15A8A">
            <w:pPr>
              <w:spacing w:line="276" w:lineRule="auto"/>
              <w:jc w:val="center"/>
              <w:rPr>
                <w:snapToGrid w:val="0"/>
                <w:sz w:val="22"/>
                <w:szCs w:val="22"/>
              </w:rPr>
            </w:pPr>
            <w:r w:rsidRPr="00E15A8A">
              <w:rPr>
                <w:snapToGrid w:val="0"/>
                <w:sz w:val="22"/>
                <w:szCs w:val="22"/>
              </w:rPr>
              <w:t xml:space="preserve">June 30, </w:t>
            </w:r>
          </w:p>
        </w:tc>
      </w:tr>
      <w:tr w:rsidR="00E15A8A" w:rsidRPr="00E15A8A" w14:paraId="08588F44" w14:textId="77777777" w:rsidTr="00D473CB">
        <w:trPr>
          <w:trHeight w:val="276"/>
        </w:trPr>
        <w:tc>
          <w:tcPr>
            <w:tcW w:w="237" w:type="dxa"/>
          </w:tcPr>
          <w:p w14:paraId="36030682" w14:textId="77777777" w:rsidR="00E15A8A" w:rsidRPr="00E15A8A" w:rsidRDefault="00E15A8A" w:rsidP="00E15A8A">
            <w:pPr>
              <w:spacing w:line="276" w:lineRule="auto"/>
              <w:jc w:val="right"/>
              <w:rPr>
                <w:snapToGrid w:val="0"/>
                <w:sz w:val="22"/>
                <w:szCs w:val="22"/>
              </w:rPr>
            </w:pPr>
          </w:p>
        </w:tc>
        <w:tc>
          <w:tcPr>
            <w:tcW w:w="1462" w:type="dxa"/>
          </w:tcPr>
          <w:p w14:paraId="2D1D80AB" w14:textId="77777777" w:rsidR="00E15A8A" w:rsidRPr="00E15A8A" w:rsidRDefault="00E15A8A" w:rsidP="00E15A8A">
            <w:pPr>
              <w:spacing w:line="276" w:lineRule="auto"/>
              <w:jc w:val="right"/>
              <w:rPr>
                <w:snapToGrid w:val="0"/>
                <w:sz w:val="22"/>
                <w:szCs w:val="22"/>
              </w:rPr>
            </w:pPr>
          </w:p>
        </w:tc>
        <w:tc>
          <w:tcPr>
            <w:tcW w:w="2921" w:type="dxa"/>
          </w:tcPr>
          <w:p w14:paraId="5FDDF8FC" w14:textId="77777777" w:rsidR="00E15A8A" w:rsidRPr="00E15A8A" w:rsidRDefault="00E15A8A" w:rsidP="00E15A8A">
            <w:pPr>
              <w:spacing w:line="276" w:lineRule="auto"/>
              <w:jc w:val="right"/>
              <w:rPr>
                <w:snapToGrid w:val="0"/>
                <w:sz w:val="22"/>
                <w:szCs w:val="22"/>
              </w:rPr>
            </w:pPr>
          </w:p>
        </w:tc>
        <w:tc>
          <w:tcPr>
            <w:tcW w:w="478" w:type="dxa"/>
            <w:gridSpan w:val="2"/>
          </w:tcPr>
          <w:p w14:paraId="61A5C5B8" w14:textId="77777777" w:rsidR="00E15A8A" w:rsidRPr="00E15A8A" w:rsidRDefault="00E15A8A" w:rsidP="00E15A8A">
            <w:pPr>
              <w:spacing w:line="276" w:lineRule="auto"/>
              <w:jc w:val="right"/>
              <w:rPr>
                <w:snapToGrid w:val="0"/>
                <w:sz w:val="22"/>
                <w:szCs w:val="22"/>
              </w:rPr>
            </w:pPr>
          </w:p>
        </w:tc>
        <w:tc>
          <w:tcPr>
            <w:tcW w:w="1208" w:type="dxa"/>
            <w:tcBorders>
              <w:top w:val="single" w:sz="4" w:space="0" w:color="auto"/>
              <w:bottom w:val="single" w:sz="4" w:space="0" w:color="auto"/>
            </w:tcBorders>
          </w:tcPr>
          <w:p w14:paraId="2F9F0C72" w14:textId="77777777" w:rsidR="00E15A8A" w:rsidRPr="00E15A8A" w:rsidRDefault="00E15A8A" w:rsidP="00E15A8A">
            <w:pPr>
              <w:spacing w:line="276" w:lineRule="auto"/>
              <w:jc w:val="center"/>
              <w:rPr>
                <w:snapToGrid w:val="0"/>
                <w:sz w:val="22"/>
                <w:szCs w:val="22"/>
              </w:rPr>
            </w:pPr>
            <w:r w:rsidRPr="00E15A8A">
              <w:rPr>
                <w:snapToGrid w:val="0"/>
                <w:sz w:val="22"/>
                <w:szCs w:val="22"/>
              </w:rPr>
              <w:t>2025</w:t>
            </w:r>
          </w:p>
        </w:tc>
        <w:tc>
          <w:tcPr>
            <w:tcW w:w="1208" w:type="dxa"/>
            <w:tcBorders>
              <w:top w:val="single" w:sz="4" w:space="0" w:color="auto"/>
              <w:bottom w:val="single" w:sz="4" w:space="0" w:color="auto"/>
            </w:tcBorders>
          </w:tcPr>
          <w:p w14:paraId="03AD3AC6" w14:textId="77777777" w:rsidR="00E15A8A" w:rsidRPr="00E15A8A" w:rsidRDefault="00E15A8A" w:rsidP="00E15A8A">
            <w:pPr>
              <w:spacing w:line="276" w:lineRule="auto"/>
              <w:jc w:val="center"/>
              <w:rPr>
                <w:snapToGrid w:val="0"/>
                <w:sz w:val="22"/>
                <w:szCs w:val="22"/>
              </w:rPr>
            </w:pPr>
            <w:r w:rsidRPr="00E15A8A">
              <w:rPr>
                <w:snapToGrid w:val="0"/>
                <w:sz w:val="22"/>
                <w:szCs w:val="22"/>
              </w:rPr>
              <w:t>2024</w:t>
            </w:r>
          </w:p>
        </w:tc>
        <w:tc>
          <w:tcPr>
            <w:tcW w:w="1208" w:type="dxa"/>
            <w:tcBorders>
              <w:bottom w:val="single" w:sz="4" w:space="0" w:color="auto"/>
            </w:tcBorders>
          </w:tcPr>
          <w:p w14:paraId="27B46ABD" w14:textId="77777777" w:rsidR="00E15A8A" w:rsidRPr="00E15A8A" w:rsidRDefault="00E15A8A" w:rsidP="00E15A8A">
            <w:pPr>
              <w:spacing w:line="276" w:lineRule="auto"/>
              <w:jc w:val="center"/>
              <w:rPr>
                <w:snapToGrid w:val="0"/>
                <w:sz w:val="22"/>
                <w:szCs w:val="22"/>
              </w:rPr>
            </w:pPr>
            <w:r w:rsidRPr="00E15A8A">
              <w:rPr>
                <w:snapToGrid w:val="0"/>
                <w:sz w:val="22"/>
                <w:szCs w:val="22"/>
              </w:rPr>
              <w:t>2025</w:t>
            </w:r>
          </w:p>
        </w:tc>
        <w:tc>
          <w:tcPr>
            <w:tcW w:w="1208" w:type="dxa"/>
            <w:tcBorders>
              <w:bottom w:val="single" w:sz="4" w:space="0" w:color="auto"/>
            </w:tcBorders>
          </w:tcPr>
          <w:p w14:paraId="4F6F9FF6" w14:textId="77777777" w:rsidR="00E15A8A" w:rsidRPr="00E15A8A" w:rsidRDefault="00E15A8A" w:rsidP="00E15A8A">
            <w:pPr>
              <w:spacing w:line="276" w:lineRule="auto"/>
              <w:jc w:val="center"/>
              <w:rPr>
                <w:snapToGrid w:val="0"/>
                <w:sz w:val="22"/>
                <w:szCs w:val="22"/>
              </w:rPr>
            </w:pPr>
            <w:r w:rsidRPr="00E15A8A">
              <w:rPr>
                <w:snapToGrid w:val="0"/>
                <w:sz w:val="22"/>
                <w:szCs w:val="22"/>
              </w:rPr>
              <w:t>2024</w:t>
            </w:r>
          </w:p>
        </w:tc>
      </w:tr>
      <w:tr w:rsidR="00E15A8A" w:rsidRPr="00E15A8A" w14:paraId="4430183D" w14:textId="77777777" w:rsidTr="00D473CB">
        <w:trPr>
          <w:trHeight w:val="276"/>
        </w:trPr>
        <w:tc>
          <w:tcPr>
            <w:tcW w:w="4620" w:type="dxa"/>
            <w:gridSpan w:val="3"/>
          </w:tcPr>
          <w:p w14:paraId="487CD096" w14:textId="77777777" w:rsidR="00E15A8A" w:rsidRPr="00E15A8A" w:rsidRDefault="00E15A8A" w:rsidP="00E15A8A">
            <w:pPr>
              <w:spacing w:line="276" w:lineRule="auto"/>
              <w:rPr>
                <w:snapToGrid w:val="0"/>
                <w:sz w:val="22"/>
                <w:szCs w:val="22"/>
              </w:rPr>
            </w:pPr>
            <w:r w:rsidRPr="00E15A8A">
              <w:rPr>
                <w:snapToGrid w:val="0"/>
                <w:sz w:val="22"/>
                <w:szCs w:val="22"/>
              </w:rPr>
              <w:t>Revenue from government contract</w:t>
            </w:r>
          </w:p>
        </w:tc>
        <w:tc>
          <w:tcPr>
            <w:tcW w:w="478" w:type="dxa"/>
            <w:gridSpan w:val="2"/>
          </w:tcPr>
          <w:p w14:paraId="775ADCC3" w14:textId="77777777" w:rsidR="00E15A8A" w:rsidRPr="00E15A8A" w:rsidRDefault="00E15A8A" w:rsidP="00E15A8A">
            <w:pPr>
              <w:spacing w:line="276" w:lineRule="auto"/>
              <w:jc w:val="right"/>
              <w:rPr>
                <w:snapToGrid w:val="0"/>
                <w:sz w:val="22"/>
                <w:szCs w:val="22"/>
              </w:rPr>
            </w:pPr>
          </w:p>
        </w:tc>
        <w:tc>
          <w:tcPr>
            <w:tcW w:w="1208" w:type="dxa"/>
          </w:tcPr>
          <w:p w14:paraId="73D40F9C" w14:textId="77777777" w:rsidR="00E15A8A" w:rsidRPr="00E15A8A" w:rsidRDefault="00E15A8A" w:rsidP="00E15A8A">
            <w:pPr>
              <w:tabs>
                <w:tab w:val="left" w:pos="150"/>
                <w:tab w:val="decimal" w:pos="960"/>
              </w:tabs>
              <w:spacing w:line="276" w:lineRule="auto"/>
              <w:rPr>
                <w:snapToGrid w:val="0"/>
                <w:sz w:val="22"/>
                <w:szCs w:val="22"/>
              </w:rPr>
            </w:pPr>
            <w:r w:rsidRPr="00E15A8A">
              <w:rPr>
                <w:snapToGrid w:val="0"/>
                <w:sz w:val="22"/>
                <w:szCs w:val="22"/>
              </w:rPr>
              <w:tab/>
              <w:t>$</w:t>
            </w:r>
            <w:r w:rsidRPr="00E15A8A">
              <w:rPr>
                <w:snapToGrid w:val="0"/>
                <w:sz w:val="22"/>
                <w:szCs w:val="22"/>
              </w:rPr>
              <w:tab/>
              <w:t>852</w:t>
            </w:r>
          </w:p>
        </w:tc>
        <w:tc>
          <w:tcPr>
            <w:tcW w:w="1208" w:type="dxa"/>
          </w:tcPr>
          <w:p w14:paraId="2967CDBB" w14:textId="77777777" w:rsidR="00E15A8A" w:rsidRPr="00E15A8A" w:rsidRDefault="00E15A8A" w:rsidP="00E15A8A">
            <w:pPr>
              <w:tabs>
                <w:tab w:val="left" w:pos="190"/>
                <w:tab w:val="decimal" w:pos="910"/>
              </w:tabs>
              <w:spacing w:line="276" w:lineRule="auto"/>
              <w:rPr>
                <w:snapToGrid w:val="0"/>
                <w:sz w:val="22"/>
                <w:szCs w:val="22"/>
              </w:rPr>
            </w:pPr>
            <w:r w:rsidRPr="00E15A8A">
              <w:rPr>
                <w:snapToGrid w:val="0"/>
                <w:sz w:val="22"/>
                <w:szCs w:val="22"/>
              </w:rPr>
              <w:tab/>
              <w:t>$</w:t>
            </w:r>
            <w:r w:rsidRPr="00E15A8A">
              <w:rPr>
                <w:snapToGrid w:val="0"/>
                <w:sz w:val="22"/>
                <w:szCs w:val="22"/>
              </w:rPr>
              <w:tab/>
              <w:t>301</w:t>
            </w:r>
          </w:p>
        </w:tc>
        <w:tc>
          <w:tcPr>
            <w:tcW w:w="1208" w:type="dxa"/>
          </w:tcPr>
          <w:p w14:paraId="0E4C54BB" w14:textId="77777777" w:rsidR="00E15A8A" w:rsidRPr="00E15A8A" w:rsidRDefault="00E15A8A" w:rsidP="00E15A8A">
            <w:pPr>
              <w:tabs>
                <w:tab w:val="left" w:pos="140"/>
                <w:tab w:val="decimal" w:pos="860"/>
              </w:tabs>
              <w:spacing w:line="276" w:lineRule="auto"/>
              <w:rPr>
                <w:snapToGrid w:val="0"/>
                <w:sz w:val="22"/>
                <w:szCs w:val="22"/>
              </w:rPr>
            </w:pPr>
            <w:r w:rsidRPr="00E15A8A">
              <w:rPr>
                <w:snapToGrid w:val="0"/>
                <w:sz w:val="22"/>
                <w:szCs w:val="22"/>
              </w:rPr>
              <w:tab/>
              <w:t>$</w:t>
            </w:r>
            <w:r w:rsidRPr="00E15A8A">
              <w:rPr>
                <w:snapToGrid w:val="0"/>
                <w:sz w:val="22"/>
                <w:szCs w:val="22"/>
              </w:rPr>
              <w:tab/>
              <w:t>2,489</w:t>
            </w:r>
          </w:p>
        </w:tc>
        <w:tc>
          <w:tcPr>
            <w:tcW w:w="1208" w:type="dxa"/>
          </w:tcPr>
          <w:p w14:paraId="215B3C96" w14:textId="77777777" w:rsidR="00E15A8A" w:rsidRPr="00E15A8A" w:rsidRDefault="00E15A8A" w:rsidP="00E15A8A">
            <w:pPr>
              <w:tabs>
                <w:tab w:val="left" w:pos="97"/>
                <w:tab w:val="decimal" w:pos="907"/>
              </w:tabs>
              <w:spacing w:line="276" w:lineRule="auto"/>
              <w:rPr>
                <w:snapToGrid w:val="0"/>
                <w:sz w:val="22"/>
                <w:szCs w:val="22"/>
              </w:rPr>
            </w:pPr>
            <w:r w:rsidRPr="00E15A8A">
              <w:rPr>
                <w:snapToGrid w:val="0"/>
                <w:sz w:val="22"/>
                <w:szCs w:val="22"/>
              </w:rPr>
              <w:tab/>
              <w:t>$</w:t>
            </w:r>
            <w:r w:rsidRPr="00E15A8A">
              <w:rPr>
                <w:snapToGrid w:val="0"/>
                <w:sz w:val="22"/>
                <w:szCs w:val="22"/>
              </w:rPr>
              <w:tab/>
              <w:t>301</w:t>
            </w:r>
          </w:p>
        </w:tc>
      </w:tr>
      <w:tr w:rsidR="00E15A8A" w:rsidRPr="00E15A8A" w14:paraId="773D8F7F" w14:textId="77777777" w:rsidTr="00D473CB">
        <w:trPr>
          <w:trHeight w:val="276"/>
        </w:trPr>
        <w:tc>
          <w:tcPr>
            <w:tcW w:w="237" w:type="dxa"/>
          </w:tcPr>
          <w:p w14:paraId="041EBC86" w14:textId="77777777" w:rsidR="00E15A8A" w:rsidRPr="00E15A8A" w:rsidRDefault="00E15A8A" w:rsidP="00E15A8A">
            <w:pPr>
              <w:spacing w:line="276" w:lineRule="auto"/>
              <w:jc w:val="right"/>
              <w:rPr>
                <w:snapToGrid w:val="0"/>
                <w:sz w:val="22"/>
                <w:szCs w:val="22"/>
              </w:rPr>
            </w:pPr>
          </w:p>
        </w:tc>
        <w:tc>
          <w:tcPr>
            <w:tcW w:w="1462" w:type="dxa"/>
          </w:tcPr>
          <w:p w14:paraId="2A33046C" w14:textId="77777777" w:rsidR="00E15A8A" w:rsidRPr="00E15A8A" w:rsidRDefault="00E15A8A" w:rsidP="00E15A8A">
            <w:pPr>
              <w:spacing w:line="276" w:lineRule="auto"/>
              <w:jc w:val="right"/>
              <w:rPr>
                <w:snapToGrid w:val="0"/>
                <w:sz w:val="22"/>
                <w:szCs w:val="22"/>
              </w:rPr>
            </w:pPr>
          </w:p>
        </w:tc>
        <w:tc>
          <w:tcPr>
            <w:tcW w:w="2921" w:type="dxa"/>
          </w:tcPr>
          <w:p w14:paraId="023D6F5E" w14:textId="77777777" w:rsidR="00E15A8A" w:rsidRPr="00E15A8A" w:rsidRDefault="00E15A8A" w:rsidP="00E15A8A">
            <w:pPr>
              <w:spacing w:line="276" w:lineRule="auto"/>
              <w:jc w:val="right"/>
              <w:rPr>
                <w:snapToGrid w:val="0"/>
                <w:sz w:val="22"/>
                <w:szCs w:val="22"/>
              </w:rPr>
            </w:pPr>
          </w:p>
        </w:tc>
        <w:tc>
          <w:tcPr>
            <w:tcW w:w="478" w:type="dxa"/>
            <w:gridSpan w:val="2"/>
          </w:tcPr>
          <w:p w14:paraId="09E60B3F" w14:textId="77777777" w:rsidR="00E15A8A" w:rsidRPr="00E15A8A" w:rsidRDefault="00E15A8A" w:rsidP="00E15A8A">
            <w:pPr>
              <w:spacing w:line="276" w:lineRule="auto"/>
              <w:jc w:val="right"/>
              <w:rPr>
                <w:snapToGrid w:val="0"/>
                <w:sz w:val="22"/>
                <w:szCs w:val="22"/>
              </w:rPr>
            </w:pPr>
          </w:p>
        </w:tc>
        <w:tc>
          <w:tcPr>
            <w:tcW w:w="1208" w:type="dxa"/>
          </w:tcPr>
          <w:p w14:paraId="594A15CD" w14:textId="77777777" w:rsidR="00E15A8A" w:rsidRPr="00E15A8A" w:rsidRDefault="00E15A8A" w:rsidP="00E15A8A">
            <w:pPr>
              <w:tabs>
                <w:tab w:val="decimal" w:pos="960"/>
              </w:tabs>
              <w:spacing w:line="276" w:lineRule="auto"/>
              <w:rPr>
                <w:snapToGrid w:val="0"/>
                <w:sz w:val="22"/>
                <w:szCs w:val="22"/>
              </w:rPr>
            </w:pPr>
          </w:p>
        </w:tc>
        <w:tc>
          <w:tcPr>
            <w:tcW w:w="1208" w:type="dxa"/>
          </w:tcPr>
          <w:p w14:paraId="0A3346DD" w14:textId="77777777" w:rsidR="00E15A8A" w:rsidRPr="00E15A8A" w:rsidRDefault="00E15A8A" w:rsidP="00E15A8A">
            <w:pPr>
              <w:tabs>
                <w:tab w:val="decimal" w:pos="910"/>
              </w:tabs>
              <w:spacing w:line="276" w:lineRule="auto"/>
              <w:rPr>
                <w:snapToGrid w:val="0"/>
                <w:sz w:val="22"/>
                <w:szCs w:val="22"/>
              </w:rPr>
            </w:pPr>
          </w:p>
        </w:tc>
        <w:tc>
          <w:tcPr>
            <w:tcW w:w="1208" w:type="dxa"/>
          </w:tcPr>
          <w:p w14:paraId="6C3237F7" w14:textId="77777777" w:rsidR="00E15A8A" w:rsidRPr="00E15A8A" w:rsidRDefault="00E15A8A" w:rsidP="00E15A8A">
            <w:pPr>
              <w:tabs>
                <w:tab w:val="decimal" w:pos="860"/>
              </w:tabs>
              <w:spacing w:line="276" w:lineRule="auto"/>
              <w:jc w:val="center"/>
              <w:rPr>
                <w:snapToGrid w:val="0"/>
                <w:sz w:val="22"/>
                <w:szCs w:val="22"/>
              </w:rPr>
            </w:pPr>
          </w:p>
        </w:tc>
        <w:tc>
          <w:tcPr>
            <w:tcW w:w="1208" w:type="dxa"/>
          </w:tcPr>
          <w:p w14:paraId="5D99FAF6" w14:textId="77777777" w:rsidR="00E15A8A" w:rsidRPr="00E15A8A" w:rsidRDefault="00E15A8A" w:rsidP="00E15A8A">
            <w:pPr>
              <w:tabs>
                <w:tab w:val="decimal" w:pos="907"/>
              </w:tabs>
              <w:spacing w:line="276" w:lineRule="auto"/>
              <w:jc w:val="center"/>
              <w:rPr>
                <w:snapToGrid w:val="0"/>
                <w:sz w:val="22"/>
                <w:szCs w:val="22"/>
              </w:rPr>
            </w:pPr>
          </w:p>
        </w:tc>
      </w:tr>
      <w:tr w:rsidR="00E15A8A" w:rsidRPr="00E15A8A" w14:paraId="6F636D54" w14:textId="77777777" w:rsidTr="00D473CB">
        <w:trPr>
          <w:trHeight w:val="276"/>
        </w:trPr>
        <w:tc>
          <w:tcPr>
            <w:tcW w:w="4620" w:type="dxa"/>
            <w:gridSpan w:val="3"/>
          </w:tcPr>
          <w:p w14:paraId="0FB6FD11" w14:textId="77777777" w:rsidR="00E15A8A" w:rsidRPr="00E15A8A" w:rsidRDefault="00E15A8A" w:rsidP="00E15A8A">
            <w:pPr>
              <w:spacing w:line="276" w:lineRule="auto"/>
              <w:rPr>
                <w:snapToGrid w:val="0"/>
                <w:sz w:val="22"/>
                <w:szCs w:val="22"/>
              </w:rPr>
            </w:pPr>
            <w:r w:rsidRPr="00E15A8A">
              <w:rPr>
                <w:snapToGrid w:val="0"/>
                <w:sz w:val="22"/>
                <w:szCs w:val="22"/>
              </w:rPr>
              <w:t>Operating expenses:</w:t>
            </w:r>
          </w:p>
        </w:tc>
        <w:tc>
          <w:tcPr>
            <w:tcW w:w="478" w:type="dxa"/>
            <w:gridSpan w:val="2"/>
          </w:tcPr>
          <w:p w14:paraId="7A172773" w14:textId="77777777" w:rsidR="00E15A8A" w:rsidRPr="00E15A8A" w:rsidRDefault="00E15A8A" w:rsidP="00E15A8A">
            <w:pPr>
              <w:spacing w:line="276" w:lineRule="auto"/>
              <w:jc w:val="right"/>
              <w:rPr>
                <w:snapToGrid w:val="0"/>
                <w:sz w:val="22"/>
                <w:szCs w:val="22"/>
              </w:rPr>
            </w:pPr>
          </w:p>
        </w:tc>
        <w:tc>
          <w:tcPr>
            <w:tcW w:w="1208" w:type="dxa"/>
          </w:tcPr>
          <w:p w14:paraId="65516268" w14:textId="77777777" w:rsidR="00E15A8A" w:rsidRPr="00E15A8A" w:rsidRDefault="00E15A8A" w:rsidP="00E15A8A">
            <w:pPr>
              <w:tabs>
                <w:tab w:val="decimal" w:pos="960"/>
              </w:tabs>
              <w:spacing w:line="276" w:lineRule="auto"/>
              <w:rPr>
                <w:snapToGrid w:val="0"/>
                <w:sz w:val="22"/>
                <w:szCs w:val="22"/>
              </w:rPr>
            </w:pPr>
          </w:p>
        </w:tc>
        <w:tc>
          <w:tcPr>
            <w:tcW w:w="1208" w:type="dxa"/>
          </w:tcPr>
          <w:p w14:paraId="7E3924E4" w14:textId="77777777" w:rsidR="00E15A8A" w:rsidRPr="00E15A8A" w:rsidRDefault="00E15A8A" w:rsidP="00E15A8A">
            <w:pPr>
              <w:tabs>
                <w:tab w:val="decimal" w:pos="910"/>
              </w:tabs>
              <w:spacing w:line="276" w:lineRule="auto"/>
              <w:rPr>
                <w:snapToGrid w:val="0"/>
                <w:sz w:val="22"/>
                <w:szCs w:val="22"/>
              </w:rPr>
            </w:pPr>
          </w:p>
        </w:tc>
        <w:tc>
          <w:tcPr>
            <w:tcW w:w="1208" w:type="dxa"/>
          </w:tcPr>
          <w:p w14:paraId="71493B5B" w14:textId="77777777" w:rsidR="00E15A8A" w:rsidRPr="00E15A8A" w:rsidRDefault="00E15A8A" w:rsidP="00E15A8A">
            <w:pPr>
              <w:tabs>
                <w:tab w:val="decimal" w:pos="860"/>
              </w:tabs>
              <w:spacing w:line="276" w:lineRule="auto"/>
              <w:jc w:val="center"/>
              <w:rPr>
                <w:snapToGrid w:val="0"/>
                <w:sz w:val="22"/>
                <w:szCs w:val="22"/>
              </w:rPr>
            </w:pPr>
          </w:p>
        </w:tc>
        <w:tc>
          <w:tcPr>
            <w:tcW w:w="1208" w:type="dxa"/>
          </w:tcPr>
          <w:p w14:paraId="21770E11" w14:textId="77777777" w:rsidR="00E15A8A" w:rsidRPr="00E15A8A" w:rsidRDefault="00E15A8A" w:rsidP="00E15A8A">
            <w:pPr>
              <w:tabs>
                <w:tab w:val="decimal" w:pos="907"/>
              </w:tabs>
              <w:spacing w:line="276" w:lineRule="auto"/>
              <w:jc w:val="center"/>
              <w:rPr>
                <w:snapToGrid w:val="0"/>
                <w:sz w:val="22"/>
                <w:szCs w:val="22"/>
              </w:rPr>
            </w:pPr>
          </w:p>
        </w:tc>
      </w:tr>
      <w:tr w:rsidR="00E15A8A" w:rsidRPr="00E15A8A" w14:paraId="54AF92BF" w14:textId="77777777" w:rsidTr="00D473CB">
        <w:trPr>
          <w:trHeight w:val="276"/>
        </w:trPr>
        <w:tc>
          <w:tcPr>
            <w:tcW w:w="237" w:type="dxa"/>
          </w:tcPr>
          <w:p w14:paraId="54661079" w14:textId="77777777" w:rsidR="00E15A8A" w:rsidRPr="00E15A8A" w:rsidRDefault="00E15A8A" w:rsidP="00E15A8A">
            <w:pPr>
              <w:spacing w:line="276" w:lineRule="auto"/>
              <w:jc w:val="right"/>
              <w:rPr>
                <w:snapToGrid w:val="0"/>
                <w:sz w:val="22"/>
                <w:szCs w:val="22"/>
              </w:rPr>
            </w:pPr>
          </w:p>
        </w:tc>
        <w:tc>
          <w:tcPr>
            <w:tcW w:w="4383" w:type="dxa"/>
            <w:gridSpan w:val="2"/>
          </w:tcPr>
          <w:p w14:paraId="6A92CD98" w14:textId="77777777" w:rsidR="00E15A8A" w:rsidRPr="00E15A8A" w:rsidRDefault="00E15A8A" w:rsidP="00E15A8A">
            <w:pPr>
              <w:spacing w:line="276" w:lineRule="auto"/>
              <w:rPr>
                <w:snapToGrid w:val="0"/>
                <w:sz w:val="22"/>
                <w:szCs w:val="22"/>
              </w:rPr>
            </w:pPr>
            <w:r w:rsidRPr="00E15A8A">
              <w:rPr>
                <w:snapToGrid w:val="0"/>
                <w:sz w:val="22"/>
                <w:szCs w:val="22"/>
              </w:rPr>
              <w:t>Research and development</w:t>
            </w:r>
          </w:p>
        </w:tc>
        <w:tc>
          <w:tcPr>
            <w:tcW w:w="478" w:type="dxa"/>
            <w:gridSpan w:val="2"/>
          </w:tcPr>
          <w:p w14:paraId="1CE61FAE" w14:textId="77777777" w:rsidR="00E15A8A" w:rsidRPr="00E15A8A" w:rsidRDefault="00E15A8A" w:rsidP="00E15A8A">
            <w:pPr>
              <w:spacing w:line="276" w:lineRule="auto"/>
              <w:jc w:val="right"/>
              <w:rPr>
                <w:snapToGrid w:val="0"/>
                <w:sz w:val="22"/>
                <w:szCs w:val="22"/>
              </w:rPr>
            </w:pPr>
          </w:p>
        </w:tc>
        <w:tc>
          <w:tcPr>
            <w:tcW w:w="1208" w:type="dxa"/>
          </w:tcPr>
          <w:p w14:paraId="435A196C" w14:textId="77777777" w:rsidR="00E15A8A" w:rsidRPr="00E15A8A" w:rsidRDefault="00E15A8A" w:rsidP="00E15A8A">
            <w:pPr>
              <w:tabs>
                <w:tab w:val="decimal" w:pos="960"/>
              </w:tabs>
              <w:spacing w:line="276" w:lineRule="auto"/>
              <w:rPr>
                <w:snapToGrid w:val="0"/>
                <w:sz w:val="22"/>
                <w:szCs w:val="22"/>
              </w:rPr>
            </w:pPr>
            <w:r w:rsidRPr="00E15A8A">
              <w:rPr>
                <w:snapToGrid w:val="0"/>
                <w:sz w:val="22"/>
                <w:szCs w:val="22"/>
              </w:rPr>
              <w:t>4,729</w:t>
            </w:r>
          </w:p>
        </w:tc>
        <w:tc>
          <w:tcPr>
            <w:tcW w:w="1208" w:type="dxa"/>
          </w:tcPr>
          <w:p w14:paraId="728E1B73" w14:textId="77777777" w:rsidR="00E15A8A" w:rsidRPr="00E15A8A" w:rsidRDefault="00E15A8A" w:rsidP="00E15A8A">
            <w:pPr>
              <w:tabs>
                <w:tab w:val="decimal" w:pos="910"/>
              </w:tabs>
              <w:spacing w:line="276" w:lineRule="auto"/>
              <w:rPr>
                <w:snapToGrid w:val="0"/>
                <w:sz w:val="22"/>
                <w:szCs w:val="22"/>
              </w:rPr>
            </w:pPr>
            <w:r w:rsidRPr="00E15A8A">
              <w:rPr>
                <w:snapToGrid w:val="0"/>
                <w:sz w:val="22"/>
                <w:szCs w:val="22"/>
              </w:rPr>
              <w:t>4,277</w:t>
            </w:r>
          </w:p>
        </w:tc>
        <w:tc>
          <w:tcPr>
            <w:tcW w:w="1208" w:type="dxa"/>
          </w:tcPr>
          <w:p w14:paraId="50BFF51A" w14:textId="77777777" w:rsidR="00E15A8A" w:rsidRPr="00E15A8A" w:rsidRDefault="00E15A8A" w:rsidP="00E15A8A">
            <w:pPr>
              <w:tabs>
                <w:tab w:val="decimal" w:pos="860"/>
              </w:tabs>
              <w:spacing w:line="276" w:lineRule="auto"/>
              <w:rPr>
                <w:snapToGrid w:val="0"/>
                <w:sz w:val="22"/>
                <w:szCs w:val="22"/>
              </w:rPr>
            </w:pPr>
            <w:r w:rsidRPr="00E15A8A">
              <w:rPr>
                <w:snapToGrid w:val="0"/>
                <w:sz w:val="22"/>
                <w:szCs w:val="22"/>
              </w:rPr>
              <w:t>10,083</w:t>
            </w:r>
          </w:p>
        </w:tc>
        <w:tc>
          <w:tcPr>
            <w:tcW w:w="1208" w:type="dxa"/>
          </w:tcPr>
          <w:p w14:paraId="6F2AB6B1" w14:textId="77777777" w:rsidR="00E15A8A" w:rsidRPr="00E15A8A" w:rsidRDefault="00E15A8A" w:rsidP="00E15A8A">
            <w:pPr>
              <w:tabs>
                <w:tab w:val="decimal" w:pos="907"/>
              </w:tabs>
              <w:spacing w:line="276" w:lineRule="auto"/>
              <w:rPr>
                <w:snapToGrid w:val="0"/>
                <w:sz w:val="22"/>
                <w:szCs w:val="22"/>
              </w:rPr>
            </w:pPr>
            <w:r w:rsidRPr="00E15A8A">
              <w:rPr>
                <w:snapToGrid w:val="0"/>
                <w:sz w:val="22"/>
                <w:szCs w:val="22"/>
              </w:rPr>
              <w:t>8,703</w:t>
            </w:r>
          </w:p>
        </w:tc>
      </w:tr>
      <w:tr w:rsidR="00E15A8A" w:rsidRPr="00E15A8A" w14:paraId="4C123320" w14:textId="77777777" w:rsidTr="00D473CB">
        <w:trPr>
          <w:trHeight w:val="276"/>
        </w:trPr>
        <w:tc>
          <w:tcPr>
            <w:tcW w:w="237" w:type="dxa"/>
          </w:tcPr>
          <w:p w14:paraId="6E9D7955" w14:textId="77777777" w:rsidR="00E15A8A" w:rsidRPr="00E15A8A" w:rsidRDefault="00E15A8A" w:rsidP="00E15A8A">
            <w:pPr>
              <w:spacing w:line="276" w:lineRule="auto"/>
              <w:jc w:val="right"/>
              <w:rPr>
                <w:snapToGrid w:val="0"/>
                <w:sz w:val="22"/>
                <w:szCs w:val="22"/>
              </w:rPr>
            </w:pPr>
          </w:p>
        </w:tc>
        <w:tc>
          <w:tcPr>
            <w:tcW w:w="4383" w:type="dxa"/>
            <w:gridSpan w:val="2"/>
          </w:tcPr>
          <w:p w14:paraId="2A44AAD1" w14:textId="77777777" w:rsidR="00E15A8A" w:rsidRPr="00E15A8A" w:rsidRDefault="00E15A8A" w:rsidP="00E15A8A">
            <w:pPr>
              <w:spacing w:line="276" w:lineRule="auto"/>
              <w:rPr>
                <w:snapToGrid w:val="0"/>
                <w:sz w:val="22"/>
                <w:szCs w:val="22"/>
              </w:rPr>
            </w:pPr>
            <w:r w:rsidRPr="00E15A8A">
              <w:rPr>
                <w:snapToGrid w:val="0"/>
                <w:sz w:val="22"/>
                <w:szCs w:val="22"/>
              </w:rPr>
              <w:t>General and administrative</w:t>
            </w:r>
          </w:p>
        </w:tc>
        <w:tc>
          <w:tcPr>
            <w:tcW w:w="478" w:type="dxa"/>
            <w:gridSpan w:val="2"/>
          </w:tcPr>
          <w:p w14:paraId="2759CDFF" w14:textId="77777777" w:rsidR="00E15A8A" w:rsidRPr="00E15A8A" w:rsidRDefault="00E15A8A" w:rsidP="00E15A8A">
            <w:pPr>
              <w:spacing w:line="276" w:lineRule="auto"/>
              <w:jc w:val="right"/>
              <w:rPr>
                <w:snapToGrid w:val="0"/>
                <w:sz w:val="22"/>
                <w:szCs w:val="22"/>
              </w:rPr>
            </w:pPr>
          </w:p>
        </w:tc>
        <w:tc>
          <w:tcPr>
            <w:tcW w:w="1208" w:type="dxa"/>
            <w:tcBorders>
              <w:bottom w:val="single" w:sz="4" w:space="0" w:color="auto"/>
            </w:tcBorders>
          </w:tcPr>
          <w:p w14:paraId="3B4080B6" w14:textId="77777777" w:rsidR="00E15A8A" w:rsidRPr="00E15A8A" w:rsidRDefault="00E15A8A" w:rsidP="00E15A8A">
            <w:pPr>
              <w:tabs>
                <w:tab w:val="decimal" w:pos="960"/>
              </w:tabs>
              <w:spacing w:line="276" w:lineRule="auto"/>
              <w:rPr>
                <w:snapToGrid w:val="0"/>
                <w:sz w:val="22"/>
                <w:szCs w:val="22"/>
              </w:rPr>
            </w:pPr>
            <w:r w:rsidRPr="00E15A8A">
              <w:rPr>
                <w:snapToGrid w:val="0"/>
                <w:sz w:val="22"/>
                <w:szCs w:val="22"/>
              </w:rPr>
              <w:t>1,542</w:t>
            </w:r>
          </w:p>
        </w:tc>
        <w:tc>
          <w:tcPr>
            <w:tcW w:w="1208" w:type="dxa"/>
            <w:tcBorders>
              <w:bottom w:val="single" w:sz="4" w:space="0" w:color="auto"/>
            </w:tcBorders>
          </w:tcPr>
          <w:p w14:paraId="34968E20" w14:textId="77777777" w:rsidR="00E15A8A" w:rsidRPr="00E15A8A" w:rsidRDefault="00E15A8A" w:rsidP="00E15A8A">
            <w:pPr>
              <w:tabs>
                <w:tab w:val="decimal" w:pos="910"/>
              </w:tabs>
              <w:spacing w:line="276" w:lineRule="auto"/>
              <w:rPr>
                <w:snapToGrid w:val="0"/>
                <w:sz w:val="22"/>
                <w:szCs w:val="22"/>
              </w:rPr>
            </w:pPr>
            <w:r w:rsidRPr="00E15A8A">
              <w:rPr>
                <w:snapToGrid w:val="0"/>
                <w:sz w:val="22"/>
                <w:szCs w:val="22"/>
              </w:rPr>
              <w:t>1,086</w:t>
            </w:r>
          </w:p>
        </w:tc>
        <w:tc>
          <w:tcPr>
            <w:tcW w:w="1208" w:type="dxa"/>
          </w:tcPr>
          <w:p w14:paraId="0ED72A75" w14:textId="77777777" w:rsidR="00E15A8A" w:rsidRPr="00E15A8A" w:rsidRDefault="00E15A8A" w:rsidP="00E15A8A">
            <w:pPr>
              <w:tabs>
                <w:tab w:val="decimal" w:pos="860"/>
              </w:tabs>
              <w:spacing w:line="276" w:lineRule="auto"/>
              <w:rPr>
                <w:snapToGrid w:val="0"/>
                <w:sz w:val="22"/>
                <w:szCs w:val="22"/>
              </w:rPr>
            </w:pPr>
            <w:r w:rsidRPr="00E15A8A">
              <w:rPr>
                <w:snapToGrid w:val="0"/>
                <w:sz w:val="22"/>
                <w:szCs w:val="22"/>
              </w:rPr>
              <w:t>3,230</w:t>
            </w:r>
          </w:p>
        </w:tc>
        <w:tc>
          <w:tcPr>
            <w:tcW w:w="1208" w:type="dxa"/>
          </w:tcPr>
          <w:p w14:paraId="6F849342" w14:textId="77777777" w:rsidR="00E15A8A" w:rsidRPr="00E15A8A" w:rsidRDefault="00E15A8A" w:rsidP="00E15A8A">
            <w:pPr>
              <w:tabs>
                <w:tab w:val="decimal" w:pos="907"/>
              </w:tabs>
              <w:spacing w:line="276" w:lineRule="auto"/>
              <w:rPr>
                <w:snapToGrid w:val="0"/>
                <w:sz w:val="22"/>
                <w:szCs w:val="22"/>
              </w:rPr>
            </w:pPr>
            <w:r w:rsidRPr="00E15A8A">
              <w:rPr>
                <w:snapToGrid w:val="0"/>
                <w:sz w:val="22"/>
                <w:szCs w:val="22"/>
              </w:rPr>
              <w:t>2,543</w:t>
            </w:r>
          </w:p>
        </w:tc>
      </w:tr>
      <w:tr w:rsidR="00E15A8A" w:rsidRPr="00E15A8A" w14:paraId="48B6D01E" w14:textId="77777777" w:rsidTr="00D473CB">
        <w:trPr>
          <w:trHeight w:val="276"/>
        </w:trPr>
        <w:tc>
          <w:tcPr>
            <w:tcW w:w="237" w:type="dxa"/>
          </w:tcPr>
          <w:p w14:paraId="71403F0B" w14:textId="77777777" w:rsidR="00E15A8A" w:rsidRPr="00E15A8A" w:rsidRDefault="00E15A8A" w:rsidP="00E15A8A">
            <w:pPr>
              <w:spacing w:line="276" w:lineRule="auto"/>
              <w:jc w:val="right"/>
              <w:rPr>
                <w:snapToGrid w:val="0"/>
                <w:sz w:val="22"/>
                <w:szCs w:val="22"/>
              </w:rPr>
            </w:pPr>
          </w:p>
        </w:tc>
        <w:tc>
          <w:tcPr>
            <w:tcW w:w="1462" w:type="dxa"/>
          </w:tcPr>
          <w:p w14:paraId="48BF82D4" w14:textId="77777777" w:rsidR="00E15A8A" w:rsidRPr="00E15A8A" w:rsidRDefault="00E15A8A" w:rsidP="00E15A8A">
            <w:pPr>
              <w:spacing w:line="276" w:lineRule="auto"/>
              <w:jc w:val="right"/>
              <w:rPr>
                <w:snapToGrid w:val="0"/>
                <w:sz w:val="22"/>
                <w:szCs w:val="22"/>
              </w:rPr>
            </w:pPr>
          </w:p>
        </w:tc>
        <w:tc>
          <w:tcPr>
            <w:tcW w:w="2921" w:type="dxa"/>
          </w:tcPr>
          <w:p w14:paraId="760AE657" w14:textId="77777777" w:rsidR="00E15A8A" w:rsidRPr="00E15A8A" w:rsidRDefault="00E15A8A" w:rsidP="00E15A8A">
            <w:pPr>
              <w:spacing w:line="276" w:lineRule="auto"/>
              <w:jc w:val="right"/>
              <w:rPr>
                <w:snapToGrid w:val="0"/>
                <w:sz w:val="22"/>
                <w:szCs w:val="22"/>
              </w:rPr>
            </w:pPr>
          </w:p>
        </w:tc>
        <w:tc>
          <w:tcPr>
            <w:tcW w:w="478" w:type="dxa"/>
            <w:gridSpan w:val="2"/>
          </w:tcPr>
          <w:p w14:paraId="1B3383F4" w14:textId="77777777" w:rsidR="00E15A8A" w:rsidRPr="00E15A8A" w:rsidRDefault="00E15A8A" w:rsidP="00E15A8A">
            <w:pPr>
              <w:spacing w:line="276" w:lineRule="auto"/>
              <w:jc w:val="right"/>
              <w:rPr>
                <w:snapToGrid w:val="0"/>
                <w:sz w:val="22"/>
                <w:szCs w:val="22"/>
              </w:rPr>
            </w:pPr>
          </w:p>
        </w:tc>
        <w:tc>
          <w:tcPr>
            <w:tcW w:w="1208" w:type="dxa"/>
            <w:tcBorders>
              <w:top w:val="single" w:sz="4" w:space="0" w:color="auto"/>
              <w:bottom w:val="single" w:sz="4" w:space="0" w:color="auto"/>
            </w:tcBorders>
          </w:tcPr>
          <w:p w14:paraId="2259F44B" w14:textId="77777777" w:rsidR="00E15A8A" w:rsidRPr="00E15A8A" w:rsidRDefault="00E15A8A" w:rsidP="00E15A8A">
            <w:pPr>
              <w:tabs>
                <w:tab w:val="decimal" w:pos="960"/>
              </w:tabs>
              <w:spacing w:line="276" w:lineRule="auto"/>
              <w:rPr>
                <w:snapToGrid w:val="0"/>
                <w:sz w:val="22"/>
                <w:szCs w:val="22"/>
              </w:rPr>
            </w:pPr>
            <w:r w:rsidRPr="00E15A8A">
              <w:rPr>
                <w:snapToGrid w:val="0"/>
                <w:sz w:val="22"/>
                <w:szCs w:val="22"/>
              </w:rPr>
              <w:t>6,271</w:t>
            </w:r>
          </w:p>
        </w:tc>
        <w:tc>
          <w:tcPr>
            <w:tcW w:w="1208" w:type="dxa"/>
            <w:tcBorders>
              <w:top w:val="single" w:sz="4" w:space="0" w:color="auto"/>
              <w:bottom w:val="single" w:sz="4" w:space="0" w:color="auto"/>
            </w:tcBorders>
          </w:tcPr>
          <w:p w14:paraId="6FFDB41D" w14:textId="77777777" w:rsidR="00E15A8A" w:rsidRPr="00E15A8A" w:rsidRDefault="00E15A8A" w:rsidP="00E15A8A">
            <w:pPr>
              <w:tabs>
                <w:tab w:val="decimal" w:pos="910"/>
              </w:tabs>
              <w:spacing w:line="276" w:lineRule="auto"/>
              <w:rPr>
                <w:snapToGrid w:val="0"/>
                <w:sz w:val="22"/>
                <w:szCs w:val="22"/>
              </w:rPr>
            </w:pPr>
            <w:r w:rsidRPr="00E15A8A">
              <w:rPr>
                <w:snapToGrid w:val="0"/>
                <w:sz w:val="22"/>
                <w:szCs w:val="22"/>
              </w:rPr>
              <w:t>5,363</w:t>
            </w:r>
          </w:p>
        </w:tc>
        <w:tc>
          <w:tcPr>
            <w:tcW w:w="1208" w:type="dxa"/>
            <w:tcBorders>
              <w:top w:val="single" w:sz="6" w:space="0" w:color="auto"/>
            </w:tcBorders>
          </w:tcPr>
          <w:p w14:paraId="72F3B8B0" w14:textId="77777777" w:rsidR="00E15A8A" w:rsidRPr="00E15A8A" w:rsidRDefault="00E15A8A" w:rsidP="00E15A8A">
            <w:pPr>
              <w:tabs>
                <w:tab w:val="decimal" w:pos="860"/>
              </w:tabs>
              <w:spacing w:line="276" w:lineRule="auto"/>
              <w:rPr>
                <w:snapToGrid w:val="0"/>
                <w:sz w:val="22"/>
                <w:szCs w:val="22"/>
              </w:rPr>
            </w:pPr>
            <w:r w:rsidRPr="00E15A8A">
              <w:rPr>
                <w:snapToGrid w:val="0"/>
                <w:sz w:val="22"/>
                <w:szCs w:val="22"/>
              </w:rPr>
              <w:t>13,313</w:t>
            </w:r>
          </w:p>
        </w:tc>
        <w:tc>
          <w:tcPr>
            <w:tcW w:w="1208" w:type="dxa"/>
            <w:tcBorders>
              <w:top w:val="single" w:sz="6" w:space="0" w:color="auto"/>
            </w:tcBorders>
          </w:tcPr>
          <w:p w14:paraId="0B013765" w14:textId="77777777" w:rsidR="00E15A8A" w:rsidRPr="00E15A8A" w:rsidRDefault="00E15A8A" w:rsidP="00E15A8A">
            <w:pPr>
              <w:tabs>
                <w:tab w:val="decimal" w:pos="907"/>
              </w:tabs>
              <w:spacing w:line="276" w:lineRule="auto"/>
              <w:rPr>
                <w:snapToGrid w:val="0"/>
                <w:sz w:val="22"/>
                <w:szCs w:val="22"/>
              </w:rPr>
            </w:pPr>
            <w:r w:rsidRPr="00E15A8A">
              <w:rPr>
                <w:snapToGrid w:val="0"/>
                <w:sz w:val="22"/>
                <w:szCs w:val="22"/>
              </w:rPr>
              <w:t>11,246</w:t>
            </w:r>
          </w:p>
        </w:tc>
      </w:tr>
      <w:tr w:rsidR="00E15A8A" w:rsidRPr="00E15A8A" w14:paraId="19202603" w14:textId="77777777" w:rsidTr="00D473CB">
        <w:trPr>
          <w:trHeight w:val="276"/>
        </w:trPr>
        <w:tc>
          <w:tcPr>
            <w:tcW w:w="4620" w:type="dxa"/>
            <w:gridSpan w:val="3"/>
          </w:tcPr>
          <w:p w14:paraId="285AF21B" w14:textId="77777777" w:rsidR="00E15A8A" w:rsidRPr="00E15A8A" w:rsidRDefault="00E15A8A" w:rsidP="00E15A8A">
            <w:pPr>
              <w:spacing w:line="276" w:lineRule="auto"/>
              <w:rPr>
                <w:snapToGrid w:val="0"/>
                <w:sz w:val="22"/>
                <w:szCs w:val="22"/>
              </w:rPr>
            </w:pPr>
            <w:r w:rsidRPr="00E15A8A">
              <w:rPr>
                <w:snapToGrid w:val="0"/>
                <w:sz w:val="22"/>
                <w:szCs w:val="22"/>
              </w:rPr>
              <w:t>Loss from operations</w:t>
            </w:r>
          </w:p>
        </w:tc>
        <w:tc>
          <w:tcPr>
            <w:tcW w:w="478" w:type="dxa"/>
            <w:gridSpan w:val="2"/>
          </w:tcPr>
          <w:p w14:paraId="4406BC2B" w14:textId="77777777" w:rsidR="00E15A8A" w:rsidRPr="00E15A8A" w:rsidRDefault="00E15A8A" w:rsidP="00E15A8A">
            <w:pPr>
              <w:spacing w:line="276" w:lineRule="auto"/>
              <w:jc w:val="right"/>
              <w:rPr>
                <w:snapToGrid w:val="0"/>
                <w:sz w:val="22"/>
                <w:szCs w:val="22"/>
              </w:rPr>
            </w:pPr>
          </w:p>
        </w:tc>
        <w:tc>
          <w:tcPr>
            <w:tcW w:w="1208" w:type="dxa"/>
            <w:tcBorders>
              <w:top w:val="single" w:sz="4" w:space="0" w:color="auto"/>
            </w:tcBorders>
          </w:tcPr>
          <w:p w14:paraId="516D869A" w14:textId="77777777" w:rsidR="00E15A8A" w:rsidRPr="00E15A8A" w:rsidRDefault="00E15A8A" w:rsidP="00E15A8A">
            <w:pPr>
              <w:tabs>
                <w:tab w:val="decimal" w:pos="960"/>
              </w:tabs>
              <w:spacing w:line="276" w:lineRule="auto"/>
              <w:rPr>
                <w:snapToGrid w:val="0"/>
                <w:sz w:val="22"/>
                <w:szCs w:val="22"/>
              </w:rPr>
            </w:pPr>
            <w:r w:rsidRPr="00E15A8A">
              <w:rPr>
                <w:snapToGrid w:val="0"/>
                <w:sz w:val="22"/>
                <w:szCs w:val="22"/>
              </w:rPr>
              <w:t>(5,419)</w:t>
            </w:r>
          </w:p>
        </w:tc>
        <w:tc>
          <w:tcPr>
            <w:tcW w:w="1208" w:type="dxa"/>
            <w:tcBorders>
              <w:top w:val="single" w:sz="4" w:space="0" w:color="auto"/>
            </w:tcBorders>
          </w:tcPr>
          <w:p w14:paraId="71D198A2" w14:textId="77777777" w:rsidR="00E15A8A" w:rsidRPr="00E15A8A" w:rsidRDefault="00E15A8A" w:rsidP="00E15A8A">
            <w:pPr>
              <w:tabs>
                <w:tab w:val="decimal" w:pos="910"/>
              </w:tabs>
              <w:spacing w:line="276" w:lineRule="auto"/>
              <w:rPr>
                <w:snapToGrid w:val="0"/>
                <w:sz w:val="22"/>
                <w:szCs w:val="22"/>
              </w:rPr>
            </w:pPr>
            <w:r w:rsidRPr="00E15A8A">
              <w:rPr>
                <w:snapToGrid w:val="0"/>
                <w:sz w:val="22"/>
                <w:szCs w:val="22"/>
              </w:rPr>
              <w:t>(5,062)</w:t>
            </w:r>
          </w:p>
        </w:tc>
        <w:tc>
          <w:tcPr>
            <w:tcW w:w="1208" w:type="dxa"/>
            <w:tcBorders>
              <w:top w:val="single" w:sz="6" w:space="0" w:color="auto"/>
            </w:tcBorders>
          </w:tcPr>
          <w:p w14:paraId="10D98520" w14:textId="77777777" w:rsidR="00E15A8A" w:rsidRPr="00E15A8A" w:rsidRDefault="00E15A8A" w:rsidP="00E15A8A">
            <w:pPr>
              <w:tabs>
                <w:tab w:val="decimal" w:pos="860"/>
              </w:tabs>
              <w:spacing w:line="276" w:lineRule="auto"/>
              <w:rPr>
                <w:snapToGrid w:val="0"/>
                <w:sz w:val="22"/>
                <w:szCs w:val="22"/>
              </w:rPr>
            </w:pPr>
            <w:r w:rsidRPr="00E15A8A">
              <w:rPr>
                <w:snapToGrid w:val="0"/>
                <w:sz w:val="22"/>
                <w:szCs w:val="22"/>
              </w:rPr>
              <w:t>(10,824)</w:t>
            </w:r>
          </w:p>
        </w:tc>
        <w:tc>
          <w:tcPr>
            <w:tcW w:w="1208" w:type="dxa"/>
            <w:tcBorders>
              <w:top w:val="single" w:sz="6" w:space="0" w:color="auto"/>
            </w:tcBorders>
          </w:tcPr>
          <w:p w14:paraId="03D4E349" w14:textId="77777777" w:rsidR="00E15A8A" w:rsidRPr="00E15A8A" w:rsidRDefault="00E15A8A" w:rsidP="00E15A8A">
            <w:pPr>
              <w:tabs>
                <w:tab w:val="decimal" w:pos="907"/>
              </w:tabs>
              <w:spacing w:line="276" w:lineRule="auto"/>
              <w:rPr>
                <w:snapToGrid w:val="0"/>
                <w:sz w:val="22"/>
                <w:szCs w:val="22"/>
              </w:rPr>
            </w:pPr>
            <w:r w:rsidRPr="00E15A8A">
              <w:rPr>
                <w:snapToGrid w:val="0"/>
                <w:sz w:val="22"/>
                <w:szCs w:val="22"/>
              </w:rPr>
              <w:t>(10,945)</w:t>
            </w:r>
          </w:p>
        </w:tc>
      </w:tr>
      <w:tr w:rsidR="00E15A8A" w:rsidRPr="00E15A8A" w14:paraId="3E75C857" w14:textId="77777777" w:rsidTr="00D473CB">
        <w:trPr>
          <w:trHeight w:val="276"/>
        </w:trPr>
        <w:tc>
          <w:tcPr>
            <w:tcW w:w="4650" w:type="dxa"/>
            <w:gridSpan w:val="4"/>
          </w:tcPr>
          <w:p w14:paraId="015F074D" w14:textId="77777777" w:rsidR="00E15A8A" w:rsidRPr="00E15A8A" w:rsidRDefault="00E15A8A" w:rsidP="00E15A8A">
            <w:pPr>
              <w:spacing w:line="276" w:lineRule="auto"/>
              <w:rPr>
                <w:snapToGrid w:val="0"/>
                <w:sz w:val="22"/>
                <w:szCs w:val="22"/>
              </w:rPr>
            </w:pPr>
            <w:r w:rsidRPr="00E15A8A">
              <w:rPr>
                <w:snapToGrid w:val="0"/>
                <w:sz w:val="22"/>
                <w:szCs w:val="22"/>
              </w:rPr>
              <w:t>Other income (expense)</w:t>
            </w:r>
          </w:p>
        </w:tc>
        <w:tc>
          <w:tcPr>
            <w:tcW w:w="448" w:type="dxa"/>
          </w:tcPr>
          <w:p w14:paraId="35A7D004" w14:textId="77777777" w:rsidR="00E15A8A" w:rsidRPr="00E15A8A" w:rsidRDefault="00E15A8A" w:rsidP="00E15A8A">
            <w:pPr>
              <w:spacing w:line="276" w:lineRule="auto"/>
              <w:rPr>
                <w:snapToGrid w:val="0"/>
                <w:sz w:val="22"/>
                <w:szCs w:val="22"/>
              </w:rPr>
            </w:pPr>
          </w:p>
        </w:tc>
        <w:tc>
          <w:tcPr>
            <w:tcW w:w="1208" w:type="dxa"/>
          </w:tcPr>
          <w:p w14:paraId="01E40864" w14:textId="77777777" w:rsidR="00E15A8A" w:rsidRPr="00E15A8A" w:rsidRDefault="00E15A8A" w:rsidP="00E15A8A">
            <w:pPr>
              <w:tabs>
                <w:tab w:val="decimal" w:pos="960"/>
              </w:tabs>
              <w:spacing w:line="276" w:lineRule="auto"/>
              <w:rPr>
                <w:snapToGrid w:val="0"/>
                <w:sz w:val="22"/>
                <w:szCs w:val="22"/>
              </w:rPr>
            </w:pPr>
            <w:r w:rsidRPr="00E15A8A">
              <w:rPr>
                <w:snapToGrid w:val="0"/>
                <w:sz w:val="22"/>
                <w:szCs w:val="22"/>
              </w:rPr>
              <w:t>49</w:t>
            </w:r>
          </w:p>
        </w:tc>
        <w:tc>
          <w:tcPr>
            <w:tcW w:w="1208" w:type="dxa"/>
          </w:tcPr>
          <w:p w14:paraId="2422A897" w14:textId="77777777" w:rsidR="00E15A8A" w:rsidRPr="00E15A8A" w:rsidRDefault="00E15A8A" w:rsidP="00E15A8A">
            <w:pPr>
              <w:tabs>
                <w:tab w:val="decimal" w:pos="910"/>
              </w:tabs>
              <w:spacing w:line="276" w:lineRule="auto"/>
              <w:rPr>
                <w:snapToGrid w:val="0"/>
                <w:sz w:val="22"/>
                <w:szCs w:val="22"/>
              </w:rPr>
            </w:pPr>
            <w:r w:rsidRPr="00E15A8A">
              <w:rPr>
                <w:snapToGrid w:val="0"/>
                <w:sz w:val="22"/>
                <w:szCs w:val="22"/>
              </w:rPr>
              <w:t>(2)</w:t>
            </w:r>
          </w:p>
        </w:tc>
        <w:tc>
          <w:tcPr>
            <w:tcW w:w="1208" w:type="dxa"/>
          </w:tcPr>
          <w:p w14:paraId="60AA6E8A" w14:textId="77777777" w:rsidR="00E15A8A" w:rsidRPr="00E15A8A" w:rsidRDefault="00E15A8A" w:rsidP="00E15A8A">
            <w:pPr>
              <w:tabs>
                <w:tab w:val="decimal" w:pos="860"/>
              </w:tabs>
              <w:spacing w:line="276" w:lineRule="auto"/>
              <w:rPr>
                <w:snapToGrid w:val="0"/>
                <w:sz w:val="22"/>
                <w:szCs w:val="22"/>
              </w:rPr>
            </w:pPr>
            <w:r w:rsidRPr="00E15A8A">
              <w:rPr>
                <w:snapToGrid w:val="0"/>
                <w:sz w:val="22"/>
                <w:szCs w:val="22"/>
              </w:rPr>
              <w:t>97</w:t>
            </w:r>
          </w:p>
        </w:tc>
        <w:tc>
          <w:tcPr>
            <w:tcW w:w="1208" w:type="dxa"/>
          </w:tcPr>
          <w:p w14:paraId="055F9222" w14:textId="77777777" w:rsidR="00E15A8A" w:rsidRPr="00E15A8A" w:rsidRDefault="00E15A8A" w:rsidP="00E15A8A">
            <w:pPr>
              <w:tabs>
                <w:tab w:val="decimal" w:pos="907"/>
              </w:tabs>
              <w:spacing w:line="276" w:lineRule="auto"/>
              <w:rPr>
                <w:snapToGrid w:val="0"/>
                <w:sz w:val="22"/>
                <w:szCs w:val="22"/>
              </w:rPr>
            </w:pPr>
            <w:r w:rsidRPr="00E15A8A">
              <w:rPr>
                <w:snapToGrid w:val="0"/>
                <w:sz w:val="22"/>
                <w:szCs w:val="22"/>
              </w:rPr>
              <w:t>31</w:t>
            </w:r>
          </w:p>
        </w:tc>
      </w:tr>
      <w:tr w:rsidR="00E15A8A" w:rsidRPr="00E15A8A" w14:paraId="241034E7" w14:textId="77777777" w:rsidTr="00D473CB">
        <w:trPr>
          <w:trHeight w:val="276"/>
        </w:trPr>
        <w:tc>
          <w:tcPr>
            <w:tcW w:w="237" w:type="dxa"/>
          </w:tcPr>
          <w:p w14:paraId="47938EF7" w14:textId="77777777" w:rsidR="00E15A8A" w:rsidRPr="00E15A8A" w:rsidRDefault="00E15A8A" w:rsidP="00E15A8A">
            <w:pPr>
              <w:spacing w:line="276" w:lineRule="auto"/>
              <w:jc w:val="right"/>
              <w:rPr>
                <w:snapToGrid w:val="0"/>
                <w:sz w:val="22"/>
                <w:szCs w:val="22"/>
              </w:rPr>
            </w:pPr>
          </w:p>
        </w:tc>
        <w:tc>
          <w:tcPr>
            <w:tcW w:w="1462" w:type="dxa"/>
          </w:tcPr>
          <w:p w14:paraId="02E08003" w14:textId="77777777" w:rsidR="00E15A8A" w:rsidRPr="00E15A8A" w:rsidRDefault="00E15A8A" w:rsidP="00E15A8A">
            <w:pPr>
              <w:spacing w:line="276" w:lineRule="auto"/>
              <w:jc w:val="right"/>
              <w:rPr>
                <w:snapToGrid w:val="0"/>
                <w:sz w:val="22"/>
                <w:szCs w:val="22"/>
              </w:rPr>
            </w:pPr>
          </w:p>
        </w:tc>
        <w:tc>
          <w:tcPr>
            <w:tcW w:w="2921" w:type="dxa"/>
          </w:tcPr>
          <w:p w14:paraId="799BA43D" w14:textId="77777777" w:rsidR="00E15A8A" w:rsidRPr="00E15A8A" w:rsidRDefault="00E15A8A" w:rsidP="00E15A8A">
            <w:pPr>
              <w:spacing w:line="276" w:lineRule="auto"/>
              <w:jc w:val="right"/>
              <w:rPr>
                <w:snapToGrid w:val="0"/>
                <w:sz w:val="22"/>
                <w:szCs w:val="22"/>
              </w:rPr>
            </w:pPr>
          </w:p>
        </w:tc>
        <w:tc>
          <w:tcPr>
            <w:tcW w:w="478" w:type="dxa"/>
            <w:gridSpan w:val="2"/>
          </w:tcPr>
          <w:p w14:paraId="62F8BE5B" w14:textId="77777777" w:rsidR="00E15A8A" w:rsidRPr="00E15A8A" w:rsidRDefault="00E15A8A" w:rsidP="00E15A8A">
            <w:pPr>
              <w:spacing w:line="276" w:lineRule="auto"/>
              <w:jc w:val="right"/>
              <w:rPr>
                <w:snapToGrid w:val="0"/>
                <w:sz w:val="22"/>
                <w:szCs w:val="22"/>
              </w:rPr>
            </w:pPr>
          </w:p>
        </w:tc>
        <w:tc>
          <w:tcPr>
            <w:tcW w:w="1208" w:type="dxa"/>
            <w:tcBorders>
              <w:top w:val="single" w:sz="4" w:space="0" w:color="auto"/>
            </w:tcBorders>
          </w:tcPr>
          <w:p w14:paraId="7BABA61C" w14:textId="77777777" w:rsidR="00E15A8A" w:rsidRPr="00E15A8A" w:rsidRDefault="00E15A8A" w:rsidP="00E15A8A">
            <w:pPr>
              <w:tabs>
                <w:tab w:val="decimal" w:pos="960"/>
              </w:tabs>
              <w:spacing w:line="276" w:lineRule="auto"/>
              <w:rPr>
                <w:snapToGrid w:val="0"/>
                <w:sz w:val="22"/>
                <w:szCs w:val="22"/>
              </w:rPr>
            </w:pPr>
          </w:p>
        </w:tc>
        <w:tc>
          <w:tcPr>
            <w:tcW w:w="1208" w:type="dxa"/>
            <w:tcBorders>
              <w:top w:val="single" w:sz="4" w:space="0" w:color="auto"/>
            </w:tcBorders>
          </w:tcPr>
          <w:p w14:paraId="03108673" w14:textId="77777777" w:rsidR="00E15A8A" w:rsidRPr="00E15A8A" w:rsidRDefault="00E15A8A" w:rsidP="00E15A8A">
            <w:pPr>
              <w:tabs>
                <w:tab w:val="decimal" w:pos="910"/>
              </w:tabs>
              <w:spacing w:line="276" w:lineRule="auto"/>
              <w:rPr>
                <w:snapToGrid w:val="0"/>
                <w:sz w:val="22"/>
                <w:szCs w:val="22"/>
              </w:rPr>
            </w:pPr>
          </w:p>
        </w:tc>
        <w:tc>
          <w:tcPr>
            <w:tcW w:w="1208" w:type="dxa"/>
            <w:tcBorders>
              <w:top w:val="single" w:sz="6" w:space="0" w:color="auto"/>
            </w:tcBorders>
          </w:tcPr>
          <w:p w14:paraId="2C028A13" w14:textId="77777777" w:rsidR="00E15A8A" w:rsidRPr="00E15A8A" w:rsidRDefault="00E15A8A" w:rsidP="00E15A8A">
            <w:pPr>
              <w:tabs>
                <w:tab w:val="decimal" w:pos="860"/>
              </w:tabs>
              <w:spacing w:line="276" w:lineRule="auto"/>
              <w:jc w:val="center"/>
              <w:rPr>
                <w:snapToGrid w:val="0"/>
                <w:sz w:val="22"/>
                <w:szCs w:val="22"/>
              </w:rPr>
            </w:pPr>
          </w:p>
        </w:tc>
        <w:tc>
          <w:tcPr>
            <w:tcW w:w="1208" w:type="dxa"/>
            <w:tcBorders>
              <w:top w:val="single" w:sz="6" w:space="0" w:color="auto"/>
            </w:tcBorders>
          </w:tcPr>
          <w:p w14:paraId="7877B964" w14:textId="77777777" w:rsidR="00E15A8A" w:rsidRPr="00E15A8A" w:rsidRDefault="00E15A8A" w:rsidP="00E15A8A">
            <w:pPr>
              <w:tabs>
                <w:tab w:val="decimal" w:pos="907"/>
              </w:tabs>
              <w:spacing w:line="276" w:lineRule="auto"/>
              <w:jc w:val="center"/>
              <w:rPr>
                <w:snapToGrid w:val="0"/>
                <w:sz w:val="22"/>
                <w:szCs w:val="22"/>
              </w:rPr>
            </w:pPr>
          </w:p>
        </w:tc>
      </w:tr>
      <w:tr w:rsidR="00E15A8A" w:rsidRPr="00E15A8A" w14:paraId="0C517AFA" w14:textId="77777777" w:rsidTr="00D473CB">
        <w:trPr>
          <w:cantSplit/>
          <w:trHeight w:val="293"/>
        </w:trPr>
        <w:tc>
          <w:tcPr>
            <w:tcW w:w="4620" w:type="dxa"/>
            <w:gridSpan w:val="3"/>
          </w:tcPr>
          <w:p w14:paraId="1CCA5A43" w14:textId="77777777" w:rsidR="00E15A8A" w:rsidRPr="00E15A8A" w:rsidRDefault="00E15A8A" w:rsidP="00E15A8A">
            <w:pPr>
              <w:spacing w:line="276" w:lineRule="auto"/>
              <w:rPr>
                <w:snapToGrid w:val="0"/>
                <w:sz w:val="22"/>
                <w:szCs w:val="22"/>
              </w:rPr>
            </w:pPr>
            <w:r w:rsidRPr="00E15A8A">
              <w:rPr>
                <w:snapToGrid w:val="0"/>
                <w:sz w:val="22"/>
                <w:szCs w:val="22"/>
              </w:rPr>
              <w:t>Net loss</w:t>
            </w:r>
          </w:p>
        </w:tc>
        <w:tc>
          <w:tcPr>
            <w:tcW w:w="478" w:type="dxa"/>
            <w:gridSpan w:val="2"/>
          </w:tcPr>
          <w:p w14:paraId="19F575BD" w14:textId="77777777" w:rsidR="00E15A8A" w:rsidRPr="00E15A8A" w:rsidRDefault="00E15A8A" w:rsidP="00E15A8A">
            <w:pPr>
              <w:spacing w:line="276" w:lineRule="auto"/>
              <w:jc w:val="right"/>
              <w:rPr>
                <w:snapToGrid w:val="0"/>
                <w:sz w:val="22"/>
                <w:szCs w:val="22"/>
              </w:rPr>
            </w:pPr>
          </w:p>
        </w:tc>
        <w:tc>
          <w:tcPr>
            <w:tcW w:w="1208" w:type="dxa"/>
            <w:tcBorders>
              <w:bottom w:val="double" w:sz="4" w:space="0" w:color="auto"/>
            </w:tcBorders>
          </w:tcPr>
          <w:p w14:paraId="78B28C61" w14:textId="77777777" w:rsidR="00E15A8A" w:rsidRPr="00E15A8A" w:rsidRDefault="00E15A8A" w:rsidP="00E15A8A">
            <w:pPr>
              <w:tabs>
                <w:tab w:val="left" w:pos="150"/>
                <w:tab w:val="decimal" w:pos="960"/>
              </w:tabs>
              <w:spacing w:line="276" w:lineRule="auto"/>
              <w:rPr>
                <w:snapToGrid w:val="0"/>
                <w:sz w:val="22"/>
                <w:szCs w:val="22"/>
              </w:rPr>
            </w:pPr>
            <w:r w:rsidRPr="00E15A8A">
              <w:rPr>
                <w:snapToGrid w:val="0"/>
                <w:sz w:val="22"/>
                <w:szCs w:val="22"/>
              </w:rPr>
              <w:tab/>
              <w:t>$</w:t>
            </w:r>
            <w:r w:rsidRPr="00E15A8A">
              <w:rPr>
                <w:snapToGrid w:val="0"/>
                <w:sz w:val="22"/>
                <w:szCs w:val="22"/>
              </w:rPr>
              <w:tab/>
              <w:t>(5,370)</w:t>
            </w:r>
          </w:p>
        </w:tc>
        <w:tc>
          <w:tcPr>
            <w:tcW w:w="1208" w:type="dxa"/>
            <w:tcBorders>
              <w:bottom w:val="double" w:sz="4" w:space="0" w:color="auto"/>
            </w:tcBorders>
          </w:tcPr>
          <w:p w14:paraId="74C05255" w14:textId="77777777" w:rsidR="00E15A8A" w:rsidRPr="00E15A8A" w:rsidRDefault="00E15A8A" w:rsidP="00E15A8A">
            <w:pPr>
              <w:tabs>
                <w:tab w:val="left" w:pos="100"/>
                <w:tab w:val="decimal" w:pos="910"/>
              </w:tabs>
              <w:spacing w:line="276" w:lineRule="auto"/>
              <w:rPr>
                <w:snapToGrid w:val="0"/>
                <w:sz w:val="22"/>
                <w:szCs w:val="22"/>
              </w:rPr>
            </w:pPr>
            <w:r w:rsidRPr="00E15A8A">
              <w:rPr>
                <w:snapToGrid w:val="0"/>
                <w:sz w:val="22"/>
                <w:szCs w:val="22"/>
              </w:rPr>
              <w:tab/>
              <w:t>$</w:t>
            </w:r>
            <w:r w:rsidRPr="00E15A8A">
              <w:rPr>
                <w:snapToGrid w:val="0"/>
                <w:sz w:val="22"/>
                <w:szCs w:val="22"/>
              </w:rPr>
              <w:tab/>
              <w:t>(5,064)</w:t>
            </w:r>
          </w:p>
        </w:tc>
        <w:tc>
          <w:tcPr>
            <w:tcW w:w="1208" w:type="dxa"/>
            <w:tcBorders>
              <w:bottom w:val="double" w:sz="6" w:space="0" w:color="auto"/>
            </w:tcBorders>
          </w:tcPr>
          <w:p w14:paraId="112372B4" w14:textId="77777777" w:rsidR="00E15A8A" w:rsidRPr="00E15A8A" w:rsidRDefault="00E15A8A" w:rsidP="00E15A8A">
            <w:pPr>
              <w:tabs>
                <w:tab w:val="left" w:pos="50"/>
                <w:tab w:val="decimal" w:pos="860"/>
              </w:tabs>
              <w:spacing w:line="276" w:lineRule="auto"/>
              <w:rPr>
                <w:snapToGrid w:val="0"/>
                <w:sz w:val="22"/>
                <w:szCs w:val="22"/>
              </w:rPr>
            </w:pPr>
            <w:r w:rsidRPr="00E15A8A">
              <w:rPr>
                <w:snapToGrid w:val="0"/>
                <w:sz w:val="22"/>
                <w:szCs w:val="22"/>
              </w:rPr>
              <w:tab/>
              <w:t>$</w:t>
            </w:r>
            <w:r w:rsidRPr="00E15A8A">
              <w:rPr>
                <w:snapToGrid w:val="0"/>
                <w:sz w:val="22"/>
                <w:szCs w:val="22"/>
              </w:rPr>
              <w:tab/>
              <w:t>(10,727)</w:t>
            </w:r>
          </w:p>
        </w:tc>
        <w:tc>
          <w:tcPr>
            <w:tcW w:w="1208" w:type="dxa"/>
            <w:tcBorders>
              <w:bottom w:val="double" w:sz="6" w:space="0" w:color="auto"/>
            </w:tcBorders>
          </w:tcPr>
          <w:p w14:paraId="17F4258E" w14:textId="77777777" w:rsidR="00E15A8A" w:rsidRPr="00E15A8A" w:rsidRDefault="00E15A8A" w:rsidP="00E15A8A">
            <w:pPr>
              <w:tabs>
                <w:tab w:val="left" w:pos="97"/>
                <w:tab w:val="decimal" w:pos="907"/>
              </w:tabs>
              <w:spacing w:line="276" w:lineRule="auto"/>
              <w:rPr>
                <w:snapToGrid w:val="0"/>
                <w:sz w:val="22"/>
                <w:szCs w:val="22"/>
              </w:rPr>
            </w:pPr>
            <w:r w:rsidRPr="00E15A8A">
              <w:rPr>
                <w:snapToGrid w:val="0"/>
                <w:sz w:val="22"/>
                <w:szCs w:val="22"/>
              </w:rPr>
              <w:tab/>
              <w:t>$</w:t>
            </w:r>
            <w:r w:rsidRPr="00E15A8A">
              <w:rPr>
                <w:snapToGrid w:val="0"/>
                <w:sz w:val="22"/>
                <w:szCs w:val="22"/>
              </w:rPr>
              <w:tab/>
              <w:t>(10,914)</w:t>
            </w:r>
          </w:p>
        </w:tc>
      </w:tr>
      <w:tr w:rsidR="00E15A8A" w:rsidRPr="00E15A8A" w14:paraId="2A958B3F" w14:textId="77777777" w:rsidTr="00D473CB">
        <w:trPr>
          <w:trHeight w:val="293"/>
        </w:trPr>
        <w:tc>
          <w:tcPr>
            <w:tcW w:w="237" w:type="dxa"/>
          </w:tcPr>
          <w:p w14:paraId="2CE779C0" w14:textId="77777777" w:rsidR="00E15A8A" w:rsidRPr="00E15A8A" w:rsidRDefault="00E15A8A" w:rsidP="00E15A8A">
            <w:pPr>
              <w:spacing w:line="276" w:lineRule="auto"/>
              <w:jc w:val="right"/>
              <w:rPr>
                <w:snapToGrid w:val="0"/>
                <w:sz w:val="22"/>
                <w:szCs w:val="22"/>
              </w:rPr>
            </w:pPr>
          </w:p>
        </w:tc>
        <w:tc>
          <w:tcPr>
            <w:tcW w:w="1462" w:type="dxa"/>
          </w:tcPr>
          <w:p w14:paraId="473685AE" w14:textId="77777777" w:rsidR="00E15A8A" w:rsidRPr="00E15A8A" w:rsidRDefault="00E15A8A" w:rsidP="00E15A8A">
            <w:pPr>
              <w:spacing w:line="276" w:lineRule="auto"/>
              <w:jc w:val="right"/>
              <w:rPr>
                <w:snapToGrid w:val="0"/>
                <w:sz w:val="22"/>
                <w:szCs w:val="22"/>
              </w:rPr>
            </w:pPr>
          </w:p>
        </w:tc>
        <w:tc>
          <w:tcPr>
            <w:tcW w:w="2921" w:type="dxa"/>
          </w:tcPr>
          <w:p w14:paraId="11B33044" w14:textId="77777777" w:rsidR="00E15A8A" w:rsidRPr="00E15A8A" w:rsidRDefault="00E15A8A" w:rsidP="00E15A8A">
            <w:pPr>
              <w:spacing w:line="276" w:lineRule="auto"/>
              <w:jc w:val="right"/>
              <w:rPr>
                <w:snapToGrid w:val="0"/>
                <w:sz w:val="22"/>
                <w:szCs w:val="22"/>
              </w:rPr>
            </w:pPr>
          </w:p>
        </w:tc>
        <w:tc>
          <w:tcPr>
            <w:tcW w:w="478" w:type="dxa"/>
            <w:gridSpan w:val="2"/>
          </w:tcPr>
          <w:p w14:paraId="224F6231" w14:textId="77777777" w:rsidR="00E15A8A" w:rsidRPr="00E15A8A" w:rsidRDefault="00E15A8A" w:rsidP="00E15A8A">
            <w:pPr>
              <w:spacing w:line="276" w:lineRule="auto"/>
              <w:jc w:val="right"/>
              <w:rPr>
                <w:snapToGrid w:val="0"/>
                <w:sz w:val="22"/>
                <w:szCs w:val="22"/>
              </w:rPr>
            </w:pPr>
          </w:p>
        </w:tc>
        <w:tc>
          <w:tcPr>
            <w:tcW w:w="1208" w:type="dxa"/>
          </w:tcPr>
          <w:p w14:paraId="5A76C233" w14:textId="77777777" w:rsidR="00E15A8A" w:rsidRPr="00E15A8A" w:rsidRDefault="00E15A8A" w:rsidP="00E15A8A">
            <w:pPr>
              <w:spacing w:line="276" w:lineRule="auto"/>
              <w:jc w:val="center"/>
              <w:rPr>
                <w:snapToGrid w:val="0"/>
                <w:sz w:val="22"/>
                <w:szCs w:val="22"/>
              </w:rPr>
            </w:pPr>
          </w:p>
        </w:tc>
        <w:tc>
          <w:tcPr>
            <w:tcW w:w="1208" w:type="dxa"/>
          </w:tcPr>
          <w:p w14:paraId="1904F48C" w14:textId="77777777" w:rsidR="00E15A8A" w:rsidRPr="00E15A8A" w:rsidRDefault="00E15A8A" w:rsidP="00E15A8A">
            <w:pPr>
              <w:spacing w:line="276" w:lineRule="auto"/>
              <w:jc w:val="center"/>
              <w:rPr>
                <w:snapToGrid w:val="0"/>
                <w:sz w:val="22"/>
                <w:szCs w:val="22"/>
              </w:rPr>
            </w:pPr>
          </w:p>
        </w:tc>
        <w:tc>
          <w:tcPr>
            <w:tcW w:w="1208" w:type="dxa"/>
          </w:tcPr>
          <w:p w14:paraId="6E26666A" w14:textId="77777777" w:rsidR="00E15A8A" w:rsidRPr="00E15A8A" w:rsidRDefault="00E15A8A" w:rsidP="00E15A8A">
            <w:pPr>
              <w:spacing w:line="276" w:lineRule="auto"/>
              <w:jc w:val="center"/>
              <w:rPr>
                <w:snapToGrid w:val="0"/>
                <w:sz w:val="22"/>
                <w:szCs w:val="22"/>
              </w:rPr>
            </w:pPr>
          </w:p>
        </w:tc>
        <w:tc>
          <w:tcPr>
            <w:tcW w:w="1208" w:type="dxa"/>
          </w:tcPr>
          <w:p w14:paraId="5233DC41" w14:textId="77777777" w:rsidR="00E15A8A" w:rsidRPr="00E15A8A" w:rsidRDefault="00E15A8A" w:rsidP="00E15A8A">
            <w:pPr>
              <w:spacing w:line="276" w:lineRule="auto"/>
              <w:jc w:val="center"/>
              <w:rPr>
                <w:snapToGrid w:val="0"/>
                <w:sz w:val="22"/>
                <w:szCs w:val="22"/>
              </w:rPr>
            </w:pPr>
          </w:p>
        </w:tc>
      </w:tr>
      <w:tr w:rsidR="00E15A8A" w:rsidRPr="00E15A8A" w14:paraId="482301ED" w14:textId="77777777" w:rsidTr="00D473CB">
        <w:trPr>
          <w:trHeight w:val="276"/>
        </w:trPr>
        <w:tc>
          <w:tcPr>
            <w:tcW w:w="4620" w:type="dxa"/>
            <w:gridSpan w:val="3"/>
          </w:tcPr>
          <w:p w14:paraId="460BBD5D" w14:textId="77777777" w:rsidR="00E15A8A" w:rsidRPr="00E15A8A" w:rsidRDefault="00E15A8A" w:rsidP="00E15A8A">
            <w:pPr>
              <w:spacing w:line="276" w:lineRule="auto"/>
              <w:rPr>
                <w:snapToGrid w:val="0"/>
                <w:sz w:val="22"/>
                <w:szCs w:val="22"/>
              </w:rPr>
            </w:pPr>
            <w:r w:rsidRPr="00E15A8A">
              <w:rPr>
                <w:snapToGrid w:val="0"/>
                <w:sz w:val="22"/>
                <w:szCs w:val="22"/>
              </w:rPr>
              <w:t>Loss per common share</w:t>
            </w:r>
          </w:p>
        </w:tc>
        <w:tc>
          <w:tcPr>
            <w:tcW w:w="478" w:type="dxa"/>
            <w:gridSpan w:val="2"/>
          </w:tcPr>
          <w:p w14:paraId="4B6C6B95" w14:textId="77777777" w:rsidR="00E15A8A" w:rsidRPr="00E15A8A" w:rsidRDefault="00E15A8A" w:rsidP="00E15A8A">
            <w:pPr>
              <w:spacing w:line="276" w:lineRule="auto"/>
              <w:jc w:val="right"/>
              <w:rPr>
                <w:snapToGrid w:val="0"/>
                <w:sz w:val="22"/>
                <w:szCs w:val="22"/>
              </w:rPr>
            </w:pPr>
          </w:p>
        </w:tc>
        <w:tc>
          <w:tcPr>
            <w:tcW w:w="1208" w:type="dxa"/>
            <w:tcBorders>
              <w:bottom w:val="double" w:sz="4" w:space="0" w:color="auto"/>
            </w:tcBorders>
          </w:tcPr>
          <w:p w14:paraId="196801F5" w14:textId="77777777" w:rsidR="00E15A8A" w:rsidRPr="00E15A8A" w:rsidRDefault="00E15A8A" w:rsidP="00E15A8A">
            <w:pPr>
              <w:tabs>
                <w:tab w:val="left" w:pos="150"/>
                <w:tab w:val="decimal" w:pos="690"/>
              </w:tabs>
              <w:spacing w:line="276" w:lineRule="auto"/>
              <w:rPr>
                <w:snapToGrid w:val="0"/>
                <w:sz w:val="22"/>
                <w:szCs w:val="22"/>
              </w:rPr>
            </w:pPr>
            <w:r w:rsidRPr="00E15A8A">
              <w:rPr>
                <w:snapToGrid w:val="0"/>
                <w:sz w:val="22"/>
                <w:szCs w:val="22"/>
              </w:rPr>
              <w:tab/>
              <w:t>$</w:t>
            </w:r>
            <w:r w:rsidRPr="00E15A8A">
              <w:rPr>
                <w:snapToGrid w:val="0"/>
                <w:sz w:val="22"/>
                <w:szCs w:val="22"/>
              </w:rPr>
              <w:tab/>
              <w:t>(0.35)</w:t>
            </w:r>
          </w:p>
        </w:tc>
        <w:tc>
          <w:tcPr>
            <w:tcW w:w="1208" w:type="dxa"/>
            <w:tcBorders>
              <w:bottom w:val="double" w:sz="4" w:space="0" w:color="auto"/>
            </w:tcBorders>
          </w:tcPr>
          <w:p w14:paraId="461FCAC7" w14:textId="77777777" w:rsidR="00E15A8A" w:rsidRPr="00E15A8A" w:rsidRDefault="00E15A8A" w:rsidP="00E15A8A">
            <w:pPr>
              <w:tabs>
                <w:tab w:val="left" w:pos="100"/>
                <w:tab w:val="decimal" w:pos="640"/>
              </w:tabs>
              <w:spacing w:line="276" w:lineRule="auto"/>
              <w:rPr>
                <w:snapToGrid w:val="0"/>
                <w:sz w:val="22"/>
                <w:szCs w:val="22"/>
              </w:rPr>
            </w:pPr>
            <w:r w:rsidRPr="00E15A8A">
              <w:rPr>
                <w:snapToGrid w:val="0"/>
                <w:sz w:val="22"/>
                <w:szCs w:val="22"/>
              </w:rPr>
              <w:tab/>
              <w:t>$</w:t>
            </w:r>
            <w:r w:rsidRPr="00E15A8A">
              <w:rPr>
                <w:snapToGrid w:val="0"/>
                <w:sz w:val="22"/>
                <w:szCs w:val="22"/>
              </w:rPr>
              <w:tab/>
              <w:t>(1.99)</w:t>
            </w:r>
          </w:p>
        </w:tc>
        <w:tc>
          <w:tcPr>
            <w:tcW w:w="1208" w:type="dxa"/>
            <w:tcBorders>
              <w:bottom w:val="double" w:sz="4" w:space="0" w:color="auto"/>
            </w:tcBorders>
          </w:tcPr>
          <w:p w14:paraId="4CB305AA" w14:textId="77777777" w:rsidR="00E15A8A" w:rsidRPr="00E15A8A" w:rsidRDefault="00E15A8A" w:rsidP="00E15A8A">
            <w:pPr>
              <w:tabs>
                <w:tab w:val="left" w:pos="140"/>
                <w:tab w:val="decimal" w:pos="590"/>
              </w:tabs>
              <w:spacing w:line="276" w:lineRule="auto"/>
              <w:rPr>
                <w:snapToGrid w:val="0"/>
                <w:sz w:val="22"/>
                <w:szCs w:val="22"/>
              </w:rPr>
            </w:pPr>
            <w:r w:rsidRPr="00E15A8A">
              <w:rPr>
                <w:snapToGrid w:val="0"/>
                <w:sz w:val="22"/>
                <w:szCs w:val="22"/>
              </w:rPr>
              <w:tab/>
              <w:t>$</w:t>
            </w:r>
            <w:r w:rsidRPr="00E15A8A">
              <w:rPr>
                <w:snapToGrid w:val="0"/>
                <w:sz w:val="22"/>
                <w:szCs w:val="22"/>
              </w:rPr>
              <w:tab/>
              <w:t>(0.79)</w:t>
            </w:r>
          </w:p>
        </w:tc>
        <w:tc>
          <w:tcPr>
            <w:tcW w:w="1208" w:type="dxa"/>
            <w:tcBorders>
              <w:bottom w:val="double" w:sz="4" w:space="0" w:color="auto"/>
            </w:tcBorders>
          </w:tcPr>
          <w:p w14:paraId="0AED2EA4" w14:textId="77777777" w:rsidR="00E15A8A" w:rsidRPr="00E15A8A" w:rsidRDefault="00E15A8A" w:rsidP="00E15A8A">
            <w:pPr>
              <w:tabs>
                <w:tab w:val="left" w:pos="97"/>
                <w:tab w:val="decimal" w:pos="637"/>
              </w:tabs>
              <w:spacing w:line="276" w:lineRule="auto"/>
              <w:rPr>
                <w:snapToGrid w:val="0"/>
                <w:sz w:val="22"/>
                <w:szCs w:val="22"/>
              </w:rPr>
            </w:pPr>
            <w:r w:rsidRPr="00E15A8A">
              <w:rPr>
                <w:snapToGrid w:val="0"/>
                <w:sz w:val="22"/>
                <w:szCs w:val="22"/>
              </w:rPr>
              <w:tab/>
              <w:t>$</w:t>
            </w:r>
            <w:r w:rsidRPr="00E15A8A">
              <w:rPr>
                <w:snapToGrid w:val="0"/>
                <w:sz w:val="22"/>
                <w:szCs w:val="22"/>
              </w:rPr>
              <w:tab/>
              <w:t>(4.68)</w:t>
            </w:r>
          </w:p>
        </w:tc>
      </w:tr>
    </w:tbl>
    <w:p w14:paraId="020DAB5B" w14:textId="77777777" w:rsidR="00E15A8A" w:rsidRPr="00E15A8A" w:rsidRDefault="00E15A8A" w:rsidP="00E15A8A">
      <w:pPr>
        <w:jc w:val="both"/>
        <w:rPr>
          <w:sz w:val="22"/>
          <w:szCs w:val="22"/>
        </w:rPr>
      </w:pPr>
    </w:p>
    <w:p w14:paraId="617375C2" w14:textId="77777777" w:rsidR="00E15A8A" w:rsidRPr="00E15A8A" w:rsidRDefault="00E15A8A" w:rsidP="00E15A8A">
      <w:pPr>
        <w:jc w:val="both"/>
        <w:rPr>
          <w:sz w:val="22"/>
          <w:szCs w:val="22"/>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074"/>
        <w:gridCol w:w="1260"/>
        <w:gridCol w:w="1290"/>
      </w:tblGrid>
      <w:tr w:rsidR="00E15A8A" w:rsidRPr="00E15A8A" w14:paraId="43D4E516" w14:textId="77777777" w:rsidTr="00D473CB">
        <w:trPr>
          <w:cantSplit/>
          <w:trHeight w:val="293"/>
        </w:trPr>
        <w:tc>
          <w:tcPr>
            <w:tcW w:w="9930" w:type="dxa"/>
            <w:gridSpan w:val="8"/>
          </w:tcPr>
          <w:p w14:paraId="25797A0F" w14:textId="77777777" w:rsidR="00E15A8A" w:rsidRPr="00E15A8A" w:rsidRDefault="00E15A8A" w:rsidP="00E15A8A">
            <w:pPr>
              <w:jc w:val="center"/>
              <w:rPr>
                <w:b/>
                <w:bCs/>
                <w:snapToGrid w:val="0"/>
                <w:sz w:val="22"/>
                <w:szCs w:val="22"/>
              </w:rPr>
            </w:pPr>
          </w:p>
          <w:p w14:paraId="404C4F1E" w14:textId="77777777" w:rsidR="00E15A8A" w:rsidRPr="00E15A8A" w:rsidRDefault="00E15A8A" w:rsidP="00E15A8A">
            <w:pPr>
              <w:jc w:val="center"/>
              <w:rPr>
                <w:b/>
                <w:bCs/>
                <w:snapToGrid w:val="0"/>
                <w:sz w:val="22"/>
                <w:szCs w:val="22"/>
              </w:rPr>
            </w:pPr>
          </w:p>
          <w:p w14:paraId="4A83F82E" w14:textId="77777777" w:rsidR="00E15A8A" w:rsidRPr="00E15A8A" w:rsidRDefault="00E15A8A" w:rsidP="00E15A8A">
            <w:pPr>
              <w:jc w:val="center"/>
              <w:rPr>
                <w:snapToGrid w:val="0"/>
                <w:sz w:val="22"/>
                <w:szCs w:val="22"/>
              </w:rPr>
            </w:pPr>
            <w:r w:rsidRPr="00E15A8A">
              <w:rPr>
                <w:b/>
                <w:bCs/>
                <w:snapToGrid w:val="0"/>
                <w:sz w:val="22"/>
                <w:szCs w:val="22"/>
              </w:rPr>
              <w:t>Condensed Consolidated Balance Sheet Information</w:t>
            </w:r>
          </w:p>
        </w:tc>
      </w:tr>
      <w:tr w:rsidR="00E15A8A" w:rsidRPr="00E15A8A" w14:paraId="1FE6595F" w14:textId="77777777" w:rsidTr="00D473CB">
        <w:trPr>
          <w:cantSplit/>
          <w:trHeight w:val="293"/>
        </w:trPr>
        <w:tc>
          <w:tcPr>
            <w:tcW w:w="9930" w:type="dxa"/>
            <w:gridSpan w:val="8"/>
          </w:tcPr>
          <w:p w14:paraId="596557CE" w14:textId="77777777" w:rsidR="00E15A8A" w:rsidRPr="00E15A8A" w:rsidRDefault="00E15A8A" w:rsidP="00E15A8A">
            <w:pPr>
              <w:jc w:val="center"/>
              <w:rPr>
                <w:i/>
                <w:snapToGrid w:val="0"/>
                <w:sz w:val="22"/>
                <w:szCs w:val="22"/>
              </w:rPr>
            </w:pPr>
            <w:r w:rsidRPr="00E15A8A">
              <w:rPr>
                <w:bCs/>
                <w:i/>
                <w:snapToGrid w:val="0"/>
                <w:sz w:val="22"/>
                <w:szCs w:val="22"/>
              </w:rPr>
              <w:t>(amounts in thousands, except common share information)</w:t>
            </w:r>
          </w:p>
        </w:tc>
      </w:tr>
      <w:tr w:rsidR="00E15A8A" w:rsidRPr="00E15A8A" w14:paraId="58E5832A" w14:textId="77777777" w:rsidTr="00D473CB">
        <w:trPr>
          <w:trHeight w:val="276"/>
        </w:trPr>
        <w:tc>
          <w:tcPr>
            <w:tcW w:w="1699" w:type="dxa"/>
            <w:gridSpan w:val="2"/>
          </w:tcPr>
          <w:p w14:paraId="62FF5BB0" w14:textId="77777777" w:rsidR="00E15A8A" w:rsidRPr="00E15A8A" w:rsidRDefault="00E15A8A" w:rsidP="00E15A8A">
            <w:pPr>
              <w:rPr>
                <w:snapToGrid w:val="0"/>
                <w:sz w:val="22"/>
                <w:szCs w:val="22"/>
              </w:rPr>
            </w:pPr>
          </w:p>
        </w:tc>
        <w:tc>
          <w:tcPr>
            <w:tcW w:w="2921" w:type="dxa"/>
          </w:tcPr>
          <w:p w14:paraId="796D6865" w14:textId="77777777" w:rsidR="00E15A8A" w:rsidRPr="00E15A8A" w:rsidRDefault="00E15A8A" w:rsidP="00E15A8A">
            <w:pPr>
              <w:jc w:val="right"/>
              <w:rPr>
                <w:snapToGrid w:val="0"/>
                <w:sz w:val="22"/>
                <w:szCs w:val="22"/>
              </w:rPr>
            </w:pPr>
          </w:p>
        </w:tc>
        <w:tc>
          <w:tcPr>
            <w:tcW w:w="478" w:type="dxa"/>
          </w:tcPr>
          <w:p w14:paraId="754AD563" w14:textId="77777777" w:rsidR="00E15A8A" w:rsidRPr="00E15A8A" w:rsidRDefault="00E15A8A" w:rsidP="00E15A8A">
            <w:pPr>
              <w:jc w:val="right"/>
              <w:rPr>
                <w:snapToGrid w:val="0"/>
                <w:sz w:val="22"/>
                <w:szCs w:val="22"/>
              </w:rPr>
            </w:pPr>
          </w:p>
        </w:tc>
        <w:tc>
          <w:tcPr>
            <w:tcW w:w="1208" w:type="dxa"/>
          </w:tcPr>
          <w:p w14:paraId="52E929FB" w14:textId="77777777" w:rsidR="00E15A8A" w:rsidRPr="00E15A8A" w:rsidRDefault="00E15A8A" w:rsidP="00E15A8A">
            <w:pPr>
              <w:jc w:val="right"/>
              <w:rPr>
                <w:snapToGrid w:val="0"/>
                <w:sz w:val="22"/>
                <w:szCs w:val="22"/>
              </w:rPr>
            </w:pPr>
          </w:p>
        </w:tc>
        <w:tc>
          <w:tcPr>
            <w:tcW w:w="1074" w:type="dxa"/>
          </w:tcPr>
          <w:p w14:paraId="55FC5521" w14:textId="77777777" w:rsidR="00E15A8A" w:rsidRPr="00E15A8A" w:rsidRDefault="00E15A8A" w:rsidP="00E15A8A">
            <w:pPr>
              <w:jc w:val="right"/>
              <w:rPr>
                <w:snapToGrid w:val="0"/>
                <w:sz w:val="22"/>
                <w:szCs w:val="22"/>
              </w:rPr>
            </w:pPr>
          </w:p>
        </w:tc>
        <w:tc>
          <w:tcPr>
            <w:tcW w:w="1260" w:type="dxa"/>
            <w:tcBorders>
              <w:bottom w:val="single" w:sz="4" w:space="0" w:color="auto"/>
            </w:tcBorders>
          </w:tcPr>
          <w:p w14:paraId="4C5AAFC0" w14:textId="77777777" w:rsidR="00E15A8A" w:rsidRPr="00E15A8A" w:rsidRDefault="00E15A8A" w:rsidP="00E15A8A">
            <w:pPr>
              <w:jc w:val="center"/>
              <w:rPr>
                <w:snapToGrid w:val="0"/>
                <w:sz w:val="22"/>
                <w:szCs w:val="22"/>
              </w:rPr>
            </w:pPr>
            <w:r w:rsidRPr="00E15A8A">
              <w:rPr>
                <w:snapToGrid w:val="0"/>
                <w:sz w:val="22"/>
                <w:szCs w:val="22"/>
              </w:rPr>
              <w:t>June 30,</w:t>
            </w:r>
          </w:p>
          <w:p w14:paraId="4E152DA5" w14:textId="77777777" w:rsidR="00E15A8A" w:rsidRPr="00E15A8A" w:rsidRDefault="00E15A8A" w:rsidP="00E15A8A">
            <w:pPr>
              <w:jc w:val="center"/>
              <w:rPr>
                <w:snapToGrid w:val="0"/>
                <w:sz w:val="22"/>
                <w:szCs w:val="22"/>
              </w:rPr>
            </w:pPr>
            <w:r w:rsidRPr="00E15A8A">
              <w:rPr>
                <w:snapToGrid w:val="0"/>
                <w:sz w:val="22"/>
                <w:szCs w:val="22"/>
              </w:rPr>
              <w:t>2025</w:t>
            </w:r>
          </w:p>
        </w:tc>
        <w:tc>
          <w:tcPr>
            <w:tcW w:w="1290" w:type="dxa"/>
            <w:tcBorders>
              <w:bottom w:val="single" w:sz="4" w:space="0" w:color="auto"/>
            </w:tcBorders>
          </w:tcPr>
          <w:p w14:paraId="1D84E511" w14:textId="77777777" w:rsidR="00E15A8A" w:rsidRPr="00E15A8A" w:rsidRDefault="00E15A8A" w:rsidP="00E15A8A">
            <w:pPr>
              <w:jc w:val="center"/>
              <w:rPr>
                <w:snapToGrid w:val="0"/>
                <w:sz w:val="22"/>
                <w:szCs w:val="22"/>
              </w:rPr>
            </w:pPr>
            <w:r w:rsidRPr="00E15A8A">
              <w:rPr>
                <w:snapToGrid w:val="0"/>
                <w:sz w:val="22"/>
                <w:szCs w:val="22"/>
              </w:rPr>
              <w:t>Dec. 31,</w:t>
            </w:r>
          </w:p>
          <w:p w14:paraId="0E5473A7" w14:textId="77777777" w:rsidR="00E15A8A" w:rsidRPr="00E15A8A" w:rsidRDefault="00E15A8A" w:rsidP="00E15A8A">
            <w:pPr>
              <w:jc w:val="center"/>
              <w:rPr>
                <w:snapToGrid w:val="0"/>
                <w:sz w:val="22"/>
                <w:szCs w:val="22"/>
              </w:rPr>
            </w:pPr>
            <w:r w:rsidRPr="00E15A8A">
              <w:rPr>
                <w:snapToGrid w:val="0"/>
                <w:sz w:val="22"/>
                <w:szCs w:val="22"/>
              </w:rPr>
              <w:t>2024</w:t>
            </w:r>
          </w:p>
        </w:tc>
      </w:tr>
      <w:tr w:rsidR="00E15A8A" w:rsidRPr="00E15A8A" w14:paraId="5C47DB20" w14:textId="77777777" w:rsidTr="00D473CB">
        <w:trPr>
          <w:trHeight w:val="276"/>
        </w:trPr>
        <w:tc>
          <w:tcPr>
            <w:tcW w:w="1699" w:type="dxa"/>
            <w:gridSpan w:val="2"/>
          </w:tcPr>
          <w:p w14:paraId="77E5D69E" w14:textId="77777777" w:rsidR="00E15A8A" w:rsidRPr="00E15A8A" w:rsidRDefault="00E15A8A" w:rsidP="00E15A8A">
            <w:pPr>
              <w:rPr>
                <w:snapToGrid w:val="0"/>
                <w:sz w:val="22"/>
                <w:szCs w:val="22"/>
              </w:rPr>
            </w:pPr>
            <w:r w:rsidRPr="00E15A8A">
              <w:rPr>
                <w:snapToGrid w:val="0"/>
                <w:sz w:val="22"/>
                <w:szCs w:val="22"/>
              </w:rPr>
              <w:t>Assets:</w:t>
            </w:r>
          </w:p>
        </w:tc>
        <w:tc>
          <w:tcPr>
            <w:tcW w:w="2921" w:type="dxa"/>
          </w:tcPr>
          <w:p w14:paraId="47676EF9" w14:textId="77777777" w:rsidR="00E15A8A" w:rsidRPr="00E15A8A" w:rsidRDefault="00E15A8A" w:rsidP="00E15A8A">
            <w:pPr>
              <w:jc w:val="right"/>
              <w:rPr>
                <w:snapToGrid w:val="0"/>
                <w:sz w:val="22"/>
                <w:szCs w:val="22"/>
              </w:rPr>
            </w:pPr>
          </w:p>
        </w:tc>
        <w:tc>
          <w:tcPr>
            <w:tcW w:w="478" w:type="dxa"/>
          </w:tcPr>
          <w:p w14:paraId="66191ECC" w14:textId="77777777" w:rsidR="00E15A8A" w:rsidRPr="00E15A8A" w:rsidRDefault="00E15A8A" w:rsidP="00E15A8A">
            <w:pPr>
              <w:jc w:val="right"/>
              <w:rPr>
                <w:snapToGrid w:val="0"/>
                <w:sz w:val="22"/>
                <w:szCs w:val="22"/>
              </w:rPr>
            </w:pPr>
          </w:p>
        </w:tc>
        <w:tc>
          <w:tcPr>
            <w:tcW w:w="1208" w:type="dxa"/>
          </w:tcPr>
          <w:p w14:paraId="6CBF57DE" w14:textId="77777777" w:rsidR="00E15A8A" w:rsidRPr="00E15A8A" w:rsidRDefault="00E15A8A" w:rsidP="00E15A8A">
            <w:pPr>
              <w:jc w:val="right"/>
              <w:rPr>
                <w:snapToGrid w:val="0"/>
                <w:sz w:val="22"/>
                <w:szCs w:val="22"/>
              </w:rPr>
            </w:pPr>
          </w:p>
        </w:tc>
        <w:tc>
          <w:tcPr>
            <w:tcW w:w="1074" w:type="dxa"/>
          </w:tcPr>
          <w:p w14:paraId="039ABEBD" w14:textId="77777777" w:rsidR="00E15A8A" w:rsidRPr="00E15A8A" w:rsidRDefault="00E15A8A" w:rsidP="00E15A8A">
            <w:pPr>
              <w:jc w:val="right"/>
              <w:rPr>
                <w:snapToGrid w:val="0"/>
                <w:sz w:val="22"/>
                <w:szCs w:val="22"/>
              </w:rPr>
            </w:pPr>
          </w:p>
        </w:tc>
        <w:tc>
          <w:tcPr>
            <w:tcW w:w="1260" w:type="dxa"/>
          </w:tcPr>
          <w:p w14:paraId="6293F91A" w14:textId="77777777" w:rsidR="00E15A8A" w:rsidRPr="00E15A8A" w:rsidRDefault="00E15A8A" w:rsidP="00E15A8A">
            <w:pPr>
              <w:jc w:val="right"/>
              <w:rPr>
                <w:snapToGrid w:val="0"/>
                <w:sz w:val="22"/>
                <w:szCs w:val="22"/>
              </w:rPr>
            </w:pPr>
          </w:p>
        </w:tc>
        <w:tc>
          <w:tcPr>
            <w:tcW w:w="1290" w:type="dxa"/>
            <w:tcBorders>
              <w:top w:val="single" w:sz="4" w:space="0" w:color="auto"/>
            </w:tcBorders>
          </w:tcPr>
          <w:p w14:paraId="61C84D3C" w14:textId="77777777" w:rsidR="00E15A8A" w:rsidRPr="00E15A8A" w:rsidRDefault="00E15A8A" w:rsidP="00E15A8A">
            <w:pPr>
              <w:jc w:val="right"/>
              <w:rPr>
                <w:snapToGrid w:val="0"/>
                <w:sz w:val="22"/>
                <w:szCs w:val="22"/>
              </w:rPr>
            </w:pPr>
          </w:p>
        </w:tc>
      </w:tr>
      <w:tr w:rsidR="00E15A8A" w:rsidRPr="00E15A8A" w14:paraId="27B72EA2" w14:textId="77777777" w:rsidTr="00D473CB">
        <w:trPr>
          <w:trHeight w:val="276"/>
        </w:trPr>
        <w:tc>
          <w:tcPr>
            <w:tcW w:w="237" w:type="dxa"/>
          </w:tcPr>
          <w:p w14:paraId="4BAE3CC8" w14:textId="77777777" w:rsidR="00E15A8A" w:rsidRPr="00E15A8A" w:rsidRDefault="00E15A8A" w:rsidP="00E15A8A">
            <w:pPr>
              <w:jc w:val="right"/>
              <w:rPr>
                <w:snapToGrid w:val="0"/>
                <w:sz w:val="22"/>
                <w:szCs w:val="22"/>
              </w:rPr>
            </w:pPr>
            <w:bookmarkStart w:id="0" w:name="_Hlk69717749"/>
          </w:p>
        </w:tc>
        <w:tc>
          <w:tcPr>
            <w:tcW w:w="4383" w:type="dxa"/>
            <w:gridSpan w:val="2"/>
          </w:tcPr>
          <w:p w14:paraId="765E9C8B" w14:textId="77777777" w:rsidR="00E15A8A" w:rsidRPr="00E15A8A" w:rsidRDefault="00E15A8A" w:rsidP="00E15A8A">
            <w:pPr>
              <w:rPr>
                <w:snapToGrid w:val="0"/>
                <w:sz w:val="22"/>
                <w:szCs w:val="22"/>
              </w:rPr>
            </w:pPr>
            <w:r w:rsidRPr="00E15A8A">
              <w:rPr>
                <w:snapToGrid w:val="0"/>
                <w:sz w:val="22"/>
                <w:szCs w:val="22"/>
              </w:rPr>
              <w:t>Cash and cash equivalents</w:t>
            </w:r>
          </w:p>
        </w:tc>
        <w:tc>
          <w:tcPr>
            <w:tcW w:w="478" w:type="dxa"/>
          </w:tcPr>
          <w:p w14:paraId="26A8832C" w14:textId="77777777" w:rsidR="00E15A8A" w:rsidRPr="00E15A8A" w:rsidRDefault="00E15A8A" w:rsidP="00E15A8A">
            <w:pPr>
              <w:jc w:val="right"/>
              <w:rPr>
                <w:snapToGrid w:val="0"/>
                <w:sz w:val="22"/>
                <w:szCs w:val="22"/>
              </w:rPr>
            </w:pPr>
          </w:p>
        </w:tc>
        <w:tc>
          <w:tcPr>
            <w:tcW w:w="1208" w:type="dxa"/>
          </w:tcPr>
          <w:p w14:paraId="29BD006F" w14:textId="77777777" w:rsidR="00E15A8A" w:rsidRPr="00E15A8A" w:rsidRDefault="00E15A8A" w:rsidP="00E15A8A">
            <w:pPr>
              <w:tabs>
                <w:tab w:val="left" w:pos="150"/>
                <w:tab w:val="decimal" w:pos="960"/>
              </w:tabs>
              <w:rPr>
                <w:snapToGrid w:val="0"/>
                <w:sz w:val="22"/>
                <w:szCs w:val="22"/>
              </w:rPr>
            </w:pPr>
          </w:p>
        </w:tc>
        <w:tc>
          <w:tcPr>
            <w:tcW w:w="1074" w:type="dxa"/>
          </w:tcPr>
          <w:p w14:paraId="52C666CF" w14:textId="77777777" w:rsidR="00E15A8A" w:rsidRPr="00E15A8A" w:rsidRDefault="00E15A8A" w:rsidP="00E15A8A">
            <w:pPr>
              <w:tabs>
                <w:tab w:val="left" w:pos="180"/>
                <w:tab w:val="decimal" w:pos="910"/>
              </w:tabs>
              <w:rPr>
                <w:snapToGrid w:val="0"/>
                <w:sz w:val="22"/>
                <w:szCs w:val="22"/>
              </w:rPr>
            </w:pPr>
          </w:p>
        </w:tc>
        <w:tc>
          <w:tcPr>
            <w:tcW w:w="1260" w:type="dxa"/>
          </w:tcPr>
          <w:p w14:paraId="2062EDCA" w14:textId="77777777" w:rsidR="00E15A8A" w:rsidRPr="00E15A8A" w:rsidRDefault="00E15A8A" w:rsidP="00E15A8A">
            <w:pPr>
              <w:tabs>
                <w:tab w:val="left" w:pos="165"/>
                <w:tab w:val="decimal" w:pos="960"/>
              </w:tabs>
              <w:rPr>
                <w:snapToGrid w:val="0"/>
                <w:sz w:val="22"/>
                <w:szCs w:val="22"/>
              </w:rPr>
            </w:pPr>
            <w:r w:rsidRPr="00E15A8A">
              <w:rPr>
                <w:snapToGrid w:val="0"/>
                <w:sz w:val="22"/>
                <w:szCs w:val="22"/>
              </w:rPr>
              <w:t>$</w:t>
            </w:r>
            <w:r w:rsidRPr="00E15A8A">
              <w:rPr>
                <w:snapToGrid w:val="0"/>
                <w:sz w:val="22"/>
                <w:szCs w:val="22"/>
              </w:rPr>
              <w:tab/>
            </w:r>
            <w:r w:rsidRPr="00E15A8A">
              <w:rPr>
                <w:snapToGrid w:val="0"/>
                <w:sz w:val="22"/>
                <w:szCs w:val="22"/>
              </w:rPr>
              <w:tab/>
              <w:t>3,094</w:t>
            </w:r>
          </w:p>
        </w:tc>
        <w:tc>
          <w:tcPr>
            <w:tcW w:w="1290" w:type="dxa"/>
          </w:tcPr>
          <w:p w14:paraId="0E492904" w14:textId="77777777" w:rsidR="00E15A8A" w:rsidRPr="00E15A8A" w:rsidRDefault="00E15A8A" w:rsidP="00E15A8A">
            <w:pPr>
              <w:tabs>
                <w:tab w:val="left" w:pos="150"/>
                <w:tab w:val="decimal" w:pos="1005"/>
              </w:tabs>
              <w:rPr>
                <w:snapToGrid w:val="0"/>
                <w:sz w:val="22"/>
                <w:szCs w:val="22"/>
              </w:rPr>
            </w:pPr>
            <w:r w:rsidRPr="00E15A8A">
              <w:rPr>
                <w:snapToGrid w:val="0"/>
                <w:sz w:val="22"/>
                <w:szCs w:val="22"/>
              </w:rPr>
              <w:t>$</w:t>
            </w:r>
            <w:r w:rsidRPr="00E15A8A">
              <w:rPr>
                <w:snapToGrid w:val="0"/>
                <w:sz w:val="22"/>
                <w:szCs w:val="22"/>
              </w:rPr>
              <w:tab/>
            </w:r>
            <w:r w:rsidRPr="00E15A8A">
              <w:rPr>
                <w:snapToGrid w:val="0"/>
                <w:sz w:val="22"/>
                <w:szCs w:val="22"/>
              </w:rPr>
              <w:tab/>
              <w:t>5,507</w:t>
            </w:r>
          </w:p>
        </w:tc>
      </w:tr>
      <w:tr w:rsidR="00E15A8A" w:rsidRPr="00E15A8A" w14:paraId="7B74CC33" w14:textId="77777777" w:rsidTr="00D473CB">
        <w:trPr>
          <w:trHeight w:val="276"/>
        </w:trPr>
        <w:tc>
          <w:tcPr>
            <w:tcW w:w="237" w:type="dxa"/>
          </w:tcPr>
          <w:p w14:paraId="3984CED3" w14:textId="77777777" w:rsidR="00E15A8A" w:rsidRPr="00E15A8A" w:rsidRDefault="00E15A8A" w:rsidP="00E15A8A">
            <w:pPr>
              <w:jc w:val="right"/>
              <w:rPr>
                <w:snapToGrid w:val="0"/>
                <w:sz w:val="22"/>
                <w:szCs w:val="22"/>
              </w:rPr>
            </w:pPr>
            <w:bookmarkStart w:id="1" w:name="_Hlk69717696"/>
            <w:bookmarkEnd w:id="0"/>
          </w:p>
        </w:tc>
        <w:tc>
          <w:tcPr>
            <w:tcW w:w="4383" w:type="dxa"/>
            <w:gridSpan w:val="2"/>
          </w:tcPr>
          <w:p w14:paraId="36FF438D" w14:textId="77777777" w:rsidR="00E15A8A" w:rsidRPr="00E15A8A" w:rsidRDefault="00E15A8A" w:rsidP="00E15A8A">
            <w:pPr>
              <w:rPr>
                <w:snapToGrid w:val="0"/>
                <w:sz w:val="22"/>
                <w:szCs w:val="22"/>
              </w:rPr>
            </w:pPr>
            <w:r w:rsidRPr="00E15A8A">
              <w:rPr>
                <w:snapToGrid w:val="0"/>
                <w:sz w:val="22"/>
                <w:szCs w:val="22"/>
              </w:rPr>
              <w:t>Other current assets</w:t>
            </w:r>
          </w:p>
        </w:tc>
        <w:tc>
          <w:tcPr>
            <w:tcW w:w="478" w:type="dxa"/>
          </w:tcPr>
          <w:p w14:paraId="79CF5C53" w14:textId="77777777" w:rsidR="00E15A8A" w:rsidRPr="00E15A8A" w:rsidRDefault="00E15A8A" w:rsidP="00E15A8A">
            <w:pPr>
              <w:jc w:val="right"/>
              <w:rPr>
                <w:snapToGrid w:val="0"/>
                <w:sz w:val="22"/>
                <w:szCs w:val="22"/>
              </w:rPr>
            </w:pPr>
          </w:p>
        </w:tc>
        <w:tc>
          <w:tcPr>
            <w:tcW w:w="1208" w:type="dxa"/>
          </w:tcPr>
          <w:p w14:paraId="2315CFC5" w14:textId="77777777" w:rsidR="00E15A8A" w:rsidRPr="00E15A8A" w:rsidRDefault="00E15A8A" w:rsidP="00E15A8A">
            <w:pPr>
              <w:rPr>
                <w:snapToGrid w:val="0"/>
                <w:sz w:val="22"/>
                <w:szCs w:val="22"/>
              </w:rPr>
            </w:pPr>
          </w:p>
        </w:tc>
        <w:tc>
          <w:tcPr>
            <w:tcW w:w="1074" w:type="dxa"/>
          </w:tcPr>
          <w:p w14:paraId="16D07689" w14:textId="77777777" w:rsidR="00E15A8A" w:rsidRPr="00E15A8A" w:rsidRDefault="00E15A8A" w:rsidP="00E15A8A">
            <w:pPr>
              <w:rPr>
                <w:snapToGrid w:val="0"/>
                <w:sz w:val="22"/>
                <w:szCs w:val="22"/>
              </w:rPr>
            </w:pPr>
          </w:p>
        </w:tc>
        <w:tc>
          <w:tcPr>
            <w:tcW w:w="1260" w:type="dxa"/>
            <w:tcBorders>
              <w:bottom w:val="single" w:sz="4" w:space="0" w:color="auto"/>
            </w:tcBorders>
          </w:tcPr>
          <w:p w14:paraId="56602190" w14:textId="77777777" w:rsidR="00E15A8A" w:rsidRPr="00E15A8A" w:rsidRDefault="00E15A8A" w:rsidP="00E15A8A">
            <w:pPr>
              <w:tabs>
                <w:tab w:val="decimal" w:pos="960"/>
              </w:tabs>
              <w:rPr>
                <w:snapToGrid w:val="0"/>
                <w:sz w:val="22"/>
                <w:szCs w:val="22"/>
              </w:rPr>
            </w:pPr>
            <w:r w:rsidRPr="00E15A8A">
              <w:rPr>
                <w:snapToGrid w:val="0"/>
                <w:sz w:val="22"/>
                <w:szCs w:val="22"/>
              </w:rPr>
              <w:t>2,041</w:t>
            </w:r>
          </w:p>
        </w:tc>
        <w:tc>
          <w:tcPr>
            <w:tcW w:w="1290" w:type="dxa"/>
            <w:tcBorders>
              <w:bottom w:val="single" w:sz="4" w:space="0" w:color="auto"/>
            </w:tcBorders>
          </w:tcPr>
          <w:p w14:paraId="40F46934" w14:textId="77777777" w:rsidR="00E15A8A" w:rsidRPr="00E15A8A" w:rsidRDefault="00E15A8A" w:rsidP="00E15A8A">
            <w:pPr>
              <w:tabs>
                <w:tab w:val="decimal" w:pos="1005"/>
              </w:tabs>
              <w:rPr>
                <w:snapToGrid w:val="0"/>
                <w:sz w:val="22"/>
                <w:szCs w:val="22"/>
              </w:rPr>
            </w:pPr>
            <w:r w:rsidRPr="00E15A8A">
              <w:rPr>
                <w:snapToGrid w:val="0"/>
                <w:sz w:val="22"/>
                <w:szCs w:val="22"/>
              </w:rPr>
              <w:t>2,428</w:t>
            </w:r>
          </w:p>
        </w:tc>
      </w:tr>
      <w:bookmarkEnd w:id="1"/>
      <w:tr w:rsidR="00E15A8A" w:rsidRPr="00E15A8A" w14:paraId="06111AB8" w14:textId="77777777" w:rsidTr="00D473CB">
        <w:trPr>
          <w:trHeight w:val="276"/>
        </w:trPr>
        <w:tc>
          <w:tcPr>
            <w:tcW w:w="237" w:type="dxa"/>
          </w:tcPr>
          <w:p w14:paraId="4ACAB856" w14:textId="77777777" w:rsidR="00E15A8A" w:rsidRPr="00E15A8A" w:rsidRDefault="00E15A8A" w:rsidP="00E15A8A">
            <w:pPr>
              <w:jc w:val="right"/>
              <w:rPr>
                <w:snapToGrid w:val="0"/>
                <w:sz w:val="22"/>
                <w:szCs w:val="22"/>
              </w:rPr>
            </w:pPr>
          </w:p>
        </w:tc>
        <w:tc>
          <w:tcPr>
            <w:tcW w:w="4383" w:type="dxa"/>
            <w:gridSpan w:val="2"/>
          </w:tcPr>
          <w:p w14:paraId="5E0EA62A" w14:textId="77777777" w:rsidR="00E15A8A" w:rsidRPr="00E15A8A" w:rsidRDefault="00E15A8A" w:rsidP="00E15A8A">
            <w:pPr>
              <w:rPr>
                <w:snapToGrid w:val="0"/>
                <w:sz w:val="22"/>
                <w:szCs w:val="22"/>
              </w:rPr>
            </w:pPr>
            <w:r w:rsidRPr="00E15A8A">
              <w:rPr>
                <w:snapToGrid w:val="0"/>
                <w:sz w:val="22"/>
                <w:szCs w:val="22"/>
              </w:rPr>
              <w:t>Total current assets</w:t>
            </w:r>
          </w:p>
        </w:tc>
        <w:tc>
          <w:tcPr>
            <w:tcW w:w="478" w:type="dxa"/>
          </w:tcPr>
          <w:p w14:paraId="73097AD0" w14:textId="77777777" w:rsidR="00E15A8A" w:rsidRPr="00E15A8A" w:rsidRDefault="00E15A8A" w:rsidP="00E15A8A">
            <w:pPr>
              <w:jc w:val="right"/>
              <w:rPr>
                <w:snapToGrid w:val="0"/>
                <w:sz w:val="22"/>
                <w:szCs w:val="22"/>
              </w:rPr>
            </w:pPr>
          </w:p>
        </w:tc>
        <w:tc>
          <w:tcPr>
            <w:tcW w:w="1208" w:type="dxa"/>
          </w:tcPr>
          <w:p w14:paraId="4DB96A6F" w14:textId="77777777" w:rsidR="00E15A8A" w:rsidRPr="00E15A8A" w:rsidRDefault="00E15A8A" w:rsidP="00E15A8A">
            <w:pPr>
              <w:jc w:val="right"/>
              <w:rPr>
                <w:snapToGrid w:val="0"/>
                <w:sz w:val="22"/>
                <w:szCs w:val="22"/>
              </w:rPr>
            </w:pPr>
          </w:p>
        </w:tc>
        <w:tc>
          <w:tcPr>
            <w:tcW w:w="1074" w:type="dxa"/>
          </w:tcPr>
          <w:p w14:paraId="5D34FB51" w14:textId="77777777" w:rsidR="00E15A8A" w:rsidRPr="00E15A8A" w:rsidRDefault="00E15A8A" w:rsidP="00E15A8A">
            <w:pPr>
              <w:jc w:val="right"/>
              <w:rPr>
                <w:snapToGrid w:val="0"/>
                <w:sz w:val="22"/>
                <w:szCs w:val="22"/>
              </w:rPr>
            </w:pPr>
          </w:p>
        </w:tc>
        <w:tc>
          <w:tcPr>
            <w:tcW w:w="1260" w:type="dxa"/>
            <w:tcBorders>
              <w:top w:val="single" w:sz="4" w:space="0" w:color="auto"/>
            </w:tcBorders>
          </w:tcPr>
          <w:p w14:paraId="549A27D8" w14:textId="77777777" w:rsidR="00E15A8A" w:rsidRPr="00E15A8A" w:rsidRDefault="00E15A8A" w:rsidP="00E15A8A">
            <w:pPr>
              <w:tabs>
                <w:tab w:val="left" w:pos="150"/>
                <w:tab w:val="decimal" w:pos="960"/>
              </w:tabs>
              <w:rPr>
                <w:snapToGrid w:val="0"/>
                <w:sz w:val="22"/>
                <w:szCs w:val="22"/>
              </w:rPr>
            </w:pPr>
            <w:r w:rsidRPr="00E15A8A">
              <w:rPr>
                <w:snapToGrid w:val="0"/>
                <w:sz w:val="22"/>
                <w:szCs w:val="22"/>
              </w:rPr>
              <w:tab/>
            </w:r>
            <w:r w:rsidRPr="00E15A8A">
              <w:rPr>
                <w:snapToGrid w:val="0"/>
                <w:sz w:val="22"/>
                <w:szCs w:val="22"/>
              </w:rPr>
              <w:tab/>
              <w:t>5,135</w:t>
            </w:r>
          </w:p>
        </w:tc>
        <w:tc>
          <w:tcPr>
            <w:tcW w:w="1290" w:type="dxa"/>
            <w:tcBorders>
              <w:top w:val="single" w:sz="4" w:space="0" w:color="auto"/>
            </w:tcBorders>
          </w:tcPr>
          <w:p w14:paraId="38F76602" w14:textId="77777777" w:rsidR="00E15A8A" w:rsidRPr="00E15A8A" w:rsidRDefault="00E15A8A" w:rsidP="00E15A8A">
            <w:pPr>
              <w:tabs>
                <w:tab w:val="left" w:pos="195"/>
                <w:tab w:val="decimal" w:pos="1005"/>
              </w:tabs>
              <w:rPr>
                <w:snapToGrid w:val="0"/>
                <w:sz w:val="22"/>
                <w:szCs w:val="22"/>
              </w:rPr>
            </w:pPr>
            <w:r w:rsidRPr="00E15A8A">
              <w:rPr>
                <w:snapToGrid w:val="0"/>
                <w:sz w:val="22"/>
                <w:szCs w:val="22"/>
              </w:rPr>
              <w:tab/>
            </w:r>
            <w:r w:rsidRPr="00E15A8A">
              <w:rPr>
                <w:snapToGrid w:val="0"/>
                <w:sz w:val="22"/>
                <w:szCs w:val="22"/>
              </w:rPr>
              <w:tab/>
              <w:t>7,935</w:t>
            </w:r>
          </w:p>
        </w:tc>
      </w:tr>
      <w:tr w:rsidR="00E15A8A" w:rsidRPr="00E15A8A" w14:paraId="436E7B5D" w14:textId="77777777" w:rsidTr="00D473CB">
        <w:trPr>
          <w:trHeight w:val="276"/>
        </w:trPr>
        <w:tc>
          <w:tcPr>
            <w:tcW w:w="237" w:type="dxa"/>
          </w:tcPr>
          <w:p w14:paraId="593ABCF7" w14:textId="77777777" w:rsidR="00E15A8A" w:rsidRPr="00E15A8A" w:rsidRDefault="00E15A8A" w:rsidP="00E15A8A">
            <w:pPr>
              <w:jc w:val="right"/>
              <w:rPr>
                <w:snapToGrid w:val="0"/>
                <w:sz w:val="22"/>
                <w:szCs w:val="22"/>
              </w:rPr>
            </w:pPr>
          </w:p>
        </w:tc>
        <w:tc>
          <w:tcPr>
            <w:tcW w:w="4383" w:type="dxa"/>
            <w:gridSpan w:val="2"/>
          </w:tcPr>
          <w:p w14:paraId="3D702B71" w14:textId="77777777" w:rsidR="00E15A8A" w:rsidRPr="00E15A8A" w:rsidRDefault="00E15A8A" w:rsidP="00E15A8A">
            <w:pPr>
              <w:rPr>
                <w:snapToGrid w:val="0"/>
                <w:sz w:val="22"/>
                <w:szCs w:val="22"/>
              </w:rPr>
            </w:pPr>
            <w:r w:rsidRPr="00E15A8A">
              <w:rPr>
                <w:snapToGrid w:val="0"/>
                <w:sz w:val="22"/>
                <w:szCs w:val="22"/>
              </w:rPr>
              <w:t>Property and other assets, net</w:t>
            </w:r>
          </w:p>
        </w:tc>
        <w:tc>
          <w:tcPr>
            <w:tcW w:w="478" w:type="dxa"/>
          </w:tcPr>
          <w:p w14:paraId="133F747B" w14:textId="77777777" w:rsidR="00E15A8A" w:rsidRPr="00E15A8A" w:rsidRDefault="00E15A8A" w:rsidP="00E15A8A">
            <w:pPr>
              <w:jc w:val="right"/>
              <w:rPr>
                <w:snapToGrid w:val="0"/>
                <w:sz w:val="22"/>
                <w:szCs w:val="22"/>
              </w:rPr>
            </w:pPr>
          </w:p>
        </w:tc>
        <w:tc>
          <w:tcPr>
            <w:tcW w:w="1208" w:type="dxa"/>
          </w:tcPr>
          <w:p w14:paraId="046451C7" w14:textId="77777777" w:rsidR="00E15A8A" w:rsidRPr="00E15A8A" w:rsidRDefault="00E15A8A" w:rsidP="00E15A8A">
            <w:pPr>
              <w:rPr>
                <w:snapToGrid w:val="0"/>
                <w:sz w:val="22"/>
                <w:szCs w:val="22"/>
              </w:rPr>
            </w:pPr>
          </w:p>
        </w:tc>
        <w:tc>
          <w:tcPr>
            <w:tcW w:w="1074" w:type="dxa"/>
          </w:tcPr>
          <w:p w14:paraId="17A1F086" w14:textId="77777777" w:rsidR="00E15A8A" w:rsidRPr="00E15A8A" w:rsidRDefault="00E15A8A" w:rsidP="00E15A8A">
            <w:pPr>
              <w:rPr>
                <w:snapToGrid w:val="0"/>
                <w:sz w:val="22"/>
                <w:szCs w:val="22"/>
              </w:rPr>
            </w:pPr>
          </w:p>
        </w:tc>
        <w:tc>
          <w:tcPr>
            <w:tcW w:w="1260" w:type="dxa"/>
            <w:tcBorders>
              <w:bottom w:val="single" w:sz="4" w:space="0" w:color="auto"/>
            </w:tcBorders>
          </w:tcPr>
          <w:p w14:paraId="3A95051E" w14:textId="77777777" w:rsidR="00E15A8A" w:rsidRPr="00E15A8A" w:rsidRDefault="00E15A8A" w:rsidP="00E15A8A">
            <w:pPr>
              <w:tabs>
                <w:tab w:val="decimal" w:pos="960"/>
              </w:tabs>
              <w:rPr>
                <w:snapToGrid w:val="0"/>
                <w:sz w:val="22"/>
                <w:szCs w:val="22"/>
              </w:rPr>
            </w:pPr>
            <w:r w:rsidRPr="00E15A8A">
              <w:rPr>
                <w:snapToGrid w:val="0"/>
                <w:sz w:val="22"/>
                <w:szCs w:val="22"/>
              </w:rPr>
              <w:t>215</w:t>
            </w:r>
          </w:p>
        </w:tc>
        <w:tc>
          <w:tcPr>
            <w:tcW w:w="1290" w:type="dxa"/>
            <w:tcBorders>
              <w:bottom w:val="single" w:sz="4" w:space="0" w:color="auto"/>
            </w:tcBorders>
          </w:tcPr>
          <w:p w14:paraId="01F231D5" w14:textId="77777777" w:rsidR="00E15A8A" w:rsidRPr="00E15A8A" w:rsidRDefault="00E15A8A" w:rsidP="00E15A8A">
            <w:pPr>
              <w:tabs>
                <w:tab w:val="decimal" w:pos="1005"/>
              </w:tabs>
              <w:rPr>
                <w:snapToGrid w:val="0"/>
                <w:sz w:val="22"/>
                <w:szCs w:val="22"/>
              </w:rPr>
            </w:pPr>
            <w:r w:rsidRPr="00E15A8A">
              <w:rPr>
                <w:snapToGrid w:val="0"/>
                <w:sz w:val="22"/>
                <w:szCs w:val="22"/>
              </w:rPr>
              <w:t>221</w:t>
            </w:r>
          </w:p>
        </w:tc>
      </w:tr>
      <w:tr w:rsidR="00E15A8A" w:rsidRPr="00E15A8A" w14:paraId="48C1582E" w14:textId="77777777" w:rsidTr="00D473CB">
        <w:trPr>
          <w:trHeight w:val="276"/>
        </w:trPr>
        <w:tc>
          <w:tcPr>
            <w:tcW w:w="237" w:type="dxa"/>
          </w:tcPr>
          <w:p w14:paraId="007F8777" w14:textId="77777777" w:rsidR="00E15A8A" w:rsidRPr="00E15A8A" w:rsidRDefault="00E15A8A" w:rsidP="00E15A8A">
            <w:pPr>
              <w:jc w:val="right"/>
              <w:rPr>
                <w:snapToGrid w:val="0"/>
                <w:sz w:val="22"/>
                <w:szCs w:val="22"/>
              </w:rPr>
            </w:pPr>
          </w:p>
        </w:tc>
        <w:tc>
          <w:tcPr>
            <w:tcW w:w="4383" w:type="dxa"/>
            <w:gridSpan w:val="2"/>
          </w:tcPr>
          <w:p w14:paraId="377CA132" w14:textId="77777777" w:rsidR="00E15A8A" w:rsidRPr="00E15A8A" w:rsidRDefault="00E15A8A" w:rsidP="00E15A8A">
            <w:pPr>
              <w:rPr>
                <w:snapToGrid w:val="0"/>
                <w:sz w:val="22"/>
                <w:szCs w:val="22"/>
              </w:rPr>
            </w:pPr>
            <w:r w:rsidRPr="00E15A8A">
              <w:rPr>
                <w:snapToGrid w:val="0"/>
                <w:sz w:val="22"/>
                <w:szCs w:val="22"/>
              </w:rPr>
              <w:t>Total assets</w:t>
            </w:r>
          </w:p>
        </w:tc>
        <w:tc>
          <w:tcPr>
            <w:tcW w:w="478" w:type="dxa"/>
          </w:tcPr>
          <w:p w14:paraId="4340C126" w14:textId="77777777" w:rsidR="00E15A8A" w:rsidRPr="00E15A8A" w:rsidRDefault="00E15A8A" w:rsidP="00E15A8A">
            <w:pPr>
              <w:jc w:val="right"/>
              <w:rPr>
                <w:snapToGrid w:val="0"/>
                <w:sz w:val="22"/>
                <w:szCs w:val="22"/>
              </w:rPr>
            </w:pPr>
          </w:p>
        </w:tc>
        <w:tc>
          <w:tcPr>
            <w:tcW w:w="1208" w:type="dxa"/>
          </w:tcPr>
          <w:p w14:paraId="263EA6C6" w14:textId="77777777" w:rsidR="00E15A8A" w:rsidRPr="00E15A8A" w:rsidRDefault="00E15A8A" w:rsidP="00E15A8A">
            <w:pPr>
              <w:tabs>
                <w:tab w:val="left" w:pos="150"/>
                <w:tab w:val="decimal" w:pos="960"/>
              </w:tabs>
              <w:rPr>
                <w:snapToGrid w:val="0"/>
                <w:sz w:val="22"/>
                <w:szCs w:val="22"/>
              </w:rPr>
            </w:pPr>
          </w:p>
        </w:tc>
        <w:tc>
          <w:tcPr>
            <w:tcW w:w="1074" w:type="dxa"/>
          </w:tcPr>
          <w:p w14:paraId="4C90B6D9" w14:textId="77777777" w:rsidR="00E15A8A" w:rsidRPr="00E15A8A" w:rsidRDefault="00E15A8A" w:rsidP="00E15A8A">
            <w:pPr>
              <w:tabs>
                <w:tab w:val="left" w:pos="180"/>
                <w:tab w:val="decimal" w:pos="910"/>
              </w:tabs>
              <w:rPr>
                <w:snapToGrid w:val="0"/>
                <w:sz w:val="22"/>
                <w:szCs w:val="22"/>
              </w:rPr>
            </w:pPr>
          </w:p>
        </w:tc>
        <w:tc>
          <w:tcPr>
            <w:tcW w:w="1260" w:type="dxa"/>
          </w:tcPr>
          <w:p w14:paraId="66C37028" w14:textId="77777777" w:rsidR="00E15A8A" w:rsidRPr="00E15A8A" w:rsidRDefault="00E15A8A" w:rsidP="00E15A8A">
            <w:pPr>
              <w:tabs>
                <w:tab w:val="left" w:pos="165"/>
                <w:tab w:val="decimal" w:pos="960"/>
              </w:tabs>
              <w:rPr>
                <w:snapToGrid w:val="0"/>
                <w:sz w:val="22"/>
                <w:szCs w:val="22"/>
              </w:rPr>
            </w:pPr>
            <w:r w:rsidRPr="00E15A8A">
              <w:rPr>
                <w:snapToGrid w:val="0"/>
                <w:sz w:val="22"/>
                <w:szCs w:val="22"/>
              </w:rPr>
              <w:t>$</w:t>
            </w:r>
            <w:r w:rsidRPr="00E15A8A">
              <w:rPr>
                <w:snapToGrid w:val="0"/>
                <w:sz w:val="22"/>
                <w:szCs w:val="22"/>
              </w:rPr>
              <w:tab/>
            </w:r>
            <w:r w:rsidRPr="00E15A8A">
              <w:rPr>
                <w:snapToGrid w:val="0"/>
                <w:sz w:val="22"/>
                <w:szCs w:val="22"/>
              </w:rPr>
              <w:tab/>
              <w:t>5,350</w:t>
            </w:r>
          </w:p>
        </w:tc>
        <w:tc>
          <w:tcPr>
            <w:tcW w:w="1290" w:type="dxa"/>
          </w:tcPr>
          <w:p w14:paraId="72B299C0" w14:textId="77777777" w:rsidR="00E15A8A" w:rsidRPr="00E15A8A" w:rsidRDefault="00E15A8A" w:rsidP="00E15A8A">
            <w:pPr>
              <w:tabs>
                <w:tab w:val="left" w:pos="150"/>
                <w:tab w:val="decimal" w:pos="1005"/>
              </w:tabs>
              <w:rPr>
                <w:snapToGrid w:val="0"/>
                <w:sz w:val="22"/>
                <w:szCs w:val="22"/>
              </w:rPr>
            </w:pPr>
            <w:r w:rsidRPr="00E15A8A">
              <w:rPr>
                <w:snapToGrid w:val="0"/>
                <w:sz w:val="22"/>
                <w:szCs w:val="22"/>
              </w:rPr>
              <w:t>$</w:t>
            </w:r>
            <w:r w:rsidRPr="00E15A8A">
              <w:rPr>
                <w:snapToGrid w:val="0"/>
                <w:sz w:val="22"/>
                <w:szCs w:val="22"/>
              </w:rPr>
              <w:tab/>
            </w:r>
            <w:r w:rsidRPr="00E15A8A">
              <w:rPr>
                <w:snapToGrid w:val="0"/>
                <w:sz w:val="22"/>
                <w:szCs w:val="22"/>
              </w:rPr>
              <w:tab/>
              <w:t>8,156</w:t>
            </w:r>
          </w:p>
        </w:tc>
      </w:tr>
      <w:tr w:rsidR="00E15A8A" w:rsidRPr="00E15A8A" w14:paraId="77F9DBD2" w14:textId="77777777" w:rsidTr="00D473CB">
        <w:trPr>
          <w:trHeight w:val="276"/>
        </w:trPr>
        <w:tc>
          <w:tcPr>
            <w:tcW w:w="237" w:type="dxa"/>
          </w:tcPr>
          <w:p w14:paraId="3C60B93F" w14:textId="77777777" w:rsidR="00E15A8A" w:rsidRPr="00E15A8A" w:rsidRDefault="00E15A8A" w:rsidP="00E15A8A">
            <w:pPr>
              <w:jc w:val="right"/>
              <w:rPr>
                <w:snapToGrid w:val="0"/>
                <w:sz w:val="22"/>
                <w:szCs w:val="22"/>
              </w:rPr>
            </w:pPr>
          </w:p>
        </w:tc>
        <w:tc>
          <w:tcPr>
            <w:tcW w:w="1462" w:type="dxa"/>
          </w:tcPr>
          <w:p w14:paraId="65AF8C3D" w14:textId="77777777" w:rsidR="00E15A8A" w:rsidRPr="00E15A8A" w:rsidRDefault="00E15A8A" w:rsidP="00E15A8A">
            <w:pPr>
              <w:jc w:val="right"/>
              <w:rPr>
                <w:snapToGrid w:val="0"/>
                <w:sz w:val="22"/>
                <w:szCs w:val="22"/>
              </w:rPr>
            </w:pPr>
          </w:p>
        </w:tc>
        <w:tc>
          <w:tcPr>
            <w:tcW w:w="2921" w:type="dxa"/>
          </w:tcPr>
          <w:p w14:paraId="1AA3DEA6" w14:textId="77777777" w:rsidR="00E15A8A" w:rsidRPr="00E15A8A" w:rsidRDefault="00E15A8A" w:rsidP="00E15A8A">
            <w:pPr>
              <w:jc w:val="right"/>
              <w:rPr>
                <w:snapToGrid w:val="0"/>
                <w:sz w:val="22"/>
                <w:szCs w:val="22"/>
              </w:rPr>
            </w:pPr>
          </w:p>
        </w:tc>
        <w:tc>
          <w:tcPr>
            <w:tcW w:w="478" w:type="dxa"/>
          </w:tcPr>
          <w:p w14:paraId="1BA13BA8" w14:textId="77777777" w:rsidR="00E15A8A" w:rsidRPr="00E15A8A" w:rsidRDefault="00E15A8A" w:rsidP="00E15A8A">
            <w:pPr>
              <w:jc w:val="right"/>
              <w:rPr>
                <w:snapToGrid w:val="0"/>
                <w:sz w:val="22"/>
                <w:szCs w:val="22"/>
              </w:rPr>
            </w:pPr>
          </w:p>
        </w:tc>
        <w:tc>
          <w:tcPr>
            <w:tcW w:w="1208" w:type="dxa"/>
          </w:tcPr>
          <w:p w14:paraId="137A5C19" w14:textId="77777777" w:rsidR="00E15A8A" w:rsidRPr="00E15A8A" w:rsidRDefault="00E15A8A" w:rsidP="00E15A8A">
            <w:pPr>
              <w:jc w:val="right"/>
              <w:rPr>
                <w:snapToGrid w:val="0"/>
                <w:sz w:val="22"/>
                <w:szCs w:val="22"/>
              </w:rPr>
            </w:pPr>
          </w:p>
        </w:tc>
        <w:tc>
          <w:tcPr>
            <w:tcW w:w="1074" w:type="dxa"/>
          </w:tcPr>
          <w:p w14:paraId="582BEA2C" w14:textId="77777777" w:rsidR="00E15A8A" w:rsidRPr="00E15A8A" w:rsidRDefault="00E15A8A" w:rsidP="00E15A8A">
            <w:pPr>
              <w:jc w:val="right"/>
              <w:rPr>
                <w:snapToGrid w:val="0"/>
                <w:sz w:val="22"/>
                <w:szCs w:val="22"/>
              </w:rPr>
            </w:pPr>
          </w:p>
        </w:tc>
        <w:tc>
          <w:tcPr>
            <w:tcW w:w="1260" w:type="dxa"/>
            <w:tcBorders>
              <w:top w:val="double" w:sz="4" w:space="0" w:color="auto"/>
            </w:tcBorders>
          </w:tcPr>
          <w:p w14:paraId="27C37194" w14:textId="77777777" w:rsidR="00E15A8A" w:rsidRPr="00E15A8A" w:rsidRDefault="00E15A8A" w:rsidP="00E15A8A">
            <w:pPr>
              <w:jc w:val="right"/>
              <w:rPr>
                <w:snapToGrid w:val="0"/>
                <w:sz w:val="22"/>
                <w:szCs w:val="22"/>
              </w:rPr>
            </w:pPr>
          </w:p>
        </w:tc>
        <w:tc>
          <w:tcPr>
            <w:tcW w:w="1290" w:type="dxa"/>
            <w:tcBorders>
              <w:top w:val="double" w:sz="4" w:space="0" w:color="auto"/>
            </w:tcBorders>
          </w:tcPr>
          <w:p w14:paraId="0FE8FB35" w14:textId="77777777" w:rsidR="00E15A8A" w:rsidRPr="00E15A8A" w:rsidRDefault="00E15A8A" w:rsidP="00E15A8A">
            <w:pPr>
              <w:jc w:val="right"/>
              <w:rPr>
                <w:snapToGrid w:val="0"/>
                <w:sz w:val="22"/>
                <w:szCs w:val="22"/>
              </w:rPr>
            </w:pPr>
          </w:p>
        </w:tc>
      </w:tr>
      <w:tr w:rsidR="00E15A8A" w:rsidRPr="00E15A8A" w14:paraId="55AEBA41" w14:textId="77777777" w:rsidTr="00D473CB">
        <w:trPr>
          <w:trHeight w:val="276"/>
        </w:trPr>
        <w:tc>
          <w:tcPr>
            <w:tcW w:w="4620" w:type="dxa"/>
            <w:gridSpan w:val="3"/>
          </w:tcPr>
          <w:p w14:paraId="4772F0A3" w14:textId="77777777" w:rsidR="00E15A8A" w:rsidRPr="00E15A8A" w:rsidRDefault="00E15A8A" w:rsidP="00E15A8A">
            <w:pPr>
              <w:rPr>
                <w:snapToGrid w:val="0"/>
                <w:sz w:val="22"/>
                <w:szCs w:val="22"/>
              </w:rPr>
            </w:pPr>
            <w:r w:rsidRPr="00E15A8A">
              <w:rPr>
                <w:snapToGrid w:val="0"/>
                <w:sz w:val="22"/>
                <w:szCs w:val="22"/>
              </w:rPr>
              <w:t>Liabilities and stockholders’ equity</w:t>
            </w:r>
          </w:p>
        </w:tc>
        <w:tc>
          <w:tcPr>
            <w:tcW w:w="478" w:type="dxa"/>
          </w:tcPr>
          <w:p w14:paraId="1F86860B" w14:textId="77777777" w:rsidR="00E15A8A" w:rsidRPr="00E15A8A" w:rsidRDefault="00E15A8A" w:rsidP="00E15A8A">
            <w:pPr>
              <w:jc w:val="right"/>
              <w:rPr>
                <w:snapToGrid w:val="0"/>
                <w:sz w:val="22"/>
                <w:szCs w:val="22"/>
              </w:rPr>
            </w:pPr>
          </w:p>
        </w:tc>
        <w:tc>
          <w:tcPr>
            <w:tcW w:w="1208" w:type="dxa"/>
          </w:tcPr>
          <w:p w14:paraId="06D10BE5" w14:textId="77777777" w:rsidR="00E15A8A" w:rsidRPr="00E15A8A" w:rsidRDefault="00E15A8A" w:rsidP="00E15A8A">
            <w:pPr>
              <w:jc w:val="right"/>
              <w:rPr>
                <w:snapToGrid w:val="0"/>
                <w:sz w:val="22"/>
                <w:szCs w:val="22"/>
              </w:rPr>
            </w:pPr>
          </w:p>
        </w:tc>
        <w:tc>
          <w:tcPr>
            <w:tcW w:w="1074" w:type="dxa"/>
          </w:tcPr>
          <w:p w14:paraId="1CC21700" w14:textId="77777777" w:rsidR="00E15A8A" w:rsidRPr="00E15A8A" w:rsidRDefault="00E15A8A" w:rsidP="00E15A8A">
            <w:pPr>
              <w:jc w:val="right"/>
              <w:rPr>
                <w:snapToGrid w:val="0"/>
                <w:sz w:val="22"/>
                <w:szCs w:val="22"/>
              </w:rPr>
            </w:pPr>
          </w:p>
        </w:tc>
        <w:tc>
          <w:tcPr>
            <w:tcW w:w="1260" w:type="dxa"/>
          </w:tcPr>
          <w:p w14:paraId="5CF9276D" w14:textId="77777777" w:rsidR="00E15A8A" w:rsidRPr="00E15A8A" w:rsidRDefault="00E15A8A" w:rsidP="00E15A8A">
            <w:pPr>
              <w:jc w:val="right"/>
              <w:rPr>
                <w:snapToGrid w:val="0"/>
                <w:sz w:val="22"/>
                <w:szCs w:val="22"/>
              </w:rPr>
            </w:pPr>
          </w:p>
        </w:tc>
        <w:tc>
          <w:tcPr>
            <w:tcW w:w="1290" w:type="dxa"/>
          </w:tcPr>
          <w:p w14:paraId="5D6A64ED" w14:textId="77777777" w:rsidR="00E15A8A" w:rsidRPr="00E15A8A" w:rsidRDefault="00E15A8A" w:rsidP="00E15A8A">
            <w:pPr>
              <w:jc w:val="right"/>
              <w:rPr>
                <w:snapToGrid w:val="0"/>
                <w:sz w:val="22"/>
                <w:szCs w:val="22"/>
              </w:rPr>
            </w:pPr>
          </w:p>
        </w:tc>
      </w:tr>
      <w:tr w:rsidR="00E15A8A" w:rsidRPr="00E15A8A" w14:paraId="220939D0" w14:textId="77777777" w:rsidTr="00D473CB">
        <w:trPr>
          <w:trHeight w:val="276"/>
        </w:trPr>
        <w:tc>
          <w:tcPr>
            <w:tcW w:w="237" w:type="dxa"/>
          </w:tcPr>
          <w:p w14:paraId="2B2C2781" w14:textId="77777777" w:rsidR="00E15A8A" w:rsidRPr="00E15A8A" w:rsidRDefault="00E15A8A" w:rsidP="00E15A8A">
            <w:pPr>
              <w:jc w:val="right"/>
              <w:rPr>
                <w:snapToGrid w:val="0"/>
                <w:sz w:val="22"/>
                <w:szCs w:val="22"/>
              </w:rPr>
            </w:pPr>
          </w:p>
        </w:tc>
        <w:tc>
          <w:tcPr>
            <w:tcW w:w="4383" w:type="dxa"/>
            <w:gridSpan w:val="2"/>
          </w:tcPr>
          <w:p w14:paraId="57F45C2C" w14:textId="77777777" w:rsidR="00E15A8A" w:rsidRPr="00E15A8A" w:rsidRDefault="00E15A8A" w:rsidP="00E15A8A">
            <w:pPr>
              <w:rPr>
                <w:snapToGrid w:val="0"/>
                <w:sz w:val="22"/>
                <w:szCs w:val="22"/>
              </w:rPr>
            </w:pPr>
            <w:r w:rsidRPr="00E15A8A">
              <w:rPr>
                <w:snapToGrid w:val="0"/>
                <w:sz w:val="22"/>
                <w:szCs w:val="22"/>
              </w:rPr>
              <w:t>Total liabilities</w:t>
            </w:r>
          </w:p>
        </w:tc>
        <w:tc>
          <w:tcPr>
            <w:tcW w:w="478" w:type="dxa"/>
          </w:tcPr>
          <w:p w14:paraId="5480FBCB" w14:textId="77777777" w:rsidR="00E15A8A" w:rsidRPr="00E15A8A" w:rsidRDefault="00E15A8A" w:rsidP="00E15A8A">
            <w:pPr>
              <w:jc w:val="right"/>
              <w:rPr>
                <w:snapToGrid w:val="0"/>
                <w:sz w:val="22"/>
                <w:szCs w:val="22"/>
              </w:rPr>
            </w:pPr>
          </w:p>
        </w:tc>
        <w:tc>
          <w:tcPr>
            <w:tcW w:w="1208" w:type="dxa"/>
          </w:tcPr>
          <w:p w14:paraId="73488597" w14:textId="77777777" w:rsidR="00E15A8A" w:rsidRPr="00E15A8A" w:rsidRDefault="00E15A8A" w:rsidP="00E15A8A">
            <w:pPr>
              <w:jc w:val="right"/>
              <w:rPr>
                <w:snapToGrid w:val="0"/>
                <w:sz w:val="22"/>
                <w:szCs w:val="22"/>
              </w:rPr>
            </w:pPr>
          </w:p>
        </w:tc>
        <w:tc>
          <w:tcPr>
            <w:tcW w:w="1074" w:type="dxa"/>
          </w:tcPr>
          <w:p w14:paraId="4039F2CF" w14:textId="77777777" w:rsidR="00E15A8A" w:rsidRPr="00E15A8A" w:rsidRDefault="00E15A8A" w:rsidP="00E15A8A">
            <w:pPr>
              <w:jc w:val="right"/>
              <w:rPr>
                <w:snapToGrid w:val="0"/>
                <w:sz w:val="22"/>
                <w:szCs w:val="22"/>
              </w:rPr>
            </w:pPr>
          </w:p>
        </w:tc>
        <w:tc>
          <w:tcPr>
            <w:tcW w:w="1260" w:type="dxa"/>
          </w:tcPr>
          <w:p w14:paraId="0A24B9E8" w14:textId="77777777" w:rsidR="00E15A8A" w:rsidRPr="00E15A8A" w:rsidRDefault="00E15A8A" w:rsidP="00E15A8A">
            <w:pPr>
              <w:tabs>
                <w:tab w:val="left" w:pos="150"/>
                <w:tab w:val="decimal" w:pos="960"/>
              </w:tabs>
              <w:rPr>
                <w:snapToGrid w:val="0"/>
                <w:sz w:val="22"/>
                <w:szCs w:val="22"/>
              </w:rPr>
            </w:pPr>
            <w:r w:rsidRPr="00E15A8A">
              <w:rPr>
                <w:snapToGrid w:val="0"/>
                <w:sz w:val="22"/>
                <w:szCs w:val="22"/>
              </w:rPr>
              <w:t>$</w:t>
            </w:r>
            <w:r w:rsidRPr="00E15A8A">
              <w:rPr>
                <w:snapToGrid w:val="0"/>
                <w:sz w:val="22"/>
                <w:szCs w:val="22"/>
              </w:rPr>
              <w:tab/>
            </w:r>
            <w:r w:rsidRPr="00E15A8A">
              <w:rPr>
                <w:snapToGrid w:val="0"/>
                <w:sz w:val="22"/>
                <w:szCs w:val="22"/>
              </w:rPr>
              <w:tab/>
              <w:t>2,529</w:t>
            </w:r>
          </w:p>
        </w:tc>
        <w:tc>
          <w:tcPr>
            <w:tcW w:w="1290" w:type="dxa"/>
          </w:tcPr>
          <w:p w14:paraId="3DFCB06E" w14:textId="77777777" w:rsidR="00E15A8A" w:rsidRPr="00E15A8A" w:rsidRDefault="00E15A8A" w:rsidP="00E15A8A">
            <w:pPr>
              <w:tabs>
                <w:tab w:val="left" w:pos="165"/>
                <w:tab w:val="decimal" w:pos="1005"/>
              </w:tabs>
              <w:rPr>
                <w:snapToGrid w:val="0"/>
                <w:sz w:val="22"/>
                <w:szCs w:val="22"/>
              </w:rPr>
            </w:pPr>
            <w:r w:rsidRPr="00E15A8A">
              <w:rPr>
                <w:snapToGrid w:val="0"/>
                <w:sz w:val="22"/>
                <w:szCs w:val="22"/>
              </w:rPr>
              <w:t>$</w:t>
            </w:r>
            <w:r w:rsidRPr="00E15A8A">
              <w:rPr>
                <w:snapToGrid w:val="0"/>
                <w:sz w:val="22"/>
                <w:szCs w:val="22"/>
              </w:rPr>
              <w:tab/>
            </w:r>
            <w:r w:rsidRPr="00E15A8A">
              <w:rPr>
                <w:snapToGrid w:val="0"/>
                <w:sz w:val="22"/>
                <w:szCs w:val="22"/>
              </w:rPr>
              <w:tab/>
              <w:t>3,107</w:t>
            </w:r>
          </w:p>
        </w:tc>
      </w:tr>
      <w:tr w:rsidR="00E15A8A" w:rsidRPr="00E15A8A" w14:paraId="05FCE292" w14:textId="77777777" w:rsidTr="00D473CB">
        <w:trPr>
          <w:trHeight w:val="276"/>
        </w:trPr>
        <w:tc>
          <w:tcPr>
            <w:tcW w:w="237" w:type="dxa"/>
          </w:tcPr>
          <w:p w14:paraId="56FBAFD6" w14:textId="77777777" w:rsidR="00E15A8A" w:rsidRPr="00E15A8A" w:rsidRDefault="00E15A8A" w:rsidP="00E15A8A">
            <w:pPr>
              <w:jc w:val="right"/>
              <w:rPr>
                <w:snapToGrid w:val="0"/>
                <w:sz w:val="22"/>
                <w:szCs w:val="22"/>
              </w:rPr>
            </w:pPr>
          </w:p>
        </w:tc>
        <w:tc>
          <w:tcPr>
            <w:tcW w:w="4383" w:type="dxa"/>
            <w:gridSpan w:val="2"/>
          </w:tcPr>
          <w:p w14:paraId="10958554" w14:textId="77777777" w:rsidR="00E15A8A" w:rsidRPr="00E15A8A" w:rsidRDefault="00E15A8A" w:rsidP="00E15A8A">
            <w:pPr>
              <w:rPr>
                <w:snapToGrid w:val="0"/>
                <w:sz w:val="22"/>
                <w:szCs w:val="22"/>
              </w:rPr>
            </w:pPr>
            <w:r w:rsidRPr="00E15A8A">
              <w:rPr>
                <w:snapToGrid w:val="0"/>
                <w:sz w:val="22"/>
                <w:szCs w:val="22"/>
              </w:rPr>
              <w:t>Stockholders’ equity</w:t>
            </w:r>
          </w:p>
        </w:tc>
        <w:tc>
          <w:tcPr>
            <w:tcW w:w="478" w:type="dxa"/>
          </w:tcPr>
          <w:p w14:paraId="5328A029" w14:textId="77777777" w:rsidR="00E15A8A" w:rsidRPr="00E15A8A" w:rsidRDefault="00E15A8A" w:rsidP="00E15A8A">
            <w:pPr>
              <w:jc w:val="right"/>
              <w:rPr>
                <w:snapToGrid w:val="0"/>
                <w:sz w:val="22"/>
                <w:szCs w:val="22"/>
              </w:rPr>
            </w:pPr>
          </w:p>
        </w:tc>
        <w:tc>
          <w:tcPr>
            <w:tcW w:w="1208" w:type="dxa"/>
          </w:tcPr>
          <w:p w14:paraId="58952B05" w14:textId="77777777" w:rsidR="00E15A8A" w:rsidRPr="00E15A8A" w:rsidRDefault="00E15A8A" w:rsidP="00E15A8A">
            <w:pPr>
              <w:jc w:val="right"/>
              <w:rPr>
                <w:snapToGrid w:val="0"/>
                <w:sz w:val="22"/>
                <w:szCs w:val="22"/>
              </w:rPr>
            </w:pPr>
          </w:p>
        </w:tc>
        <w:tc>
          <w:tcPr>
            <w:tcW w:w="1074" w:type="dxa"/>
          </w:tcPr>
          <w:p w14:paraId="6DA04EC2" w14:textId="77777777" w:rsidR="00E15A8A" w:rsidRPr="00E15A8A" w:rsidRDefault="00E15A8A" w:rsidP="00E15A8A">
            <w:pPr>
              <w:jc w:val="right"/>
              <w:rPr>
                <w:snapToGrid w:val="0"/>
                <w:sz w:val="22"/>
                <w:szCs w:val="22"/>
              </w:rPr>
            </w:pPr>
          </w:p>
        </w:tc>
        <w:tc>
          <w:tcPr>
            <w:tcW w:w="1260" w:type="dxa"/>
            <w:tcBorders>
              <w:bottom w:val="single" w:sz="4" w:space="0" w:color="auto"/>
            </w:tcBorders>
          </w:tcPr>
          <w:p w14:paraId="39FA508D" w14:textId="77777777" w:rsidR="00E15A8A" w:rsidRPr="00E15A8A" w:rsidRDefault="00E15A8A" w:rsidP="00E15A8A">
            <w:pPr>
              <w:tabs>
                <w:tab w:val="decimal" w:pos="960"/>
              </w:tabs>
              <w:rPr>
                <w:snapToGrid w:val="0"/>
                <w:sz w:val="22"/>
                <w:szCs w:val="22"/>
              </w:rPr>
            </w:pPr>
            <w:r w:rsidRPr="00E15A8A">
              <w:rPr>
                <w:snapToGrid w:val="0"/>
                <w:sz w:val="22"/>
                <w:szCs w:val="22"/>
              </w:rPr>
              <w:t>2,821</w:t>
            </w:r>
          </w:p>
        </w:tc>
        <w:tc>
          <w:tcPr>
            <w:tcW w:w="1290" w:type="dxa"/>
            <w:tcBorders>
              <w:bottom w:val="single" w:sz="4" w:space="0" w:color="auto"/>
            </w:tcBorders>
          </w:tcPr>
          <w:p w14:paraId="52F1169A" w14:textId="77777777" w:rsidR="00E15A8A" w:rsidRPr="00E15A8A" w:rsidRDefault="00E15A8A" w:rsidP="00E15A8A">
            <w:pPr>
              <w:tabs>
                <w:tab w:val="decimal" w:pos="1005"/>
              </w:tabs>
              <w:rPr>
                <w:snapToGrid w:val="0"/>
                <w:sz w:val="22"/>
                <w:szCs w:val="22"/>
              </w:rPr>
            </w:pPr>
            <w:r w:rsidRPr="00E15A8A">
              <w:rPr>
                <w:snapToGrid w:val="0"/>
                <w:sz w:val="22"/>
                <w:szCs w:val="22"/>
              </w:rPr>
              <w:t>5,049</w:t>
            </w:r>
          </w:p>
        </w:tc>
      </w:tr>
      <w:tr w:rsidR="00E15A8A" w:rsidRPr="00E15A8A" w14:paraId="498E0BE0" w14:textId="77777777" w:rsidTr="00D473CB">
        <w:trPr>
          <w:trHeight w:val="276"/>
        </w:trPr>
        <w:tc>
          <w:tcPr>
            <w:tcW w:w="237" w:type="dxa"/>
          </w:tcPr>
          <w:p w14:paraId="518CBF99" w14:textId="77777777" w:rsidR="00E15A8A" w:rsidRPr="00E15A8A" w:rsidRDefault="00E15A8A" w:rsidP="00E15A8A">
            <w:pPr>
              <w:jc w:val="right"/>
              <w:rPr>
                <w:snapToGrid w:val="0"/>
                <w:sz w:val="22"/>
                <w:szCs w:val="22"/>
              </w:rPr>
            </w:pPr>
          </w:p>
        </w:tc>
        <w:tc>
          <w:tcPr>
            <w:tcW w:w="6069" w:type="dxa"/>
            <w:gridSpan w:val="4"/>
          </w:tcPr>
          <w:p w14:paraId="1F9F3224" w14:textId="77777777" w:rsidR="00E15A8A" w:rsidRPr="00E15A8A" w:rsidRDefault="00E15A8A" w:rsidP="00E15A8A">
            <w:pPr>
              <w:rPr>
                <w:snapToGrid w:val="0"/>
                <w:sz w:val="22"/>
                <w:szCs w:val="22"/>
              </w:rPr>
            </w:pPr>
            <w:r w:rsidRPr="00E15A8A">
              <w:rPr>
                <w:snapToGrid w:val="0"/>
                <w:sz w:val="22"/>
                <w:szCs w:val="22"/>
              </w:rPr>
              <w:t>Total liabilities and stockholders’ equity</w:t>
            </w:r>
          </w:p>
        </w:tc>
        <w:tc>
          <w:tcPr>
            <w:tcW w:w="1074" w:type="dxa"/>
          </w:tcPr>
          <w:p w14:paraId="39535596" w14:textId="77777777" w:rsidR="00E15A8A" w:rsidRPr="00E15A8A" w:rsidRDefault="00E15A8A" w:rsidP="00E15A8A">
            <w:pPr>
              <w:jc w:val="right"/>
              <w:rPr>
                <w:snapToGrid w:val="0"/>
                <w:sz w:val="22"/>
                <w:szCs w:val="22"/>
              </w:rPr>
            </w:pPr>
          </w:p>
        </w:tc>
        <w:tc>
          <w:tcPr>
            <w:tcW w:w="1260" w:type="dxa"/>
            <w:tcBorders>
              <w:top w:val="single" w:sz="4" w:space="0" w:color="auto"/>
              <w:bottom w:val="double" w:sz="4" w:space="0" w:color="auto"/>
            </w:tcBorders>
          </w:tcPr>
          <w:p w14:paraId="4D073269" w14:textId="77777777" w:rsidR="00E15A8A" w:rsidRPr="00E15A8A" w:rsidRDefault="00E15A8A" w:rsidP="00E15A8A">
            <w:pPr>
              <w:tabs>
                <w:tab w:val="left" w:pos="165"/>
                <w:tab w:val="decimal" w:pos="960"/>
              </w:tabs>
              <w:rPr>
                <w:snapToGrid w:val="0"/>
                <w:sz w:val="22"/>
                <w:szCs w:val="22"/>
              </w:rPr>
            </w:pPr>
            <w:r w:rsidRPr="00E15A8A">
              <w:rPr>
                <w:snapToGrid w:val="0"/>
                <w:sz w:val="22"/>
                <w:szCs w:val="22"/>
              </w:rPr>
              <w:t>$</w:t>
            </w:r>
            <w:r w:rsidRPr="00E15A8A">
              <w:rPr>
                <w:snapToGrid w:val="0"/>
                <w:sz w:val="22"/>
                <w:szCs w:val="22"/>
              </w:rPr>
              <w:tab/>
            </w:r>
            <w:r w:rsidRPr="00E15A8A">
              <w:rPr>
                <w:snapToGrid w:val="0"/>
                <w:sz w:val="22"/>
                <w:szCs w:val="22"/>
              </w:rPr>
              <w:tab/>
              <w:t>5,350</w:t>
            </w:r>
          </w:p>
        </w:tc>
        <w:tc>
          <w:tcPr>
            <w:tcW w:w="1290" w:type="dxa"/>
            <w:tcBorders>
              <w:top w:val="single" w:sz="4" w:space="0" w:color="auto"/>
              <w:bottom w:val="double" w:sz="4" w:space="0" w:color="auto"/>
            </w:tcBorders>
          </w:tcPr>
          <w:p w14:paraId="2825B499" w14:textId="77777777" w:rsidR="00E15A8A" w:rsidRPr="00E15A8A" w:rsidRDefault="00E15A8A" w:rsidP="00E15A8A">
            <w:pPr>
              <w:tabs>
                <w:tab w:val="left" w:pos="105"/>
                <w:tab w:val="decimal" w:pos="1005"/>
              </w:tabs>
              <w:rPr>
                <w:snapToGrid w:val="0"/>
                <w:sz w:val="22"/>
                <w:szCs w:val="22"/>
              </w:rPr>
            </w:pPr>
            <w:r w:rsidRPr="00E15A8A">
              <w:rPr>
                <w:snapToGrid w:val="0"/>
                <w:sz w:val="22"/>
                <w:szCs w:val="22"/>
              </w:rPr>
              <w:t>$</w:t>
            </w:r>
            <w:r w:rsidRPr="00E15A8A">
              <w:rPr>
                <w:snapToGrid w:val="0"/>
                <w:sz w:val="22"/>
                <w:szCs w:val="22"/>
              </w:rPr>
              <w:tab/>
              <w:t>8,156</w:t>
            </w:r>
          </w:p>
        </w:tc>
      </w:tr>
      <w:tr w:rsidR="00E15A8A" w:rsidRPr="00E15A8A" w14:paraId="40DD4A76" w14:textId="77777777" w:rsidTr="00D473CB">
        <w:trPr>
          <w:trHeight w:val="276"/>
        </w:trPr>
        <w:tc>
          <w:tcPr>
            <w:tcW w:w="237" w:type="dxa"/>
          </w:tcPr>
          <w:p w14:paraId="696A765A" w14:textId="77777777" w:rsidR="00E15A8A" w:rsidRPr="00E15A8A" w:rsidRDefault="00E15A8A" w:rsidP="00E15A8A">
            <w:pPr>
              <w:jc w:val="right"/>
              <w:rPr>
                <w:snapToGrid w:val="0"/>
                <w:sz w:val="22"/>
                <w:szCs w:val="22"/>
              </w:rPr>
            </w:pPr>
          </w:p>
        </w:tc>
        <w:tc>
          <w:tcPr>
            <w:tcW w:w="4383" w:type="dxa"/>
            <w:gridSpan w:val="2"/>
          </w:tcPr>
          <w:p w14:paraId="344B3CB4" w14:textId="77777777" w:rsidR="00E15A8A" w:rsidRPr="00E15A8A" w:rsidRDefault="00E15A8A" w:rsidP="00E15A8A">
            <w:pPr>
              <w:rPr>
                <w:snapToGrid w:val="0"/>
                <w:sz w:val="22"/>
                <w:szCs w:val="22"/>
              </w:rPr>
            </w:pPr>
          </w:p>
        </w:tc>
        <w:tc>
          <w:tcPr>
            <w:tcW w:w="478" w:type="dxa"/>
          </w:tcPr>
          <w:p w14:paraId="45648F58" w14:textId="77777777" w:rsidR="00E15A8A" w:rsidRPr="00E15A8A" w:rsidRDefault="00E15A8A" w:rsidP="00E15A8A">
            <w:pPr>
              <w:jc w:val="right"/>
              <w:rPr>
                <w:snapToGrid w:val="0"/>
                <w:sz w:val="22"/>
                <w:szCs w:val="22"/>
              </w:rPr>
            </w:pPr>
          </w:p>
        </w:tc>
        <w:tc>
          <w:tcPr>
            <w:tcW w:w="1208" w:type="dxa"/>
          </w:tcPr>
          <w:p w14:paraId="3DDC0786" w14:textId="77777777" w:rsidR="00E15A8A" w:rsidRPr="00E15A8A" w:rsidRDefault="00E15A8A" w:rsidP="00E15A8A">
            <w:pPr>
              <w:jc w:val="right"/>
              <w:rPr>
                <w:snapToGrid w:val="0"/>
                <w:sz w:val="22"/>
                <w:szCs w:val="22"/>
              </w:rPr>
            </w:pPr>
          </w:p>
        </w:tc>
        <w:tc>
          <w:tcPr>
            <w:tcW w:w="1074" w:type="dxa"/>
          </w:tcPr>
          <w:p w14:paraId="3D197061" w14:textId="77777777" w:rsidR="00E15A8A" w:rsidRPr="00E15A8A" w:rsidRDefault="00E15A8A" w:rsidP="00E15A8A">
            <w:pPr>
              <w:jc w:val="right"/>
              <w:rPr>
                <w:snapToGrid w:val="0"/>
                <w:sz w:val="22"/>
                <w:szCs w:val="22"/>
              </w:rPr>
            </w:pPr>
          </w:p>
        </w:tc>
        <w:tc>
          <w:tcPr>
            <w:tcW w:w="1260" w:type="dxa"/>
          </w:tcPr>
          <w:p w14:paraId="13F904C5" w14:textId="77777777" w:rsidR="00E15A8A" w:rsidRPr="00E15A8A" w:rsidRDefault="00E15A8A" w:rsidP="00E15A8A">
            <w:pPr>
              <w:jc w:val="right"/>
              <w:rPr>
                <w:snapToGrid w:val="0"/>
                <w:sz w:val="22"/>
                <w:szCs w:val="22"/>
              </w:rPr>
            </w:pPr>
          </w:p>
        </w:tc>
        <w:tc>
          <w:tcPr>
            <w:tcW w:w="1290" w:type="dxa"/>
          </w:tcPr>
          <w:p w14:paraId="5338B0A3" w14:textId="77777777" w:rsidR="00E15A8A" w:rsidRPr="00E15A8A" w:rsidRDefault="00E15A8A" w:rsidP="00E15A8A">
            <w:pPr>
              <w:jc w:val="right"/>
              <w:rPr>
                <w:snapToGrid w:val="0"/>
                <w:sz w:val="22"/>
                <w:szCs w:val="22"/>
              </w:rPr>
            </w:pPr>
          </w:p>
        </w:tc>
      </w:tr>
      <w:tr w:rsidR="00E15A8A" w:rsidRPr="00E15A8A" w14:paraId="6219893C" w14:textId="77777777" w:rsidTr="00D473CB">
        <w:trPr>
          <w:trHeight w:val="276"/>
        </w:trPr>
        <w:tc>
          <w:tcPr>
            <w:tcW w:w="237" w:type="dxa"/>
          </w:tcPr>
          <w:p w14:paraId="047E6444" w14:textId="77777777" w:rsidR="00E15A8A" w:rsidRPr="00E15A8A" w:rsidRDefault="00E15A8A" w:rsidP="00E15A8A">
            <w:pPr>
              <w:jc w:val="right"/>
              <w:rPr>
                <w:snapToGrid w:val="0"/>
                <w:sz w:val="22"/>
                <w:szCs w:val="22"/>
              </w:rPr>
            </w:pPr>
          </w:p>
        </w:tc>
        <w:tc>
          <w:tcPr>
            <w:tcW w:w="4383" w:type="dxa"/>
            <w:gridSpan w:val="2"/>
          </w:tcPr>
          <w:p w14:paraId="7FD93E8B" w14:textId="77777777" w:rsidR="00E15A8A" w:rsidRPr="00E15A8A" w:rsidRDefault="00E15A8A" w:rsidP="00E15A8A">
            <w:pPr>
              <w:rPr>
                <w:snapToGrid w:val="0"/>
                <w:sz w:val="22"/>
                <w:szCs w:val="22"/>
              </w:rPr>
            </w:pPr>
            <w:r w:rsidRPr="00E15A8A">
              <w:rPr>
                <w:snapToGrid w:val="0"/>
                <w:sz w:val="22"/>
                <w:szCs w:val="22"/>
              </w:rPr>
              <w:t>Common shares outstanding</w:t>
            </w:r>
          </w:p>
        </w:tc>
        <w:tc>
          <w:tcPr>
            <w:tcW w:w="478" w:type="dxa"/>
          </w:tcPr>
          <w:p w14:paraId="4C416364" w14:textId="77777777" w:rsidR="00E15A8A" w:rsidRPr="00E15A8A" w:rsidRDefault="00E15A8A" w:rsidP="00E15A8A">
            <w:pPr>
              <w:jc w:val="right"/>
              <w:rPr>
                <w:snapToGrid w:val="0"/>
                <w:sz w:val="22"/>
                <w:szCs w:val="22"/>
              </w:rPr>
            </w:pPr>
          </w:p>
        </w:tc>
        <w:tc>
          <w:tcPr>
            <w:tcW w:w="1208" w:type="dxa"/>
          </w:tcPr>
          <w:p w14:paraId="038EC7C7" w14:textId="77777777" w:rsidR="00E15A8A" w:rsidRPr="00E15A8A" w:rsidRDefault="00E15A8A" w:rsidP="00E15A8A">
            <w:pPr>
              <w:jc w:val="right"/>
              <w:rPr>
                <w:snapToGrid w:val="0"/>
                <w:sz w:val="22"/>
                <w:szCs w:val="22"/>
              </w:rPr>
            </w:pPr>
          </w:p>
        </w:tc>
        <w:tc>
          <w:tcPr>
            <w:tcW w:w="1074" w:type="dxa"/>
          </w:tcPr>
          <w:p w14:paraId="1792C59B" w14:textId="77777777" w:rsidR="00E15A8A" w:rsidRPr="00E15A8A" w:rsidRDefault="00E15A8A" w:rsidP="00E15A8A">
            <w:pPr>
              <w:jc w:val="right"/>
              <w:rPr>
                <w:snapToGrid w:val="0"/>
                <w:sz w:val="22"/>
                <w:szCs w:val="22"/>
              </w:rPr>
            </w:pPr>
          </w:p>
        </w:tc>
        <w:tc>
          <w:tcPr>
            <w:tcW w:w="1260" w:type="dxa"/>
          </w:tcPr>
          <w:p w14:paraId="74B39A81" w14:textId="77777777" w:rsidR="00E15A8A" w:rsidRPr="00E15A8A" w:rsidRDefault="00E15A8A" w:rsidP="00E15A8A">
            <w:pPr>
              <w:tabs>
                <w:tab w:val="left" w:pos="150"/>
                <w:tab w:val="decimal" w:pos="960"/>
              </w:tabs>
              <w:rPr>
                <w:snapToGrid w:val="0"/>
                <w:sz w:val="22"/>
                <w:szCs w:val="22"/>
              </w:rPr>
            </w:pPr>
            <w:r w:rsidRPr="00E15A8A">
              <w:rPr>
                <w:snapToGrid w:val="0"/>
                <w:sz w:val="22"/>
                <w:szCs w:val="22"/>
              </w:rPr>
              <w:tab/>
            </w:r>
            <w:r w:rsidRPr="00E15A8A">
              <w:rPr>
                <w:snapToGrid w:val="0"/>
                <w:sz w:val="22"/>
                <w:szCs w:val="22"/>
              </w:rPr>
              <w:tab/>
              <w:t>15,924,593</w:t>
            </w:r>
          </w:p>
        </w:tc>
        <w:tc>
          <w:tcPr>
            <w:tcW w:w="1290" w:type="dxa"/>
          </w:tcPr>
          <w:p w14:paraId="293B46D8" w14:textId="77777777" w:rsidR="00E15A8A" w:rsidRPr="00E15A8A" w:rsidRDefault="00E15A8A" w:rsidP="00E15A8A">
            <w:pPr>
              <w:tabs>
                <w:tab w:val="left" w:pos="165"/>
                <w:tab w:val="decimal" w:pos="1005"/>
              </w:tabs>
              <w:rPr>
                <w:snapToGrid w:val="0"/>
                <w:sz w:val="22"/>
                <w:szCs w:val="22"/>
              </w:rPr>
            </w:pPr>
            <w:r w:rsidRPr="00E15A8A">
              <w:rPr>
                <w:snapToGrid w:val="0"/>
                <w:sz w:val="22"/>
                <w:szCs w:val="22"/>
              </w:rPr>
              <w:tab/>
            </w:r>
            <w:r w:rsidRPr="00E15A8A">
              <w:rPr>
                <w:snapToGrid w:val="0"/>
                <w:sz w:val="22"/>
                <w:szCs w:val="22"/>
              </w:rPr>
              <w:tab/>
              <w:t>10,536,875</w:t>
            </w:r>
          </w:p>
        </w:tc>
      </w:tr>
    </w:tbl>
    <w:p w14:paraId="08B2A88E" w14:textId="77777777" w:rsidR="00E15A8A" w:rsidRPr="00E15A8A" w:rsidRDefault="00E15A8A" w:rsidP="00E15A8A">
      <w:pPr>
        <w:jc w:val="both"/>
        <w:rPr>
          <w:sz w:val="22"/>
          <w:szCs w:val="22"/>
        </w:rPr>
      </w:pPr>
    </w:p>
    <w:p w14:paraId="48F8F653" w14:textId="77777777" w:rsidR="00E15A8A" w:rsidRPr="00E15A8A" w:rsidRDefault="00E15A8A" w:rsidP="00E15A8A">
      <w:pPr>
        <w:jc w:val="both"/>
        <w:rPr>
          <w:szCs w:val="20"/>
        </w:rPr>
      </w:pPr>
    </w:p>
    <w:p w14:paraId="120EA479" w14:textId="77777777" w:rsidR="00E15A8A" w:rsidRPr="00E15A8A" w:rsidRDefault="00E15A8A" w:rsidP="00E15A8A">
      <w:pPr>
        <w:jc w:val="both"/>
        <w:rPr>
          <w:szCs w:val="20"/>
        </w:rPr>
      </w:pPr>
    </w:p>
    <w:p w14:paraId="56C87306" w14:textId="77777777" w:rsidR="00E15A8A" w:rsidRPr="00E15A8A" w:rsidRDefault="00E15A8A" w:rsidP="00E15A8A">
      <w:pPr>
        <w:jc w:val="both"/>
        <w:rPr>
          <w:szCs w:val="20"/>
        </w:rPr>
      </w:pPr>
    </w:p>
    <w:p w14:paraId="62F18871" w14:textId="77777777" w:rsidR="00E15A8A" w:rsidRPr="00E15A8A" w:rsidRDefault="00E15A8A" w:rsidP="00E15A8A">
      <w:pPr>
        <w:jc w:val="both"/>
        <w:rPr>
          <w:szCs w:val="20"/>
        </w:rPr>
      </w:pPr>
    </w:p>
    <w:p w14:paraId="670C3A07" w14:textId="77777777" w:rsidR="00E15A8A" w:rsidRPr="00E15A8A" w:rsidRDefault="00E15A8A" w:rsidP="00E15A8A">
      <w:pPr>
        <w:widowControl w:val="0"/>
        <w:shd w:val="clear" w:color="auto" w:fill="FFFFFF"/>
        <w:autoSpaceDE w:val="0"/>
        <w:autoSpaceDN w:val="0"/>
        <w:adjustRightInd w:val="0"/>
        <w:spacing w:after="120"/>
        <w:jc w:val="both"/>
        <w:rPr>
          <w:bCs/>
          <w:color w:val="000000"/>
          <w:sz w:val="20"/>
          <w:szCs w:val="20"/>
        </w:rPr>
      </w:pPr>
    </w:p>
    <w:p w14:paraId="6919D76A" w14:textId="5193C98A" w:rsidR="00E15A8A" w:rsidRPr="00E15A8A" w:rsidRDefault="00E15A8A" w:rsidP="00E15A8A">
      <w:pPr>
        <w:tabs>
          <w:tab w:val="left" w:pos="2910"/>
        </w:tabs>
      </w:pPr>
      <w:r>
        <w:tab/>
      </w:r>
    </w:p>
    <w:sectPr w:rsidR="00E15A8A" w:rsidRPr="00E15A8A">
      <w:headerReference w:type="default" r:id="rId19"/>
      <w:footerReference w:type="default" r:id="rId20"/>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7178B" w14:textId="77777777" w:rsidR="005D2448" w:rsidRDefault="005D2448" w:rsidP="004422FB">
      <w:r>
        <w:separator/>
      </w:r>
    </w:p>
  </w:endnote>
  <w:endnote w:type="continuationSeparator" w:id="0">
    <w:p w14:paraId="6ACDFDF0" w14:textId="77777777" w:rsidR="005D2448" w:rsidRDefault="005D2448"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1CB9" w14:textId="77777777" w:rsidR="00E15A8A" w:rsidRPr="00AA6838" w:rsidRDefault="00E15A8A" w:rsidP="00AA6838">
    <w:pPr>
      <w:pStyle w:val="Footer"/>
      <w:jc w:val="center"/>
      <w:rPr>
        <w:b/>
      </w:rPr>
    </w:pPr>
    <w:r>
      <w:rPr>
        <w:b/>
      </w:rPr>
      <w:t>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5E9E" w14:textId="77777777" w:rsidR="00E15A8A" w:rsidRPr="00AA6838" w:rsidRDefault="00E15A8A"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ED87" w14:textId="2812BAD1" w:rsidR="00E15A8A" w:rsidRDefault="00E15A8A" w:rsidP="00A7489D">
    <w:pPr>
      <w:pStyle w:val="Footer"/>
      <w:jc w:val="center"/>
    </w:pPr>
    <w:r>
      <w:t xml:space="preserve"> </w:t>
    </w:r>
  </w:p>
  <w:p w14:paraId="15760E57" w14:textId="77777777" w:rsidR="00E15A8A" w:rsidRDefault="00E15A8A" w:rsidP="004422FB">
    <w:pPr>
      <w:pStyle w:val="Footer"/>
    </w:pPr>
  </w:p>
  <w:p w14:paraId="6D10DF38" w14:textId="77777777" w:rsidR="00E15A8A" w:rsidRDefault="00E15A8A"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13C5" w14:textId="77777777" w:rsidR="005D2448" w:rsidRDefault="005D2448" w:rsidP="004422FB">
      <w:r>
        <w:separator/>
      </w:r>
    </w:p>
  </w:footnote>
  <w:footnote w:type="continuationSeparator" w:id="0">
    <w:p w14:paraId="43D12C79" w14:textId="77777777" w:rsidR="005D2448" w:rsidRDefault="005D2448"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88CA" w14:textId="77777777" w:rsidR="00E15A8A" w:rsidRDefault="00E15A8A">
    <w:pPr>
      <w:pStyle w:val="Header"/>
    </w:pPr>
    <w:r w:rsidRPr="004F39CB">
      <w:rPr>
        <w:noProof/>
      </w:rPr>
      <w:drawing>
        <wp:inline distT="0" distB="0" distL="0" distR="0" wp14:anchorId="57408ABE" wp14:editId="62178139">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CF77" w14:textId="77777777" w:rsidR="00E15A8A" w:rsidRDefault="00E1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AA42C87"/>
    <w:multiLevelType w:val="multilevel"/>
    <w:tmpl w:val="C6E6E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0"/>
  </w:num>
  <w:num w:numId="2" w16cid:durableId="1845196331">
    <w:abstractNumId w:val="2"/>
  </w:num>
  <w:num w:numId="3" w16cid:durableId="30521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34407"/>
    <w:rsid w:val="000520F7"/>
    <w:rsid w:val="000871C8"/>
    <w:rsid w:val="00087359"/>
    <w:rsid w:val="00096511"/>
    <w:rsid w:val="000D522C"/>
    <w:rsid w:val="000E6508"/>
    <w:rsid w:val="00134BBC"/>
    <w:rsid w:val="00144D4F"/>
    <w:rsid w:val="00153CF3"/>
    <w:rsid w:val="00172B54"/>
    <w:rsid w:val="00177EF1"/>
    <w:rsid w:val="00183673"/>
    <w:rsid w:val="00186A50"/>
    <w:rsid w:val="001A687F"/>
    <w:rsid w:val="001D3520"/>
    <w:rsid w:val="002049D0"/>
    <w:rsid w:val="00220F69"/>
    <w:rsid w:val="00241DEF"/>
    <w:rsid w:val="00246139"/>
    <w:rsid w:val="00277674"/>
    <w:rsid w:val="00296BF7"/>
    <w:rsid w:val="002E7A44"/>
    <w:rsid w:val="002F020C"/>
    <w:rsid w:val="002F47BC"/>
    <w:rsid w:val="00304DE8"/>
    <w:rsid w:val="0036369E"/>
    <w:rsid w:val="003643C1"/>
    <w:rsid w:val="00376DEC"/>
    <w:rsid w:val="00387407"/>
    <w:rsid w:val="003B3474"/>
    <w:rsid w:val="003B670F"/>
    <w:rsid w:val="003C44C6"/>
    <w:rsid w:val="003D3388"/>
    <w:rsid w:val="003F3DEB"/>
    <w:rsid w:val="00401F33"/>
    <w:rsid w:val="00404B0F"/>
    <w:rsid w:val="00414E31"/>
    <w:rsid w:val="004422FB"/>
    <w:rsid w:val="004433D8"/>
    <w:rsid w:val="00443A0F"/>
    <w:rsid w:val="004562CE"/>
    <w:rsid w:val="004641B9"/>
    <w:rsid w:val="00486CCB"/>
    <w:rsid w:val="00494777"/>
    <w:rsid w:val="004B3179"/>
    <w:rsid w:val="004C2859"/>
    <w:rsid w:val="004D4E0A"/>
    <w:rsid w:val="004F2672"/>
    <w:rsid w:val="004F383B"/>
    <w:rsid w:val="00552D47"/>
    <w:rsid w:val="00573EBF"/>
    <w:rsid w:val="00583D37"/>
    <w:rsid w:val="005A1F60"/>
    <w:rsid w:val="005D2448"/>
    <w:rsid w:val="006131D7"/>
    <w:rsid w:val="00652DCC"/>
    <w:rsid w:val="00677F25"/>
    <w:rsid w:val="00691E45"/>
    <w:rsid w:val="006959EC"/>
    <w:rsid w:val="006A30B4"/>
    <w:rsid w:val="006B4011"/>
    <w:rsid w:val="006C4831"/>
    <w:rsid w:val="006E7AA3"/>
    <w:rsid w:val="007150B5"/>
    <w:rsid w:val="00716A75"/>
    <w:rsid w:val="007305BB"/>
    <w:rsid w:val="00734084"/>
    <w:rsid w:val="00766EB9"/>
    <w:rsid w:val="007B1C14"/>
    <w:rsid w:val="007B5113"/>
    <w:rsid w:val="007C095B"/>
    <w:rsid w:val="007E3D57"/>
    <w:rsid w:val="007F16D7"/>
    <w:rsid w:val="00833F99"/>
    <w:rsid w:val="00846F5B"/>
    <w:rsid w:val="0089446A"/>
    <w:rsid w:val="00894597"/>
    <w:rsid w:val="008A3A73"/>
    <w:rsid w:val="008A45B8"/>
    <w:rsid w:val="008A5F28"/>
    <w:rsid w:val="008B7616"/>
    <w:rsid w:val="008D7E3A"/>
    <w:rsid w:val="008E4E77"/>
    <w:rsid w:val="00903941"/>
    <w:rsid w:val="00922B4A"/>
    <w:rsid w:val="00922FCF"/>
    <w:rsid w:val="0095070C"/>
    <w:rsid w:val="00995863"/>
    <w:rsid w:val="009B15B2"/>
    <w:rsid w:val="009B2328"/>
    <w:rsid w:val="009D0542"/>
    <w:rsid w:val="009F16FD"/>
    <w:rsid w:val="009F32C7"/>
    <w:rsid w:val="009F7B30"/>
    <w:rsid w:val="00A213F5"/>
    <w:rsid w:val="00A30573"/>
    <w:rsid w:val="00A7343F"/>
    <w:rsid w:val="00A7489D"/>
    <w:rsid w:val="00A7711D"/>
    <w:rsid w:val="00AA2DDC"/>
    <w:rsid w:val="00AA3D35"/>
    <w:rsid w:val="00B02C57"/>
    <w:rsid w:val="00B2632B"/>
    <w:rsid w:val="00B44E7B"/>
    <w:rsid w:val="00B4616E"/>
    <w:rsid w:val="00B4673C"/>
    <w:rsid w:val="00B51502"/>
    <w:rsid w:val="00B61191"/>
    <w:rsid w:val="00B66B45"/>
    <w:rsid w:val="00BB7014"/>
    <w:rsid w:val="00BC0F2B"/>
    <w:rsid w:val="00BC6263"/>
    <w:rsid w:val="00BC6551"/>
    <w:rsid w:val="00BF415F"/>
    <w:rsid w:val="00C36B57"/>
    <w:rsid w:val="00C528BC"/>
    <w:rsid w:val="00C53991"/>
    <w:rsid w:val="00C77462"/>
    <w:rsid w:val="00C815CE"/>
    <w:rsid w:val="00C936D4"/>
    <w:rsid w:val="00CB1EAA"/>
    <w:rsid w:val="00CB3D5C"/>
    <w:rsid w:val="00CC52F4"/>
    <w:rsid w:val="00CD55C2"/>
    <w:rsid w:val="00CE3919"/>
    <w:rsid w:val="00CE3B4D"/>
    <w:rsid w:val="00D03053"/>
    <w:rsid w:val="00D128D7"/>
    <w:rsid w:val="00D17971"/>
    <w:rsid w:val="00D46FAD"/>
    <w:rsid w:val="00D60567"/>
    <w:rsid w:val="00D74319"/>
    <w:rsid w:val="00D93377"/>
    <w:rsid w:val="00D95C48"/>
    <w:rsid w:val="00DA73E9"/>
    <w:rsid w:val="00DE728B"/>
    <w:rsid w:val="00E115D3"/>
    <w:rsid w:val="00E15A8A"/>
    <w:rsid w:val="00E633E7"/>
    <w:rsid w:val="00EB5CF9"/>
    <w:rsid w:val="00EC3F8A"/>
    <w:rsid w:val="00EC69D0"/>
    <w:rsid w:val="00F073F4"/>
    <w:rsid w:val="00F100FC"/>
    <w:rsid w:val="00F13A9C"/>
    <w:rsid w:val="00F228DB"/>
    <w:rsid w:val="00F27385"/>
    <w:rsid w:val="00F404C4"/>
    <w:rsid w:val="00F470EC"/>
    <w:rsid w:val="00F53643"/>
    <w:rsid w:val="00F65C64"/>
    <w:rsid w:val="00F737D0"/>
    <w:rsid w:val="00F958BB"/>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geovax.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eovax.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er-conf.media-server.com/register/BI4b559139dbb44294825e6e60e5640b24" TargetMode="External"/><Relationship Id="rId5" Type="http://schemas.openxmlformats.org/officeDocument/2006/relationships/webSettings" Target="webSettings.xml"/><Relationship Id="rId15" Type="http://schemas.openxmlformats.org/officeDocument/2006/relationships/hyperlink" Target="mailto:media@geovax.com" TargetMode="External"/><Relationship Id="rId10" Type="http://schemas.openxmlformats.org/officeDocument/2006/relationships/hyperlink" Target="https://www.geovax.com/investo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dge.media-server.com/mmc/p/dsydgymv/" TargetMode="External"/><Relationship Id="rId14" Type="http://schemas.openxmlformats.org/officeDocument/2006/relationships/hyperlink" Target="mailto:geovax@precisionaq.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8</cp:revision>
  <cp:lastPrinted>2022-05-03T12:55:00Z</cp:lastPrinted>
  <dcterms:created xsi:type="dcterms:W3CDTF">2025-03-27T13:29:00Z</dcterms:created>
  <dcterms:modified xsi:type="dcterms:W3CDTF">2025-07-29T13:19:00Z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