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D5989" w14:textId="77777777" w:rsidR="00D06D5F" w:rsidRDefault="00A37743">
      <w:pPr>
        <w:pBdr>
          <w:left w:val="none" w:sz="0" w:space="7" w:color="auto"/>
          <w:right w:val="none" w:sz="0" w:space="7" w:color="auto"/>
        </w:pBdr>
        <w:jc w:val="center"/>
        <w:rPr>
          <w:sz w:val="36"/>
          <w:szCs w:val="36"/>
        </w:rPr>
      </w:pPr>
      <w:r>
        <w:rPr>
          <w:b/>
          <w:bCs/>
          <w:sz w:val="36"/>
          <w:szCs w:val="36"/>
        </w:rPr>
        <w:t>SECURITIES AND EXCHANGE COMMISSION</w:t>
      </w:r>
    </w:p>
    <w:p w14:paraId="4D20D2DB" w14:textId="77777777" w:rsidR="00D06D5F" w:rsidRDefault="00A37743">
      <w:pPr>
        <w:pBdr>
          <w:left w:val="none" w:sz="0" w:space="7" w:color="auto"/>
          <w:right w:val="none" w:sz="0" w:space="7" w:color="auto"/>
        </w:pBdr>
        <w:jc w:val="center"/>
        <w:rPr>
          <w:sz w:val="20"/>
          <w:szCs w:val="20"/>
        </w:rPr>
      </w:pPr>
      <w:r>
        <w:rPr>
          <w:b/>
          <w:bCs/>
          <w:sz w:val="20"/>
          <w:szCs w:val="20"/>
        </w:rPr>
        <w:t>WASHINGTON, D.C. 20549</w:t>
      </w:r>
    </w:p>
    <w:p w14:paraId="7F45FF96" w14:textId="77777777" w:rsidR="00D06D5F" w:rsidRDefault="00A37743">
      <w:pPr>
        <w:pBdr>
          <w:left w:val="none" w:sz="0" w:space="7" w:color="auto"/>
          <w:right w:val="none" w:sz="0" w:space="7" w:color="auto"/>
        </w:pBdr>
        <w:rPr>
          <w:sz w:val="20"/>
          <w:szCs w:val="20"/>
        </w:rPr>
      </w:pPr>
      <w:r>
        <w:rPr>
          <w:sz w:val="20"/>
          <w:szCs w:val="20"/>
        </w:rPr>
        <w:t> </w:t>
      </w:r>
    </w:p>
    <w:p w14:paraId="3B6B0A24" w14:textId="77777777" w:rsidR="00D06D5F" w:rsidRDefault="00000000">
      <w:pPr>
        <w:rPr>
          <w:sz w:val="20"/>
          <w:szCs w:val="20"/>
        </w:rPr>
      </w:pPr>
      <w:r>
        <w:pict w14:anchorId="271382AC">
          <v:rect id="_x0000_i1025" style="width:117pt;height:.75pt" o:hrpct="250" o:hralign="center" o:hrstd="t" o:hrnoshade="t" o:hr="t" fillcolor="black" stroked="f">
            <v:path strokeok="f"/>
          </v:rect>
        </w:pict>
      </w:r>
    </w:p>
    <w:p w14:paraId="1470C93E" w14:textId="77777777" w:rsidR="00D06D5F" w:rsidRDefault="00A37743">
      <w:pPr>
        <w:pBdr>
          <w:left w:val="none" w:sz="0" w:space="7" w:color="auto"/>
          <w:right w:val="none" w:sz="0" w:space="7" w:color="auto"/>
        </w:pBdr>
        <w:rPr>
          <w:sz w:val="20"/>
          <w:szCs w:val="20"/>
        </w:rPr>
      </w:pPr>
      <w:r>
        <w:rPr>
          <w:sz w:val="20"/>
          <w:szCs w:val="20"/>
        </w:rPr>
        <w:t> </w:t>
      </w:r>
    </w:p>
    <w:p w14:paraId="45E511E9" w14:textId="77777777" w:rsidR="00D06D5F" w:rsidRDefault="00A37743">
      <w:pPr>
        <w:pBdr>
          <w:left w:val="none" w:sz="0" w:space="7" w:color="auto"/>
          <w:right w:val="none" w:sz="0" w:space="7" w:color="auto"/>
        </w:pBdr>
        <w:jc w:val="center"/>
        <w:rPr>
          <w:sz w:val="36"/>
          <w:szCs w:val="36"/>
        </w:rPr>
      </w:pPr>
      <w:r>
        <w:rPr>
          <w:b/>
          <w:bCs/>
          <w:sz w:val="36"/>
          <w:szCs w:val="36"/>
        </w:rPr>
        <w:t>FORM 8-K</w:t>
      </w:r>
    </w:p>
    <w:p w14:paraId="7FECEEEF" w14:textId="77777777" w:rsidR="00D06D5F" w:rsidRDefault="00A37743">
      <w:pPr>
        <w:pBdr>
          <w:left w:val="none" w:sz="0" w:space="7" w:color="auto"/>
          <w:right w:val="none" w:sz="0" w:space="7" w:color="auto"/>
        </w:pBdr>
        <w:rPr>
          <w:sz w:val="20"/>
          <w:szCs w:val="20"/>
        </w:rPr>
      </w:pPr>
      <w:r>
        <w:rPr>
          <w:sz w:val="20"/>
          <w:szCs w:val="20"/>
        </w:rPr>
        <w:t> </w:t>
      </w:r>
    </w:p>
    <w:p w14:paraId="3F97381E" w14:textId="77777777" w:rsidR="00D06D5F" w:rsidRDefault="00A37743">
      <w:pPr>
        <w:pBdr>
          <w:left w:val="none" w:sz="0" w:space="7" w:color="auto"/>
          <w:right w:val="none" w:sz="0" w:space="7" w:color="auto"/>
        </w:pBdr>
        <w:jc w:val="center"/>
        <w:rPr>
          <w:sz w:val="20"/>
          <w:szCs w:val="20"/>
        </w:rPr>
      </w:pPr>
      <w:r>
        <w:rPr>
          <w:b/>
          <w:bCs/>
          <w:sz w:val="20"/>
          <w:szCs w:val="20"/>
        </w:rPr>
        <w:t>CURRENT REPORT</w:t>
      </w:r>
    </w:p>
    <w:p w14:paraId="2750A2F4" w14:textId="77777777" w:rsidR="00D06D5F" w:rsidRDefault="00A37743">
      <w:pPr>
        <w:pBdr>
          <w:left w:val="none" w:sz="0" w:space="7" w:color="auto"/>
          <w:right w:val="none" w:sz="0" w:space="7" w:color="auto"/>
        </w:pBdr>
        <w:jc w:val="center"/>
        <w:rPr>
          <w:sz w:val="20"/>
          <w:szCs w:val="20"/>
        </w:rPr>
      </w:pPr>
      <w:r>
        <w:rPr>
          <w:b/>
          <w:bCs/>
          <w:sz w:val="20"/>
          <w:szCs w:val="20"/>
        </w:rPr>
        <w:t>Pursuant to Section 13 or 15(d) of the</w:t>
      </w:r>
    </w:p>
    <w:p w14:paraId="5B882C20" w14:textId="77777777" w:rsidR="00D06D5F" w:rsidRDefault="00A37743">
      <w:pPr>
        <w:pBdr>
          <w:left w:val="none" w:sz="0" w:space="7" w:color="auto"/>
          <w:right w:val="none" w:sz="0" w:space="7" w:color="auto"/>
        </w:pBdr>
        <w:jc w:val="center"/>
        <w:rPr>
          <w:sz w:val="20"/>
          <w:szCs w:val="20"/>
        </w:rPr>
      </w:pPr>
      <w:r>
        <w:rPr>
          <w:b/>
          <w:bCs/>
          <w:sz w:val="20"/>
          <w:szCs w:val="20"/>
        </w:rPr>
        <w:t>Securities Exchange Act of 1934</w:t>
      </w:r>
    </w:p>
    <w:p w14:paraId="1211BE64" w14:textId="77777777" w:rsidR="00D06D5F" w:rsidRDefault="00A37743">
      <w:pPr>
        <w:pBdr>
          <w:left w:val="none" w:sz="0" w:space="7" w:color="auto"/>
          <w:right w:val="none" w:sz="0" w:space="7" w:color="auto"/>
        </w:pBdr>
        <w:rPr>
          <w:sz w:val="20"/>
          <w:szCs w:val="20"/>
        </w:rPr>
      </w:pPr>
      <w:r>
        <w:rPr>
          <w:sz w:val="20"/>
          <w:szCs w:val="20"/>
        </w:rPr>
        <w:t> </w:t>
      </w:r>
    </w:p>
    <w:p w14:paraId="4DC1B1FB" w14:textId="74C7CB2E" w:rsidR="00D06D5F" w:rsidRDefault="00A37743">
      <w:pPr>
        <w:pBdr>
          <w:left w:val="none" w:sz="0" w:space="7" w:color="auto"/>
          <w:right w:val="none" w:sz="0" w:space="7" w:color="auto"/>
        </w:pBdr>
        <w:jc w:val="center"/>
        <w:rPr>
          <w:sz w:val="20"/>
          <w:szCs w:val="20"/>
        </w:rPr>
      </w:pPr>
      <w:r>
        <w:rPr>
          <w:b/>
          <w:bCs/>
          <w:sz w:val="20"/>
          <w:szCs w:val="20"/>
        </w:rPr>
        <w:t>Date of report (Date of earliest event reported):</w:t>
      </w:r>
      <w:r>
        <w:rPr>
          <w:sz w:val="20"/>
          <w:szCs w:val="20"/>
        </w:rPr>
        <w:t xml:space="preserve"> </w:t>
      </w:r>
      <w:r w:rsidR="008C364E">
        <w:rPr>
          <w:b/>
          <w:bCs/>
          <w:sz w:val="20"/>
          <w:szCs w:val="20"/>
        </w:rPr>
        <w:t>May 18</w:t>
      </w:r>
      <w:r w:rsidR="009E5323">
        <w:rPr>
          <w:b/>
          <w:bCs/>
          <w:sz w:val="20"/>
          <w:szCs w:val="20"/>
        </w:rPr>
        <w:t>, 2026</w:t>
      </w:r>
    </w:p>
    <w:p w14:paraId="1AD5D81B" w14:textId="77777777" w:rsidR="00D06D5F" w:rsidRDefault="00A37743">
      <w:pPr>
        <w:pBdr>
          <w:left w:val="none" w:sz="0" w:space="7" w:color="auto"/>
          <w:right w:val="none" w:sz="0" w:space="7" w:color="auto"/>
        </w:pBdr>
        <w:rPr>
          <w:sz w:val="20"/>
          <w:szCs w:val="20"/>
        </w:rPr>
      </w:pPr>
      <w:r>
        <w:rPr>
          <w:sz w:val="20"/>
          <w:szCs w:val="20"/>
        </w:rPr>
        <w:t> </w:t>
      </w:r>
    </w:p>
    <w:p w14:paraId="18D04932" w14:textId="77777777" w:rsidR="00D06D5F" w:rsidRDefault="00000000">
      <w:pPr>
        <w:rPr>
          <w:sz w:val="20"/>
          <w:szCs w:val="20"/>
        </w:rPr>
      </w:pPr>
      <w:r>
        <w:pict w14:anchorId="3288D082">
          <v:rect id="_x0000_i1026" style="width:117pt;height:.75pt" o:hrpct="250" o:hralign="center" o:hrstd="t" o:hrnoshade="t" o:hr="t" fillcolor="black" stroked="f">
            <v:path strokeok="f"/>
          </v:rect>
        </w:pict>
      </w:r>
    </w:p>
    <w:p w14:paraId="0994BE49" w14:textId="77777777" w:rsidR="00D06D5F" w:rsidRDefault="00A37743">
      <w:pPr>
        <w:pBdr>
          <w:left w:val="none" w:sz="0" w:space="7" w:color="auto"/>
          <w:right w:val="none" w:sz="0" w:space="7" w:color="auto"/>
        </w:pBdr>
        <w:rPr>
          <w:sz w:val="20"/>
          <w:szCs w:val="20"/>
        </w:rPr>
      </w:pPr>
      <w:r>
        <w:rPr>
          <w:sz w:val="20"/>
          <w:szCs w:val="20"/>
        </w:rPr>
        <w:t> </w:t>
      </w:r>
    </w:p>
    <w:p w14:paraId="2A54B60F" w14:textId="77777777" w:rsidR="00D06D5F" w:rsidRDefault="00A37743">
      <w:pPr>
        <w:pBdr>
          <w:left w:val="none" w:sz="0" w:space="7" w:color="auto"/>
          <w:right w:val="none" w:sz="0" w:space="7" w:color="auto"/>
        </w:pBdr>
        <w:jc w:val="center"/>
        <w:rPr>
          <w:sz w:val="36"/>
          <w:szCs w:val="36"/>
        </w:rPr>
      </w:pPr>
      <w:r>
        <w:rPr>
          <w:b/>
          <w:bCs/>
          <w:sz w:val="36"/>
          <w:szCs w:val="36"/>
        </w:rPr>
        <w:t>GEOVAX LABS, INC.</w:t>
      </w:r>
    </w:p>
    <w:p w14:paraId="0ED9387E" w14:textId="77777777" w:rsidR="00D06D5F" w:rsidRDefault="00A37743">
      <w:pPr>
        <w:pBdr>
          <w:left w:val="none" w:sz="0" w:space="7" w:color="auto"/>
          <w:right w:val="none" w:sz="0" w:space="7" w:color="auto"/>
        </w:pBdr>
        <w:jc w:val="center"/>
        <w:rPr>
          <w:sz w:val="20"/>
          <w:szCs w:val="20"/>
        </w:rPr>
      </w:pPr>
      <w:r>
        <w:rPr>
          <w:b/>
          <w:bCs/>
          <w:sz w:val="20"/>
          <w:szCs w:val="20"/>
        </w:rPr>
        <w:t>(Exact name of registrant as specified in its charter)</w:t>
      </w:r>
    </w:p>
    <w:p w14:paraId="3E58E17C" w14:textId="77777777" w:rsidR="00D06D5F" w:rsidRDefault="00A37743">
      <w:pPr>
        <w:pBdr>
          <w:left w:val="none" w:sz="0" w:space="7" w:color="auto"/>
          <w:right w:val="none" w:sz="0" w:space="7" w:color="auto"/>
        </w:pBdr>
        <w:rPr>
          <w:sz w:val="20"/>
          <w:szCs w:val="20"/>
        </w:rPr>
      </w:pPr>
      <w:r>
        <w:rPr>
          <w:sz w:val="20"/>
          <w:szCs w:val="20"/>
        </w:rPr>
        <w:t> </w:t>
      </w:r>
    </w:p>
    <w:tbl>
      <w:tblPr>
        <w:tblW w:w="5000" w:type="pct"/>
        <w:jc w:val="center"/>
        <w:tblCellSpacing w:w="0" w:type="dxa"/>
        <w:tblCellMar>
          <w:left w:w="0" w:type="dxa"/>
          <w:right w:w="0" w:type="dxa"/>
        </w:tblCellMar>
        <w:tblLook w:val="04A0" w:firstRow="1" w:lastRow="0" w:firstColumn="1" w:lastColumn="0" w:noHBand="0" w:noVBand="1"/>
      </w:tblPr>
      <w:tblGrid>
        <w:gridCol w:w="3492"/>
        <w:gridCol w:w="2549"/>
        <w:gridCol w:w="3895"/>
      </w:tblGrid>
      <w:tr w:rsidR="00D06D5F" w14:paraId="05BEAB05" w14:textId="77777777">
        <w:trPr>
          <w:cantSplit/>
          <w:tblCellSpacing w:w="0" w:type="dxa"/>
          <w:jc w:val="center"/>
        </w:trPr>
        <w:tc>
          <w:tcPr>
            <w:tcW w:w="0" w:type="auto"/>
            <w:tcMar>
              <w:top w:w="0" w:type="dxa"/>
              <w:left w:w="0" w:type="dxa"/>
              <w:bottom w:w="0" w:type="dxa"/>
              <w:right w:w="0" w:type="dxa"/>
            </w:tcMar>
            <w:hideMark/>
          </w:tcPr>
          <w:p w14:paraId="72CF3639" w14:textId="77777777" w:rsidR="00D06D5F" w:rsidRDefault="00A37743">
            <w:pPr>
              <w:keepNext/>
              <w:jc w:val="center"/>
              <w:rPr>
                <w:color w:val="000000"/>
                <w:sz w:val="20"/>
                <w:szCs w:val="20"/>
              </w:rPr>
            </w:pPr>
            <w:r>
              <w:rPr>
                <w:b/>
                <w:bCs/>
                <w:color w:val="000000"/>
                <w:sz w:val="20"/>
                <w:szCs w:val="20"/>
              </w:rPr>
              <w:t>Delaware</w:t>
            </w:r>
          </w:p>
        </w:tc>
        <w:tc>
          <w:tcPr>
            <w:tcW w:w="0" w:type="auto"/>
            <w:tcMar>
              <w:top w:w="0" w:type="dxa"/>
              <w:left w:w="0" w:type="dxa"/>
              <w:bottom w:w="0" w:type="dxa"/>
              <w:right w:w="0" w:type="dxa"/>
            </w:tcMar>
            <w:hideMark/>
          </w:tcPr>
          <w:p w14:paraId="1260234B" w14:textId="77777777" w:rsidR="00D06D5F" w:rsidRDefault="00A37743">
            <w:pPr>
              <w:keepNext/>
              <w:jc w:val="center"/>
              <w:rPr>
                <w:color w:val="000000"/>
                <w:sz w:val="20"/>
                <w:szCs w:val="20"/>
              </w:rPr>
            </w:pPr>
            <w:r>
              <w:rPr>
                <w:b/>
                <w:bCs/>
                <w:color w:val="000000"/>
                <w:sz w:val="20"/>
                <w:szCs w:val="20"/>
              </w:rPr>
              <w:t>001-39563</w:t>
            </w:r>
          </w:p>
        </w:tc>
        <w:tc>
          <w:tcPr>
            <w:tcW w:w="0" w:type="auto"/>
            <w:tcMar>
              <w:top w:w="0" w:type="dxa"/>
              <w:left w:w="0" w:type="dxa"/>
              <w:bottom w:w="0" w:type="dxa"/>
              <w:right w:w="0" w:type="dxa"/>
            </w:tcMar>
            <w:hideMark/>
          </w:tcPr>
          <w:p w14:paraId="0D36AE05" w14:textId="77777777" w:rsidR="00D06D5F" w:rsidRDefault="00A37743">
            <w:pPr>
              <w:keepNext/>
              <w:jc w:val="center"/>
              <w:rPr>
                <w:color w:val="000000"/>
                <w:sz w:val="20"/>
                <w:szCs w:val="20"/>
              </w:rPr>
            </w:pPr>
            <w:r>
              <w:rPr>
                <w:b/>
                <w:bCs/>
                <w:color w:val="000000"/>
                <w:sz w:val="20"/>
                <w:szCs w:val="20"/>
              </w:rPr>
              <w:t>87-0455038</w:t>
            </w:r>
          </w:p>
        </w:tc>
      </w:tr>
      <w:tr w:rsidR="00D06D5F" w14:paraId="505BC649" w14:textId="77777777">
        <w:trPr>
          <w:cantSplit/>
          <w:tblCellSpacing w:w="0" w:type="dxa"/>
          <w:jc w:val="center"/>
        </w:trPr>
        <w:tc>
          <w:tcPr>
            <w:tcW w:w="0" w:type="auto"/>
            <w:tcMar>
              <w:top w:w="0" w:type="dxa"/>
              <w:left w:w="0" w:type="dxa"/>
              <w:bottom w:w="0" w:type="dxa"/>
              <w:right w:w="0" w:type="dxa"/>
            </w:tcMar>
            <w:hideMark/>
          </w:tcPr>
          <w:p w14:paraId="7EB390F1" w14:textId="77777777" w:rsidR="00D06D5F" w:rsidRDefault="00A37743">
            <w:pPr>
              <w:keepNext/>
              <w:jc w:val="center"/>
              <w:rPr>
                <w:color w:val="000000"/>
                <w:sz w:val="20"/>
                <w:szCs w:val="20"/>
              </w:rPr>
            </w:pPr>
            <w:r>
              <w:rPr>
                <w:b/>
                <w:bCs/>
                <w:color w:val="000000"/>
                <w:sz w:val="20"/>
                <w:szCs w:val="20"/>
              </w:rPr>
              <w:t>(State or other jurisdiction of</w:t>
            </w:r>
          </w:p>
          <w:p w14:paraId="49CC5B3F" w14:textId="77777777" w:rsidR="00D06D5F" w:rsidRDefault="00A37743">
            <w:pPr>
              <w:jc w:val="center"/>
              <w:rPr>
                <w:color w:val="000000"/>
                <w:sz w:val="20"/>
                <w:szCs w:val="20"/>
              </w:rPr>
            </w:pPr>
            <w:r>
              <w:rPr>
                <w:b/>
                <w:bCs/>
                <w:color w:val="000000"/>
                <w:sz w:val="20"/>
                <w:szCs w:val="20"/>
              </w:rPr>
              <w:t>incorporation or organization)</w:t>
            </w:r>
          </w:p>
        </w:tc>
        <w:tc>
          <w:tcPr>
            <w:tcW w:w="0" w:type="auto"/>
            <w:tcMar>
              <w:top w:w="0" w:type="dxa"/>
              <w:left w:w="0" w:type="dxa"/>
              <w:bottom w:w="0" w:type="dxa"/>
              <w:right w:w="0" w:type="dxa"/>
            </w:tcMar>
            <w:hideMark/>
          </w:tcPr>
          <w:p w14:paraId="3FD556BB" w14:textId="77777777" w:rsidR="00D06D5F" w:rsidRDefault="00A37743">
            <w:pPr>
              <w:jc w:val="center"/>
              <w:rPr>
                <w:color w:val="000000"/>
                <w:sz w:val="20"/>
                <w:szCs w:val="20"/>
              </w:rPr>
            </w:pPr>
            <w:r>
              <w:rPr>
                <w:b/>
                <w:bCs/>
                <w:color w:val="000000"/>
                <w:sz w:val="20"/>
                <w:szCs w:val="20"/>
              </w:rPr>
              <w:t>(Commission File No.)</w:t>
            </w:r>
          </w:p>
        </w:tc>
        <w:tc>
          <w:tcPr>
            <w:tcW w:w="0" w:type="auto"/>
            <w:tcMar>
              <w:top w:w="0" w:type="dxa"/>
              <w:left w:w="0" w:type="dxa"/>
              <w:bottom w:w="0" w:type="dxa"/>
              <w:right w:w="0" w:type="dxa"/>
            </w:tcMar>
            <w:hideMark/>
          </w:tcPr>
          <w:p w14:paraId="766D0B6A" w14:textId="77777777" w:rsidR="00D06D5F" w:rsidRDefault="00A37743">
            <w:pPr>
              <w:jc w:val="center"/>
              <w:rPr>
                <w:color w:val="000000"/>
                <w:sz w:val="20"/>
                <w:szCs w:val="20"/>
              </w:rPr>
            </w:pPr>
            <w:r>
              <w:rPr>
                <w:b/>
                <w:bCs/>
                <w:color w:val="000000"/>
                <w:sz w:val="20"/>
                <w:szCs w:val="20"/>
              </w:rPr>
              <w:t>(IRS Employee Identification No.)</w:t>
            </w:r>
          </w:p>
        </w:tc>
      </w:tr>
    </w:tbl>
    <w:p w14:paraId="6BD2C432" w14:textId="77777777" w:rsidR="00D06D5F" w:rsidRDefault="00A37743">
      <w:pPr>
        <w:pBdr>
          <w:left w:val="none" w:sz="0" w:space="7" w:color="auto"/>
          <w:right w:val="none" w:sz="0" w:space="7" w:color="auto"/>
        </w:pBdr>
        <w:rPr>
          <w:sz w:val="20"/>
          <w:szCs w:val="20"/>
        </w:rPr>
      </w:pPr>
      <w:r>
        <w:rPr>
          <w:sz w:val="20"/>
          <w:szCs w:val="20"/>
        </w:rPr>
        <w:t> </w:t>
      </w:r>
    </w:p>
    <w:p w14:paraId="0FBD9EAA" w14:textId="5EA1E405" w:rsidR="00D06D5F" w:rsidRDefault="00A37743">
      <w:pPr>
        <w:pBdr>
          <w:left w:val="none" w:sz="0" w:space="7" w:color="auto"/>
          <w:right w:val="none" w:sz="0" w:space="7" w:color="auto"/>
        </w:pBdr>
        <w:jc w:val="center"/>
        <w:rPr>
          <w:sz w:val="20"/>
          <w:szCs w:val="20"/>
        </w:rPr>
      </w:pPr>
      <w:r>
        <w:rPr>
          <w:b/>
          <w:bCs/>
          <w:sz w:val="20"/>
          <w:szCs w:val="20"/>
        </w:rPr>
        <w:t>19</w:t>
      </w:r>
      <w:r w:rsidR="00106439">
        <w:rPr>
          <w:b/>
          <w:bCs/>
          <w:sz w:val="20"/>
          <w:szCs w:val="20"/>
        </w:rPr>
        <w:t>55</w:t>
      </w:r>
      <w:r>
        <w:rPr>
          <w:b/>
          <w:bCs/>
          <w:sz w:val="20"/>
          <w:szCs w:val="20"/>
        </w:rPr>
        <w:t xml:space="preserve"> Lake Park Drive, Suite 3</w:t>
      </w:r>
      <w:r w:rsidR="00106439">
        <w:rPr>
          <w:b/>
          <w:bCs/>
          <w:sz w:val="20"/>
          <w:szCs w:val="20"/>
        </w:rPr>
        <w:t>00</w:t>
      </w:r>
    </w:p>
    <w:p w14:paraId="787C93D4" w14:textId="77777777" w:rsidR="00D06D5F" w:rsidRDefault="00A37743">
      <w:pPr>
        <w:pBdr>
          <w:left w:val="none" w:sz="0" w:space="7" w:color="auto"/>
          <w:right w:val="none" w:sz="0" w:space="7" w:color="auto"/>
        </w:pBdr>
        <w:jc w:val="center"/>
        <w:rPr>
          <w:sz w:val="20"/>
          <w:szCs w:val="20"/>
        </w:rPr>
      </w:pPr>
      <w:r>
        <w:rPr>
          <w:b/>
          <w:bCs/>
          <w:sz w:val="20"/>
          <w:szCs w:val="20"/>
        </w:rPr>
        <w:t>Smyrna, Georgia 30080</w:t>
      </w:r>
    </w:p>
    <w:p w14:paraId="5E40356F" w14:textId="77777777" w:rsidR="00D06D5F" w:rsidRDefault="00A37743">
      <w:pPr>
        <w:pBdr>
          <w:left w:val="none" w:sz="0" w:space="7" w:color="auto"/>
          <w:right w:val="none" w:sz="0" w:space="7" w:color="auto"/>
        </w:pBdr>
        <w:jc w:val="center"/>
        <w:rPr>
          <w:sz w:val="20"/>
          <w:szCs w:val="20"/>
        </w:rPr>
      </w:pPr>
      <w:r>
        <w:rPr>
          <w:b/>
          <w:bCs/>
          <w:sz w:val="20"/>
          <w:szCs w:val="20"/>
        </w:rPr>
        <w:t>(Address of principal executive offices) (Zip code)</w:t>
      </w:r>
    </w:p>
    <w:p w14:paraId="604EC242" w14:textId="77777777" w:rsidR="00D06D5F" w:rsidRDefault="00A37743">
      <w:pPr>
        <w:pBdr>
          <w:left w:val="none" w:sz="0" w:space="7" w:color="auto"/>
          <w:right w:val="none" w:sz="0" w:space="7" w:color="auto"/>
        </w:pBdr>
        <w:rPr>
          <w:sz w:val="20"/>
          <w:szCs w:val="20"/>
        </w:rPr>
      </w:pPr>
      <w:r>
        <w:rPr>
          <w:sz w:val="20"/>
          <w:szCs w:val="20"/>
        </w:rPr>
        <w:t> </w:t>
      </w:r>
    </w:p>
    <w:p w14:paraId="487F3D23" w14:textId="77777777" w:rsidR="00D06D5F" w:rsidRDefault="00A37743">
      <w:pPr>
        <w:pBdr>
          <w:left w:val="none" w:sz="0" w:space="7" w:color="auto"/>
          <w:right w:val="none" w:sz="0" w:space="7" w:color="auto"/>
        </w:pBdr>
        <w:jc w:val="center"/>
        <w:rPr>
          <w:sz w:val="20"/>
          <w:szCs w:val="20"/>
        </w:rPr>
      </w:pPr>
      <w:r>
        <w:rPr>
          <w:b/>
          <w:bCs/>
          <w:sz w:val="20"/>
          <w:szCs w:val="20"/>
        </w:rPr>
        <w:t>(678) 384-7220</w:t>
      </w:r>
    </w:p>
    <w:p w14:paraId="5459356A" w14:textId="77777777" w:rsidR="00D06D5F" w:rsidRDefault="00A37743">
      <w:pPr>
        <w:pBdr>
          <w:left w:val="none" w:sz="0" w:space="7" w:color="auto"/>
          <w:right w:val="none" w:sz="0" w:space="7" w:color="auto"/>
        </w:pBdr>
        <w:jc w:val="center"/>
        <w:rPr>
          <w:sz w:val="20"/>
          <w:szCs w:val="20"/>
        </w:rPr>
      </w:pPr>
      <w:r>
        <w:rPr>
          <w:b/>
          <w:bCs/>
          <w:sz w:val="20"/>
          <w:szCs w:val="20"/>
        </w:rPr>
        <w:t>(Registrant</w:t>
      </w:r>
      <w:r>
        <w:rPr>
          <w:sz w:val="20"/>
          <w:szCs w:val="20"/>
        </w:rPr>
        <w:t>’</w:t>
      </w:r>
      <w:r>
        <w:rPr>
          <w:b/>
          <w:bCs/>
          <w:sz w:val="20"/>
          <w:szCs w:val="20"/>
        </w:rPr>
        <w:t>s telephone number, including area code)</w:t>
      </w:r>
    </w:p>
    <w:p w14:paraId="7D630B35" w14:textId="77777777" w:rsidR="00D06D5F" w:rsidRDefault="00A37743">
      <w:pPr>
        <w:pBdr>
          <w:left w:val="none" w:sz="0" w:space="7" w:color="auto"/>
          <w:right w:val="none" w:sz="0" w:space="7" w:color="auto"/>
        </w:pBdr>
        <w:rPr>
          <w:sz w:val="20"/>
          <w:szCs w:val="20"/>
        </w:rPr>
      </w:pPr>
      <w:r>
        <w:rPr>
          <w:sz w:val="20"/>
          <w:szCs w:val="20"/>
        </w:rPr>
        <w:t> </w:t>
      </w:r>
    </w:p>
    <w:p w14:paraId="5BB1D914" w14:textId="77777777" w:rsidR="00D06D5F" w:rsidRDefault="00A37743">
      <w:pPr>
        <w:pBdr>
          <w:left w:val="none" w:sz="0" w:space="7" w:color="auto"/>
          <w:right w:val="none" w:sz="0" w:space="7" w:color="auto"/>
        </w:pBdr>
        <w:rPr>
          <w:sz w:val="20"/>
          <w:szCs w:val="20"/>
        </w:rPr>
      </w:pPr>
      <w:r>
        <w:rPr>
          <w:sz w:val="20"/>
          <w:szCs w:val="20"/>
        </w:rPr>
        <w:t>Check the appropriate box below if the Form 8-K filing is intended to simultaneously satisfy the filing obligation of the Registrant under any of the following provisions.</w:t>
      </w:r>
    </w:p>
    <w:p w14:paraId="50E1B29A" w14:textId="77777777" w:rsidR="00D06D5F" w:rsidRDefault="00A37743">
      <w:pPr>
        <w:pBdr>
          <w:left w:val="none" w:sz="0" w:space="7" w:color="auto"/>
          <w:right w:val="none" w:sz="0" w:space="7" w:color="auto"/>
        </w:pBdr>
        <w:rPr>
          <w:sz w:val="20"/>
          <w:szCs w:val="20"/>
        </w:rPr>
      </w:pPr>
      <w:r>
        <w:rPr>
          <w:sz w:val="20"/>
          <w:szCs w:val="20"/>
        </w:rPr>
        <w:t> </w:t>
      </w:r>
    </w:p>
    <w:tbl>
      <w:tblPr>
        <w:tblW w:w="5000" w:type="pct"/>
        <w:tblCellSpacing w:w="0" w:type="dxa"/>
        <w:tblCellMar>
          <w:left w:w="0" w:type="dxa"/>
          <w:right w:w="0" w:type="dxa"/>
        </w:tblCellMar>
        <w:tblLook w:val="04A0" w:firstRow="1" w:lastRow="0" w:firstColumn="1" w:lastColumn="0" w:noHBand="0" w:noVBand="1"/>
      </w:tblPr>
      <w:tblGrid>
        <w:gridCol w:w="233"/>
        <w:gridCol w:w="9703"/>
      </w:tblGrid>
      <w:tr w:rsidR="00D06D5F" w14:paraId="44BE865E" w14:textId="77777777">
        <w:trPr>
          <w:cantSplit/>
          <w:tblCellSpacing w:w="0" w:type="dxa"/>
        </w:trPr>
        <w:tc>
          <w:tcPr>
            <w:tcW w:w="0" w:type="auto"/>
            <w:tcMar>
              <w:top w:w="0" w:type="dxa"/>
              <w:left w:w="0" w:type="dxa"/>
              <w:bottom w:w="0" w:type="dxa"/>
              <w:right w:w="0" w:type="dxa"/>
            </w:tcMar>
            <w:hideMark/>
          </w:tcPr>
          <w:p w14:paraId="7D8D8BB8" w14:textId="77777777" w:rsidR="00D06D5F" w:rsidRDefault="00A37743">
            <w:pPr>
              <w:rPr>
                <w:color w:val="000000"/>
                <w:sz w:val="20"/>
                <w:szCs w:val="20"/>
              </w:rPr>
            </w:pPr>
            <w:r>
              <w:rPr>
                <w:rFonts w:ascii="Segoe UI Emoji" w:eastAsia="Segoe UI Emoji" w:hAnsi="Segoe UI Emoji" w:cs="Segoe UI Emoji"/>
                <w:color w:val="000000"/>
                <w:sz w:val="20"/>
                <w:szCs w:val="20"/>
              </w:rPr>
              <w:t>☐</w:t>
            </w:r>
          </w:p>
        </w:tc>
        <w:tc>
          <w:tcPr>
            <w:tcW w:w="0" w:type="auto"/>
            <w:tcMar>
              <w:top w:w="0" w:type="dxa"/>
              <w:left w:w="0" w:type="dxa"/>
              <w:bottom w:w="0" w:type="dxa"/>
              <w:right w:w="0" w:type="dxa"/>
            </w:tcMar>
            <w:hideMark/>
          </w:tcPr>
          <w:p w14:paraId="3A360083" w14:textId="77777777" w:rsidR="00D06D5F" w:rsidRDefault="00A37743">
            <w:pPr>
              <w:rPr>
                <w:color w:val="000000"/>
                <w:sz w:val="20"/>
                <w:szCs w:val="20"/>
              </w:rPr>
            </w:pPr>
            <w:r>
              <w:rPr>
                <w:color w:val="000000"/>
                <w:sz w:val="20"/>
                <w:szCs w:val="20"/>
              </w:rPr>
              <w:t>Written communications pursuant to Rule 425 under the Securities Act (17 CFR 230.425)</w:t>
            </w:r>
          </w:p>
        </w:tc>
      </w:tr>
    </w:tbl>
    <w:p w14:paraId="5C35A9C0" w14:textId="77777777" w:rsidR="00D06D5F" w:rsidRDefault="00A37743">
      <w:pPr>
        <w:pBdr>
          <w:left w:val="none" w:sz="0" w:space="7" w:color="auto"/>
          <w:right w:val="none" w:sz="0" w:space="7" w:color="auto"/>
        </w:pBdr>
        <w:rPr>
          <w:sz w:val="20"/>
          <w:szCs w:val="20"/>
        </w:rPr>
      </w:pPr>
      <w:r>
        <w:rPr>
          <w:sz w:val="20"/>
          <w:szCs w:val="20"/>
        </w:rPr>
        <w:t> </w:t>
      </w:r>
    </w:p>
    <w:tbl>
      <w:tblPr>
        <w:tblW w:w="5000" w:type="pct"/>
        <w:tblCellSpacing w:w="0" w:type="dxa"/>
        <w:tblCellMar>
          <w:left w:w="0" w:type="dxa"/>
          <w:right w:w="0" w:type="dxa"/>
        </w:tblCellMar>
        <w:tblLook w:val="04A0" w:firstRow="1" w:lastRow="0" w:firstColumn="1" w:lastColumn="0" w:noHBand="0" w:noVBand="1"/>
      </w:tblPr>
      <w:tblGrid>
        <w:gridCol w:w="235"/>
        <w:gridCol w:w="9701"/>
      </w:tblGrid>
      <w:tr w:rsidR="00D06D5F" w14:paraId="1FFB2961" w14:textId="77777777">
        <w:trPr>
          <w:cantSplit/>
          <w:tblCellSpacing w:w="0" w:type="dxa"/>
        </w:trPr>
        <w:tc>
          <w:tcPr>
            <w:tcW w:w="0" w:type="auto"/>
            <w:tcMar>
              <w:top w:w="0" w:type="dxa"/>
              <w:left w:w="0" w:type="dxa"/>
              <w:bottom w:w="0" w:type="dxa"/>
              <w:right w:w="0" w:type="dxa"/>
            </w:tcMar>
            <w:hideMark/>
          </w:tcPr>
          <w:p w14:paraId="11BE1048" w14:textId="77777777" w:rsidR="00D06D5F" w:rsidRDefault="00A37743">
            <w:pPr>
              <w:rPr>
                <w:color w:val="000000"/>
                <w:sz w:val="20"/>
                <w:szCs w:val="20"/>
              </w:rPr>
            </w:pPr>
            <w:r>
              <w:rPr>
                <w:rFonts w:ascii="Segoe UI Emoji" w:eastAsia="Segoe UI Emoji" w:hAnsi="Segoe UI Emoji" w:cs="Segoe UI Emoji"/>
                <w:color w:val="000000"/>
                <w:sz w:val="20"/>
                <w:szCs w:val="20"/>
              </w:rPr>
              <w:t>☐</w:t>
            </w:r>
          </w:p>
        </w:tc>
        <w:tc>
          <w:tcPr>
            <w:tcW w:w="0" w:type="auto"/>
            <w:tcMar>
              <w:top w:w="0" w:type="dxa"/>
              <w:left w:w="0" w:type="dxa"/>
              <w:bottom w:w="0" w:type="dxa"/>
              <w:right w:w="0" w:type="dxa"/>
            </w:tcMar>
            <w:hideMark/>
          </w:tcPr>
          <w:p w14:paraId="4383525A" w14:textId="77777777" w:rsidR="00D06D5F" w:rsidRDefault="00A37743">
            <w:pPr>
              <w:rPr>
                <w:color w:val="000000"/>
                <w:sz w:val="20"/>
                <w:szCs w:val="20"/>
              </w:rPr>
            </w:pPr>
            <w:r>
              <w:rPr>
                <w:color w:val="000000"/>
                <w:sz w:val="20"/>
                <w:szCs w:val="20"/>
              </w:rPr>
              <w:t>Soliciting material pursuant to Rule 14a-12 under the Exchange Act (17 CFR240.14a-12)</w:t>
            </w:r>
          </w:p>
        </w:tc>
      </w:tr>
    </w:tbl>
    <w:p w14:paraId="016F2A2F" w14:textId="77777777" w:rsidR="00D06D5F" w:rsidRDefault="00A37743">
      <w:pPr>
        <w:pBdr>
          <w:left w:val="none" w:sz="0" w:space="7" w:color="auto"/>
          <w:right w:val="none" w:sz="0" w:space="7" w:color="auto"/>
        </w:pBdr>
        <w:rPr>
          <w:sz w:val="20"/>
          <w:szCs w:val="20"/>
        </w:rPr>
      </w:pPr>
      <w:r>
        <w:rPr>
          <w:sz w:val="20"/>
          <w:szCs w:val="20"/>
        </w:rPr>
        <w:t> </w:t>
      </w:r>
    </w:p>
    <w:tbl>
      <w:tblPr>
        <w:tblW w:w="5000" w:type="pct"/>
        <w:tblCellSpacing w:w="0" w:type="dxa"/>
        <w:tblCellMar>
          <w:left w:w="0" w:type="dxa"/>
          <w:right w:w="0" w:type="dxa"/>
        </w:tblCellMar>
        <w:tblLook w:val="04A0" w:firstRow="1" w:lastRow="0" w:firstColumn="1" w:lastColumn="0" w:noHBand="0" w:noVBand="1"/>
      </w:tblPr>
      <w:tblGrid>
        <w:gridCol w:w="187"/>
        <w:gridCol w:w="9749"/>
      </w:tblGrid>
      <w:tr w:rsidR="00D06D5F" w14:paraId="02344E98" w14:textId="77777777">
        <w:trPr>
          <w:cantSplit/>
          <w:tblCellSpacing w:w="0" w:type="dxa"/>
        </w:trPr>
        <w:tc>
          <w:tcPr>
            <w:tcW w:w="0" w:type="auto"/>
            <w:tcMar>
              <w:top w:w="0" w:type="dxa"/>
              <w:left w:w="0" w:type="dxa"/>
              <w:bottom w:w="0" w:type="dxa"/>
              <w:right w:w="0" w:type="dxa"/>
            </w:tcMar>
            <w:hideMark/>
          </w:tcPr>
          <w:p w14:paraId="20B20C8A" w14:textId="77777777" w:rsidR="00D06D5F" w:rsidRDefault="00A37743">
            <w:pPr>
              <w:rPr>
                <w:color w:val="000000"/>
                <w:sz w:val="20"/>
                <w:szCs w:val="20"/>
              </w:rPr>
            </w:pPr>
            <w:r>
              <w:rPr>
                <w:rFonts w:ascii="Segoe UI Emoji" w:eastAsia="Segoe UI Emoji" w:hAnsi="Segoe UI Emoji" w:cs="Segoe UI Emoji"/>
                <w:color w:val="000000"/>
                <w:sz w:val="20"/>
                <w:szCs w:val="20"/>
              </w:rPr>
              <w:t>☐</w:t>
            </w:r>
          </w:p>
        </w:tc>
        <w:tc>
          <w:tcPr>
            <w:tcW w:w="0" w:type="auto"/>
            <w:tcMar>
              <w:top w:w="0" w:type="dxa"/>
              <w:left w:w="0" w:type="dxa"/>
              <w:bottom w:w="0" w:type="dxa"/>
              <w:right w:w="0" w:type="dxa"/>
            </w:tcMar>
            <w:hideMark/>
          </w:tcPr>
          <w:p w14:paraId="6997DE34" w14:textId="77777777" w:rsidR="00D06D5F" w:rsidRDefault="00A37743">
            <w:pPr>
              <w:rPr>
                <w:color w:val="000000"/>
                <w:sz w:val="20"/>
                <w:szCs w:val="20"/>
              </w:rPr>
            </w:pPr>
            <w:r>
              <w:rPr>
                <w:color w:val="000000"/>
                <w:sz w:val="20"/>
                <w:szCs w:val="20"/>
              </w:rPr>
              <w:t>Pre-commencement communications pursuant to Rule 14d-2(b) under the Exchange Act (17 CFR 240.14d-2(b)).</w:t>
            </w:r>
          </w:p>
        </w:tc>
      </w:tr>
    </w:tbl>
    <w:p w14:paraId="2BB7C2FC" w14:textId="77777777" w:rsidR="00D06D5F" w:rsidRDefault="00A37743">
      <w:pPr>
        <w:pBdr>
          <w:left w:val="none" w:sz="0" w:space="7" w:color="auto"/>
          <w:right w:val="none" w:sz="0" w:space="7" w:color="auto"/>
        </w:pBdr>
        <w:rPr>
          <w:sz w:val="20"/>
          <w:szCs w:val="20"/>
        </w:rPr>
      </w:pPr>
      <w:r>
        <w:rPr>
          <w:sz w:val="20"/>
          <w:szCs w:val="20"/>
        </w:rPr>
        <w:t> </w:t>
      </w:r>
    </w:p>
    <w:tbl>
      <w:tblPr>
        <w:tblW w:w="5000" w:type="pct"/>
        <w:tblCellSpacing w:w="0" w:type="dxa"/>
        <w:tblCellMar>
          <w:left w:w="0" w:type="dxa"/>
          <w:right w:w="0" w:type="dxa"/>
        </w:tblCellMar>
        <w:tblLook w:val="04A0" w:firstRow="1" w:lastRow="0" w:firstColumn="1" w:lastColumn="0" w:noHBand="0" w:noVBand="1"/>
      </w:tblPr>
      <w:tblGrid>
        <w:gridCol w:w="186"/>
        <w:gridCol w:w="9750"/>
      </w:tblGrid>
      <w:tr w:rsidR="00D06D5F" w14:paraId="4E6A8244" w14:textId="77777777">
        <w:trPr>
          <w:cantSplit/>
          <w:tblCellSpacing w:w="0" w:type="dxa"/>
        </w:trPr>
        <w:tc>
          <w:tcPr>
            <w:tcW w:w="0" w:type="auto"/>
            <w:tcMar>
              <w:top w:w="0" w:type="dxa"/>
              <w:left w:w="0" w:type="dxa"/>
              <w:bottom w:w="0" w:type="dxa"/>
              <w:right w:w="0" w:type="dxa"/>
            </w:tcMar>
            <w:hideMark/>
          </w:tcPr>
          <w:p w14:paraId="43C00601" w14:textId="77777777" w:rsidR="00D06D5F" w:rsidRDefault="00A37743">
            <w:pPr>
              <w:rPr>
                <w:color w:val="000000"/>
                <w:sz w:val="20"/>
                <w:szCs w:val="20"/>
              </w:rPr>
            </w:pPr>
            <w:r>
              <w:rPr>
                <w:rFonts w:ascii="Segoe UI Emoji" w:eastAsia="Segoe UI Emoji" w:hAnsi="Segoe UI Emoji" w:cs="Segoe UI Emoji"/>
                <w:color w:val="000000"/>
                <w:sz w:val="20"/>
                <w:szCs w:val="20"/>
              </w:rPr>
              <w:t>☐</w:t>
            </w:r>
          </w:p>
        </w:tc>
        <w:tc>
          <w:tcPr>
            <w:tcW w:w="0" w:type="auto"/>
            <w:tcMar>
              <w:top w:w="0" w:type="dxa"/>
              <w:left w:w="0" w:type="dxa"/>
              <w:bottom w:w="0" w:type="dxa"/>
              <w:right w:w="0" w:type="dxa"/>
            </w:tcMar>
            <w:hideMark/>
          </w:tcPr>
          <w:p w14:paraId="38B337A5" w14:textId="77777777" w:rsidR="00D06D5F" w:rsidRDefault="00A37743">
            <w:pPr>
              <w:rPr>
                <w:color w:val="000000"/>
                <w:sz w:val="20"/>
                <w:szCs w:val="20"/>
              </w:rPr>
            </w:pPr>
            <w:r>
              <w:rPr>
                <w:color w:val="000000"/>
                <w:sz w:val="20"/>
                <w:szCs w:val="20"/>
              </w:rPr>
              <w:t>Pre-commencement communications pursuant to Rule 13e-4(c) under the Exchange Act (17 CFR 240.13(e)-4(c))</w:t>
            </w:r>
          </w:p>
        </w:tc>
      </w:tr>
    </w:tbl>
    <w:p w14:paraId="671455EC" w14:textId="77777777" w:rsidR="00D06D5F" w:rsidRDefault="00A37743">
      <w:pPr>
        <w:pBdr>
          <w:left w:val="none" w:sz="0" w:space="7" w:color="auto"/>
          <w:right w:val="none" w:sz="0" w:space="7" w:color="auto"/>
        </w:pBdr>
        <w:rPr>
          <w:sz w:val="20"/>
          <w:szCs w:val="20"/>
        </w:rPr>
      </w:pPr>
      <w:r>
        <w:rPr>
          <w:sz w:val="20"/>
          <w:szCs w:val="20"/>
        </w:rPr>
        <w:t> </w:t>
      </w:r>
    </w:p>
    <w:p w14:paraId="12313C2B" w14:textId="77777777" w:rsidR="00D06D5F" w:rsidRDefault="00A37743">
      <w:pPr>
        <w:pBdr>
          <w:left w:val="none" w:sz="0" w:space="7" w:color="auto"/>
          <w:right w:val="none" w:sz="0" w:space="7" w:color="auto"/>
        </w:pBdr>
        <w:rPr>
          <w:sz w:val="20"/>
          <w:szCs w:val="20"/>
        </w:rPr>
      </w:pPr>
      <w:r>
        <w:rPr>
          <w:sz w:val="20"/>
          <w:szCs w:val="20"/>
        </w:rPr>
        <w:t>Securities registered pursuant to Section 12(b) of the Act:</w:t>
      </w:r>
    </w:p>
    <w:p w14:paraId="05DDF3A6" w14:textId="77777777" w:rsidR="00D06D5F" w:rsidRDefault="00A37743">
      <w:pPr>
        <w:pBdr>
          <w:left w:val="none" w:sz="0" w:space="7" w:color="auto"/>
          <w:right w:val="none" w:sz="0" w:space="7" w:color="auto"/>
        </w:pBdr>
        <w:rPr>
          <w:sz w:val="20"/>
          <w:szCs w:val="20"/>
        </w:rPr>
      </w:pPr>
      <w:r>
        <w:rPr>
          <w:sz w:val="20"/>
          <w:szCs w:val="20"/>
        </w:rPr>
        <w:t> </w:t>
      </w:r>
    </w:p>
    <w:tbl>
      <w:tblPr>
        <w:tblW w:w="5000" w:type="pct"/>
        <w:jc w:val="center"/>
        <w:tblCellSpacing w:w="0" w:type="dxa"/>
        <w:tblCellMar>
          <w:left w:w="0" w:type="dxa"/>
          <w:right w:w="0" w:type="dxa"/>
        </w:tblCellMar>
        <w:tblLook w:val="04A0" w:firstRow="1" w:lastRow="0" w:firstColumn="1" w:lastColumn="0" w:noHBand="0" w:noVBand="1"/>
      </w:tblPr>
      <w:tblGrid>
        <w:gridCol w:w="4282"/>
        <w:gridCol w:w="1057"/>
        <w:gridCol w:w="4597"/>
      </w:tblGrid>
      <w:tr w:rsidR="00D06D5F" w14:paraId="1E7567F8" w14:textId="77777777">
        <w:trPr>
          <w:cantSplit/>
          <w:tblCellSpacing w:w="0" w:type="dxa"/>
          <w:jc w:val="center"/>
        </w:trPr>
        <w:tc>
          <w:tcPr>
            <w:tcW w:w="0" w:type="auto"/>
            <w:tcBorders>
              <w:bottom w:val="single" w:sz="6" w:space="0" w:color="000000"/>
            </w:tcBorders>
            <w:tcMar>
              <w:top w:w="0" w:type="dxa"/>
              <w:left w:w="0" w:type="dxa"/>
              <w:bottom w:w="0" w:type="dxa"/>
              <w:right w:w="0" w:type="dxa"/>
            </w:tcMar>
            <w:vAlign w:val="bottom"/>
            <w:hideMark/>
          </w:tcPr>
          <w:p w14:paraId="2ED8D95C" w14:textId="77777777" w:rsidR="00D06D5F" w:rsidRDefault="00A37743">
            <w:pPr>
              <w:keepNext/>
              <w:jc w:val="center"/>
              <w:rPr>
                <w:color w:val="000000"/>
                <w:sz w:val="20"/>
                <w:szCs w:val="20"/>
              </w:rPr>
            </w:pPr>
            <w:r>
              <w:rPr>
                <w:b/>
                <w:bCs/>
                <w:color w:val="000000"/>
                <w:sz w:val="20"/>
                <w:szCs w:val="20"/>
              </w:rPr>
              <w:t>Title of each class</w:t>
            </w:r>
          </w:p>
        </w:tc>
        <w:tc>
          <w:tcPr>
            <w:tcW w:w="0" w:type="auto"/>
            <w:tcBorders>
              <w:bottom w:val="single" w:sz="6" w:space="0" w:color="000000"/>
            </w:tcBorders>
            <w:tcMar>
              <w:top w:w="0" w:type="dxa"/>
              <w:left w:w="0" w:type="dxa"/>
              <w:bottom w:w="0" w:type="dxa"/>
              <w:right w:w="0" w:type="dxa"/>
            </w:tcMar>
            <w:vAlign w:val="bottom"/>
            <w:hideMark/>
          </w:tcPr>
          <w:p w14:paraId="50175EC9" w14:textId="77777777" w:rsidR="00D06D5F" w:rsidRDefault="00A37743">
            <w:pPr>
              <w:keepNext/>
              <w:jc w:val="center"/>
              <w:rPr>
                <w:color w:val="000000"/>
                <w:sz w:val="20"/>
                <w:szCs w:val="20"/>
              </w:rPr>
            </w:pPr>
            <w:r>
              <w:rPr>
                <w:b/>
                <w:bCs/>
                <w:color w:val="000000"/>
                <w:sz w:val="20"/>
                <w:szCs w:val="20"/>
              </w:rPr>
              <w:t>Trading</w:t>
            </w:r>
          </w:p>
          <w:p w14:paraId="2B9C1FFC" w14:textId="77777777" w:rsidR="00D06D5F" w:rsidRDefault="00A37743">
            <w:pPr>
              <w:keepNext/>
              <w:jc w:val="center"/>
              <w:rPr>
                <w:color w:val="000000"/>
                <w:sz w:val="20"/>
                <w:szCs w:val="20"/>
              </w:rPr>
            </w:pPr>
            <w:r>
              <w:rPr>
                <w:b/>
                <w:bCs/>
                <w:color w:val="000000"/>
                <w:sz w:val="20"/>
                <w:szCs w:val="20"/>
              </w:rPr>
              <w:t>Symbol(s)</w:t>
            </w:r>
          </w:p>
        </w:tc>
        <w:tc>
          <w:tcPr>
            <w:tcW w:w="0" w:type="auto"/>
            <w:tcBorders>
              <w:bottom w:val="single" w:sz="6" w:space="0" w:color="000000"/>
            </w:tcBorders>
            <w:tcMar>
              <w:top w:w="0" w:type="dxa"/>
              <w:left w:w="0" w:type="dxa"/>
              <w:bottom w:w="0" w:type="dxa"/>
              <w:right w:w="0" w:type="dxa"/>
            </w:tcMar>
            <w:vAlign w:val="bottom"/>
            <w:hideMark/>
          </w:tcPr>
          <w:p w14:paraId="1F83CDA8" w14:textId="77777777" w:rsidR="00D06D5F" w:rsidRDefault="00A37743">
            <w:pPr>
              <w:keepNext/>
              <w:jc w:val="center"/>
              <w:rPr>
                <w:color w:val="000000"/>
                <w:sz w:val="20"/>
                <w:szCs w:val="20"/>
              </w:rPr>
            </w:pPr>
            <w:r>
              <w:rPr>
                <w:b/>
                <w:bCs/>
                <w:color w:val="000000"/>
                <w:sz w:val="20"/>
                <w:szCs w:val="20"/>
              </w:rPr>
              <w:t>Name of each exchange on which registered</w:t>
            </w:r>
          </w:p>
        </w:tc>
      </w:tr>
      <w:tr w:rsidR="00D06D5F" w14:paraId="55A80E0C" w14:textId="77777777">
        <w:trPr>
          <w:cantSplit/>
          <w:tblCellSpacing w:w="0" w:type="dxa"/>
          <w:jc w:val="center"/>
        </w:trPr>
        <w:tc>
          <w:tcPr>
            <w:tcW w:w="0" w:type="auto"/>
            <w:tcMar>
              <w:top w:w="0" w:type="dxa"/>
              <w:left w:w="0" w:type="dxa"/>
              <w:bottom w:w="0" w:type="dxa"/>
              <w:right w:w="0" w:type="dxa"/>
            </w:tcMar>
            <w:vAlign w:val="center"/>
            <w:hideMark/>
          </w:tcPr>
          <w:p w14:paraId="192268F1" w14:textId="77777777" w:rsidR="00D06D5F" w:rsidRDefault="00A37743">
            <w:pPr>
              <w:keepNext/>
              <w:jc w:val="center"/>
              <w:rPr>
                <w:color w:val="000000"/>
                <w:sz w:val="20"/>
                <w:szCs w:val="20"/>
              </w:rPr>
            </w:pPr>
            <w:r>
              <w:rPr>
                <w:color w:val="000000"/>
                <w:sz w:val="20"/>
                <w:szCs w:val="20"/>
              </w:rPr>
              <w:t>Common Stock, par value $0.001 per share</w:t>
            </w:r>
          </w:p>
        </w:tc>
        <w:tc>
          <w:tcPr>
            <w:tcW w:w="0" w:type="auto"/>
            <w:tcMar>
              <w:top w:w="0" w:type="dxa"/>
              <w:left w:w="0" w:type="dxa"/>
              <w:bottom w:w="0" w:type="dxa"/>
              <w:right w:w="0" w:type="dxa"/>
            </w:tcMar>
            <w:vAlign w:val="center"/>
            <w:hideMark/>
          </w:tcPr>
          <w:p w14:paraId="5820A2D7" w14:textId="77777777" w:rsidR="00D06D5F" w:rsidRDefault="00A37743">
            <w:pPr>
              <w:keepNext/>
              <w:jc w:val="center"/>
              <w:rPr>
                <w:color w:val="000000"/>
                <w:sz w:val="20"/>
                <w:szCs w:val="20"/>
              </w:rPr>
            </w:pPr>
            <w:r>
              <w:rPr>
                <w:color w:val="000000"/>
                <w:sz w:val="20"/>
                <w:szCs w:val="20"/>
              </w:rPr>
              <w:t>GOVX</w:t>
            </w:r>
          </w:p>
        </w:tc>
        <w:tc>
          <w:tcPr>
            <w:tcW w:w="0" w:type="auto"/>
            <w:tcMar>
              <w:top w:w="0" w:type="dxa"/>
              <w:left w:w="0" w:type="dxa"/>
              <w:bottom w:w="0" w:type="dxa"/>
              <w:right w:w="0" w:type="dxa"/>
            </w:tcMar>
            <w:vAlign w:val="center"/>
            <w:hideMark/>
          </w:tcPr>
          <w:p w14:paraId="77140245" w14:textId="77777777" w:rsidR="00D06D5F" w:rsidRDefault="00A37743">
            <w:pPr>
              <w:keepNext/>
              <w:jc w:val="center"/>
              <w:rPr>
                <w:color w:val="000000"/>
                <w:sz w:val="20"/>
                <w:szCs w:val="20"/>
              </w:rPr>
            </w:pPr>
            <w:r>
              <w:rPr>
                <w:color w:val="000000"/>
                <w:sz w:val="20"/>
                <w:szCs w:val="20"/>
              </w:rPr>
              <w:t>The Nasdaq Capital Market</w:t>
            </w:r>
          </w:p>
        </w:tc>
      </w:tr>
    </w:tbl>
    <w:p w14:paraId="2F5B60E8" w14:textId="77777777" w:rsidR="00D06D5F" w:rsidRDefault="00A37743">
      <w:pPr>
        <w:pBdr>
          <w:left w:val="none" w:sz="0" w:space="7" w:color="auto"/>
          <w:right w:val="none" w:sz="0" w:space="7" w:color="auto"/>
        </w:pBdr>
        <w:rPr>
          <w:sz w:val="20"/>
          <w:szCs w:val="20"/>
        </w:rPr>
      </w:pPr>
      <w:r>
        <w:rPr>
          <w:sz w:val="20"/>
          <w:szCs w:val="20"/>
        </w:rPr>
        <w:t> </w:t>
      </w:r>
    </w:p>
    <w:p w14:paraId="5FA18157" w14:textId="77777777" w:rsidR="00D06D5F" w:rsidRDefault="00A37743">
      <w:pPr>
        <w:pBdr>
          <w:left w:val="none" w:sz="0" w:space="7" w:color="auto"/>
          <w:right w:val="none" w:sz="0" w:space="7" w:color="auto"/>
        </w:pBdr>
        <w:rPr>
          <w:sz w:val="20"/>
          <w:szCs w:val="20"/>
        </w:rPr>
      </w:pPr>
      <w:r>
        <w:rPr>
          <w:sz w:val="20"/>
          <w:szCs w:val="20"/>
        </w:rPr>
        <w:t>Indicate by check mark whether the Registrant is an emerging growth company as defined in Rule 405 of the Securities Act of 1933 (Section 230.405 of this chapter) or Rule 12b-2 of the Securities Exchange Act of 1934 (Section 240.12b-2 of this chapter).</w:t>
      </w:r>
    </w:p>
    <w:p w14:paraId="51EBD75F" w14:textId="77777777" w:rsidR="00D06D5F" w:rsidRDefault="00A37743">
      <w:pPr>
        <w:pBdr>
          <w:left w:val="none" w:sz="0" w:space="7" w:color="auto"/>
          <w:right w:val="none" w:sz="0" w:space="7" w:color="auto"/>
        </w:pBdr>
        <w:rPr>
          <w:sz w:val="20"/>
          <w:szCs w:val="20"/>
        </w:rPr>
      </w:pPr>
      <w:r>
        <w:rPr>
          <w:sz w:val="20"/>
          <w:szCs w:val="20"/>
        </w:rPr>
        <w:t xml:space="preserve">Emerging growth company </w:t>
      </w:r>
      <w:r>
        <w:rPr>
          <w:rFonts w:ascii="Segoe UI Emoji" w:eastAsia="Segoe UI Emoji" w:hAnsi="Segoe UI Emoji" w:cs="Segoe UI Emoji"/>
          <w:sz w:val="20"/>
          <w:szCs w:val="20"/>
        </w:rPr>
        <w:t>☐</w:t>
      </w:r>
    </w:p>
    <w:p w14:paraId="5FB23F83" w14:textId="77777777" w:rsidR="00D06D5F" w:rsidRDefault="00A37743">
      <w:pPr>
        <w:pBdr>
          <w:left w:val="none" w:sz="0" w:space="7" w:color="auto"/>
          <w:right w:val="none" w:sz="0" w:space="7" w:color="auto"/>
        </w:pBdr>
        <w:rPr>
          <w:sz w:val="20"/>
          <w:szCs w:val="20"/>
        </w:rPr>
      </w:pPr>
      <w:r>
        <w:rPr>
          <w:sz w:val="20"/>
          <w:szCs w:val="20"/>
        </w:rPr>
        <w:t> </w:t>
      </w:r>
    </w:p>
    <w:p w14:paraId="543B62EC" w14:textId="5539B0B2" w:rsidR="00DA35DC" w:rsidRDefault="00A37743">
      <w:pPr>
        <w:pBdr>
          <w:left w:val="none" w:sz="0" w:space="7" w:color="auto"/>
          <w:right w:val="none" w:sz="0" w:space="7" w:color="auto"/>
        </w:pBdr>
        <w:rPr>
          <w:rFonts w:ascii="Segoe UI Emoji" w:eastAsia="Segoe UI Emoji" w:hAnsi="Segoe UI Emoji" w:cs="Segoe UI Emoji"/>
          <w:sz w:val="20"/>
          <w:szCs w:val="20"/>
        </w:rPr>
      </w:pPr>
      <w:r>
        <w:rPr>
          <w:sz w:val="20"/>
          <w:szCs w:val="20"/>
        </w:rPr>
        <w:t xml:space="preserve">If an emerging growth company, indicate by check mark if the Registrant has elected not to use the extended transition period for complying with any new or revised financial reporting standards provided pursuant to Section 13(a) of the Exchange Act. </w:t>
      </w:r>
      <w:r>
        <w:rPr>
          <w:rFonts w:ascii="Segoe UI Emoji" w:eastAsia="Segoe UI Emoji" w:hAnsi="Segoe UI Emoji" w:cs="Segoe UI Emoji"/>
          <w:sz w:val="20"/>
          <w:szCs w:val="20"/>
        </w:rPr>
        <w:t>☐</w:t>
      </w:r>
      <w:r w:rsidR="00DA35DC">
        <w:rPr>
          <w:rFonts w:ascii="Segoe UI Emoji" w:eastAsia="Segoe UI Emoji" w:hAnsi="Segoe UI Emoji" w:cs="Segoe UI Emoji"/>
          <w:sz w:val="20"/>
          <w:szCs w:val="20"/>
        </w:rPr>
        <w:br w:type="page"/>
      </w:r>
    </w:p>
    <w:tbl>
      <w:tblPr>
        <w:tblW w:w="5000" w:type="pct"/>
        <w:tblCellSpacing w:w="0" w:type="dxa"/>
        <w:tblCellMar>
          <w:left w:w="0" w:type="dxa"/>
          <w:right w:w="0" w:type="dxa"/>
        </w:tblCellMar>
        <w:tblLook w:val="04A0" w:firstRow="1" w:lastRow="0" w:firstColumn="1" w:lastColumn="0" w:noHBand="0" w:noVBand="1"/>
      </w:tblPr>
      <w:tblGrid>
        <w:gridCol w:w="2102"/>
        <w:gridCol w:w="7834"/>
      </w:tblGrid>
      <w:tr w:rsidR="00D06D5F" w14:paraId="5B11D379" w14:textId="77777777" w:rsidTr="0016113D">
        <w:trPr>
          <w:cantSplit/>
          <w:tblCellSpacing w:w="0" w:type="dxa"/>
        </w:trPr>
        <w:tc>
          <w:tcPr>
            <w:tcW w:w="1058" w:type="pct"/>
            <w:tcMar>
              <w:top w:w="0" w:type="dxa"/>
              <w:left w:w="0" w:type="dxa"/>
              <w:bottom w:w="0" w:type="dxa"/>
              <w:right w:w="0" w:type="dxa"/>
            </w:tcMar>
            <w:hideMark/>
          </w:tcPr>
          <w:p w14:paraId="325BAA42" w14:textId="77777777" w:rsidR="00D06D5F" w:rsidRDefault="00A37743">
            <w:pPr>
              <w:rPr>
                <w:color w:val="000000"/>
                <w:sz w:val="20"/>
                <w:szCs w:val="20"/>
              </w:rPr>
            </w:pPr>
            <w:r>
              <w:rPr>
                <w:b/>
                <w:bCs/>
                <w:color w:val="000000"/>
                <w:sz w:val="20"/>
                <w:szCs w:val="20"/>
              </w:rPr>
              <w:lastRenderedPageBreak/>
              <w:t>Item 1.01</w:t>
            </w:r>
          </w:p>
        </w:tc>
        <w:tc>
          <w:tcPr>
            <w:tcW w:w="3942" w:type="pct"/>
            <w:tcMar>
              <w:top w:w="0" w:type="dxa"/>
              <w:left w:w="0" w:type="dxa"/>
              <w:bottom w:w="0" w:type="dxa"/>
              <w:right w:w="0" w:type="dxa"/>
            </w:tcMar>
            <w:hideMark/>
          </w:tcPr>
          <w:p w14:paraId="019F65D2" w14:textId="77777777" w:rsidR="00D06D5F" w:rsidRDefault="00A37743">
            <w:pPr>
              <w:rPr>
                <w:color w:val="000000"/>
                <w:sz w:val="20"/>
                <w:szCs w:val="20"/>
              </w:rPr>
            </w:pPr>
            <w:r>
              <w:rPr>
                <w:b/>
                <w:bCs/>
                <w:color w:val="000000"/>
                <w:sz w:val="20"/>
                <w:szCs w:val="20"/>
              </w:rPr>
              <w:t>Entry into a Material Definitive Agreement.</w:t>
            </w:r>
          </w:p>
        </w:tc>
      </w:tr>
    </w:tbl>
    <w:p w14:paraId="55EAACE9" w14:textId="77777777" w:rsidR="00D06D5F" w:rsidRDefault="00A37743">
      <w:pPr>
        <w:pBdr>
          <w:left w:val="none" w:sz="0" w:space="7" w:color="auto"/>
          <w:right w:val="none" w:sz="0" w:space="7" w:color="auto"/>
        </w:pBdr>
        <w:rPr>
          <w:sz w:val="20"/>
          <w:szCs w:val="20"/>
        </w:rPr>
      </w:pPr>
      <w:r>
        <w:rPr>
          <w:sz w:val="20"/>
          <w:szCs w:val="20"/>
        </w:rPr>
        <w:t> </w:t>
      </w:r>
    </w:p>
    <w:p w14:paraId="2E1DDB21" w14:textId="153ACFFA" w:rsidR="00DE1BA0" w:rsidRDefault="008C364E" w:rsidP="00DE1BA0">
      <w:pPr>
        <w:pBdr>
          <w:left w:val="none" w:sz="0" w:space="7" w:color="auto"/>
          <w:right w:val="none" w:sz="0" w:space="7" w:color="auto"/>
        </w:pBdr>
        <w:rPr>
          <w:i/>
          <w:iCs/>
          <w:sz w:val="20"/>
          <w:szCs w:val="20"/>
        </w:rPr>
      </w:pPr>
      <w:r>
        <w:rPr>
          <w:i/>
          <w:iCs/>
          <w:sz w:val="20"/>
          <w:szCs w:val="20"/>
        </w:rPr>
        <w:t>Private Placement</w:t>
      </w:r>
    </w:p>
    <w:p w14:paraId="32A25B98" w14:textId="77777777" w:rsidR="00DE1BA0" w:rsidRPr="00DE1BA0" w:rsidRDefault="00DE1BA0" w:rsidP="00DE1BA0">
      <w:pPr>
        <w:pBdr>
          <w:left w:val="none" w:sz="0" w:space="7" w:color="auto"/>
          <w:right w:val="none" w:sz="0" w:space="7" w:color="auto"/>
        </w:pBdr>
        <w:ind w:firstLine="720"/>
        <w:rPr>
          <w:sz w:val="20"/>
          <w:szCs w:val="20"/>
        </w:rPr>
      </w:pPr>
    </w:p>
    <w:p w14:paraId="26F857CA" w14:textId="1AED76BA" w:rsidR="00D06D5F" w:rsidRDefault="00A37743" w:rsidP="00877E72">
      <w:pPr>
        <w:pBdr>
          <w:left w:val="none" w:sz="0" w:space="7" w:color="auto"/>
          <w:right w:val="none" w:sz="0" w:space="7" w:color="auto"/>
        </w:pBdr>
        <w:ind w:firstLine="720"/>
        <w:jc w:val="both"/>
        <w:rPr>
          <w:sz w:val="20"/>
          <w:szCs w:val="20"/>
        </w:rPr>
      </w:pPr>
      <w:r>
        <w:rPr>
          <w:sz w:val="20"/>
          <w:szCs w:val="20"/>
        </w:rPr>
        <w:t xml:space="preserve">On </w:t>
      </w:r>
      <w:r w:rsidR="008C364E">
        <w:rPr>
          <w:sz w:val="20"/>
          <w:szCs w:val="20"/>
        </w:rPr>
        <w:t>May 18</w:t>
      </w:r>
      <w:r w:rsidR="009E5323">
        <w:rPr>
          <w:sz w:val="20"/>
          <w:szCs w:val="20"/>
        </w:rPr>
        <w:t>, 2026</w:t>
      </w:r>
      <w:r>
        <w:rPr>
          <w:sz w:val="20"/>
          <w:szCs w:val="20"/>
        </w:rPr>
        <w:t xml:space="preserve">, GeoVax Labs, Inc. (the “Company”) entered into a securities purchase agreement (the “Purchase Agreement”) with </w:t>
      </w:r>
      <w:r w:rsidR="00DA35DC">
        <w:rPr>
          <w:sz w:val="20"/>
          <w:szCs w:val="20"/>
        </w:rPr>
        <w:t>the purchasers party thereto,</w:t>
      </w:r>
      <w:r>
        <w:rPr>
          <w:sz w:val="20"/>
          <w:szCs w:val="20"/>
        </w:rPr>
        <w:t xml:space="preserve"> pursuant to which the Company agreed to </w:t>
      </w:r>
      <w:r w:rsidR="00DA35DC">
        <w:rPr>
          <w:sz w:val="20"/>
          <w:szCs w:val="20"/>
        </w:rPr>
        <w:t xml:space="preserve">issue and </w:t>
      </w:r>
      <w:r>
        <w:rPr>
          <w:sz w:val="20"/>
          <w:szCs w:val="20"/>
        </w:rPr>
        <w:t>sell, in a</w:t>
      </w:r>
      <w:r w:rsidR="008C364E">
        <w:rPr>
          <w:sz w:val="20"/>
          <w:szCs w:val="20"/>
        </w:rPr>
        <w:t>n</w:t>
      </w:r>
      <w:r>
        <w:rPr>
          <w:sz w:val="20"/>
          <w:szCs w:val="20"/>
        </w:rPr>
        <w:t xml:space="preserve"> </w:t>
      </w:r>
      <w:r w:rsidR="008C364E">
        <w:rPr>
          <w:sz w:val="20"/>
          <w:szCs w:val="20"/>
        </w:rPr>
        <w:t>un</w:t>
      </w:r>
      <w:r w:rsidR="009E5323" w:rsidRPr="00D46911">
        <w:rPr>
          <w:color w:val="212529"/>
          <w:sz w:val="20"/>
          <w:szCs w:val="20"/>
        </w:rPr>
        <w:t xml:space="preserve">registered </w:t>
      </w:r>
      <w:r w:rsidR="008C364E">
        <w:rPr>
          <w:color w:val="212529"/>
          <w:sz w:val="20"/>
          <w:szCs w:val="20"/>
        </w:rPr>
        <w:t>private placement</w:t>
      </w:r>
      <w:r w:rsidR="009E5323" w:rsidRPr="00D46911">
        <w:rPr>
          <w:color w:val="212529"/>
          <w:sz w:val="20"/>
          <w:szCs w:val="20"/>
        </w:rPr>
        <w:t xml:space="preserve"> </w:t>
      </w:r>
      <w:r>
        <w:rPr>
          <w:sz w:val="20"/>
          <w:szCs w:val="20"/>
        </w:rPr>
        <w:t>(the “</w:t>
      </w:r>
      <w:r w:rsidR="00476863">
        <w:rPr>
          <w:sz w:val="20"/>
          <w:szCs w:val="20"/>
        </w:rPr>
        <w:t>Offering</w:t>
      </w:r>
      <w:r>
        <w:rPr>
          <w:sz w:val="20"/>
          <w:szCs w:val="20"/>
        </w:rPr>
        <w:t xml:space="preserve">”), </w:t>
      </w:r>
      <w:r w:rsidR="009E5323">
        <w:rPr>
          <w:color w:val="212529"/>
          <w:sz w:val="20"/>
          <w:szCs w:val="20"/>
        </w:rPr>
        <w:t xml:space="preserve">(i) pre-funded warrants (the “Pre-Funded Warrants”) to purchase up to an aggregate </w:t>
      </w:r>
      <w:r w:rsidR="008C364E">
        <w:rPr>
          <w:color w:val="212529"/>
          <w:sz w:val="20"/>
          <w:szCs w:val="20"/>
        </w:rPr>
        <w:t>of 2,027,027</w:t>
      </w:r>
      <w:r w:rsidR="009E5323">
        <w:rPr>
          <w:color w:val="212529"/>
          <w:sz w:val="20"/>
          <w:szCs w:val="20"/>
        </w:rPr>
        <w:t xml:space="preserve"> shares of </w:t>
      </w:r>
      <w:r w:rsidR="008C364E" w:rsidRPr="00D46911">
        <w:rPr>
          <w:color w:val="212529"/>
          <w:sz w:val="20"/>
          <w:szCs w:val="20"/>
        </w:rPr>
        <w:t>the Company’s common stock, $0.001 par value per share (the “Common Stock”</w:t>
      </w:r>
      <w:r w:rsidR="008C364E">
        <w:rPr>
          <w:color w:val="212529"/>
          <w:sz w:val="20"/>
          <w:szCs w:val="20"/>
        </w:rPr>
        <w:t xml:space="preserve"> and, such shares, </w:t>
      </w:r>
      <w:r w:rsidR="009E5323">
        <w:rPr>
          <w:color w:val="212529"/>
          <w:sz w:val="20"/>
          <w:szCs w:val="20"/>
        </w:rPr>
        <w:t>the “Pre-Funded Warrant Shares</w:t>
      </w:r>
      <w:r w:rsidR="008C364E">
        <w:rPr>
          <w:color w:val="212529"/>
          <w:sz w:val="20"/>
          <w:szCs w:val="20"/>
        </w:rPr>
        <w:t>”) and (ii) common warrants to purchase up to an aggregate of 4,054,054 shares of Common Stock, comprised of (A)</w:t>
      </w:r>
      <w:r w:rsidR="00877E72">
        <w:rPr>
          <w:color w:val="212529"/>
          <w:sz w:val="20"/>
          <w:szCs w:val="20"/>
        </w:rPr>
        <w:t xml:space="preserve"> Series A common warrants (the “Series A Common Warrants”)</w:t>
      </w:r>
      <w:r w:rsidR="009E5323" w:rsidRPr="00D46911">
        <w:rPr>
          <w:color w:val="212529"/>
          <w:sz w:val="20"/>
          <w:szCs w:val="20"/>
        </w:rPr>
        <w:t xml:space="preserve"> </w:t>
      </w:r>
      <w:r w:rsidR="00877E72">
        <w:rPr>
          <w:color w:val="212529"/>
          <w:sz w:val="20"/>
          <w:szCs w:val="20"/>
        </w:rPr>
        <w:t xml:space="preserve">to purchase </w:t>
      </w:r>
      <w:r w:rsidR="000215B9">
        <w:rPr>
          <w:color w:val="212529"/>
          <w:sz w:val="20"/>
          <w:szCs w:val="20"/>
        </w:rPr>
        <w:t xml:space="preserve">up to </w:t>
      </w:r>
      <w:r w:rsidR="00877E72">
        <w:rPr>
          <w:color w:val="212529"/>
          <w:sz w:val="20"/>
          <w:szCs w:val="20"/>
        </w:rPr>
        <w:t xml:space="preserve">an aggregate of </w:t>
      </w:r>
      <w:r w:rsidR="008C364E">
        <w:rPr>
          <w:color w:val="212529"/>
          <w:sz w:val="20"/>
          <w:szCs w:val="20"/>
        </w:rPr>
        <w:t>2,027,027</w:t>
      </w:r>
      <w:r w:rsidR="00877E72">
        <w:rPr>
          <w:color w:val="212529"/>
          <w:sz w:val="20"/>
          <w:szCs w:val="20"/>
        </w:rPr>
        <w:t xml:space="preserve"> shares of Common Stock and </w:t>
      </w:r>
      <w:r w:rsidR="008C364E">
        <w:rPr>
          <w:color w:val="212529"/>
          <w:sz w:val="20"/>
          <w:szCs w:val="20"/>
        </w:rPr>
        <w:t xml:space="preserve">(B) </w:t>
      </w:r>
      <w:r w:rsidR="00877E72">
        <w:rPr>
          <w:color w:val="212529"/>
          <w:sz w:val="20"/>
          <w:szCs w:val="20"/>
        </w:rPr>
        <w:t xml:space="preserve">Series </w:t>
      </w:r>
      <w:r w:rsidR="008C364E">
        <w:rPr>
          <w:color w:val="212529"/>
          <w:sz w:val="20"/>
          <w:szCs w:val="20"/>
        </w:rPr>
        <w:t>B</w:t>
      </w:r>
      <w:r w:rsidR="00877E72">
        <w:rPr>
          <w:color w:val="212529"/>
          <w:sz w:val="20"/>
          <w:szCs w:val="20"/>
        </w:rPr>
        <w:t xml:space="preserve"> common warrants (the “Series </w:t>
      </w:r>
      <w:r w:rsidR="008C364E">
        <w:rPr>
          <w:color w:val="212529"/>
          <w:sz w:val="20"/>
          <w:szCs w:val="20"/>
        </w:rPr>
        <w:t xml:space="preserve">B </w:t>
      </w:r>
      <w:r w:rsidR="00877E72">
        <w:rPr>
          <w:color w:val="212529"/>
          <w:sz w:val="20"/>
          <w:szCs w:val="20"/>
        </w:rPr>
        <w:t>Common Warrants” and, together with the Series A</w:t>
      </w:r>
      <w:r w:rsidR="008C364E">
        <w:rPr>
          <w:color w:val="212529"/>
          <w:sz w:val="20"/>
          <w:szCs w:val="20"/>
        </w:rPr>
        <w:t xml:space="preserve"> </w:t>
      </w:r>
      <w:r w:rsidR="00877E72">
        <w:rPr>
          <w:color w:val="212529"/>
          <w:sz w:val="20"/>
          <w:szCs w:val="20"/>
        </w:rPr>
        <w:t>Common Warrants, the “Common Warrants”) to purchase an aggregate of</w:t>
      </w:r>
      <w:r w:rsidR="000215B9">
        <w:rPr>
          <w:color w:val="212529"/>
          <w:sz w:val="20"/>
          <w:szCs w:val="20"/>
        </w:rPr>
        <w:t xml:space="preserve"> up to</w:t>
      </w:r>
      <w:r w:rsidR="00877E72">
        <w:rPr>
          <w:color w:val="212529"/>
          <w:sz w:val="20"/>
          <w:szCs w:val="20"/>
        </w:rPr>
        <w:t xml:space="preserve"> </w:t>
      </w:r>
      <w:r w:rsidR="008C364E">
        <w:rPr>
          <w:color w:val="212529"/>
          <w:sz w:val="20"/>
          <w:szCs w:val="20"/>
        </w:rPr>
        <w:t>2,027,027</w:t>
      </w:r>
      <w:r w:rsidR="00877E72">
        <w:rPr>
          <w:color w:val="212529"/>
          <w:sz w:val="20"/>
          <w:szCs w:val="20"/>
        </w:rPr>
        <w:t xml:space="preserve"> shares of Common Stock (such shares issuable upon exercise of the Common Warrants, the “Common Warrant Shares”). </w:t>
      </w:r>
      <w:r w:rsidR="009E5323" w:rsidRPr="00D46911">
        <w:rPr>
          <w:color w:val="212529"/>
          <w:sz w:val="20"/>
          <w:szCs w:val="20"/>
        </w:rPr>
        <w:t xml:space="preserve">The offering price was </w:t>
      </w:r>
      <w:r w:rsidR="00877E72">
        <w:rPr>
          <w:color w:val="212529"/>
          <w:sz w:val="20"/>
          <w:szCs w:val="20"/>
        </w:rPr>
        <w:t>$</w:t>
      </w:r>
      <w:r w:rsidR="00476863">
        <w:rPr>
          <w:color w:val="212529"/>
          <w:sz w:val="20"/>
          <w:szCs w:val="20"/>
        </w:rPr>
        <w:t>1.47</w:t>
      </w:r>
      <w:r w:rsidR="00877E72">
        <w:rPr>
          <w:color w:val="212529"/>
          <w:sz w:val="20"/>
          <w:szCs w:val="20"/>
        </w:rPr>
        <w:t>99 per Pre-Funded Warrant</w:t>
      </w:r>
      <w:r w:rsidR="00E2691A">
        <w:rPr>
          <w:color w:val="212529"/>
          <w:sz w:val="20"/>
          <w:szCs w:val="20"/>
        </w:rPr>
        <w:t xml:space="preserve"> and </w:t>
      </w:r>
      <w:r w:rsidR="000215B9">
        <w:rPr>
          <w:color w:val="212529"/>
          <w:sz w:val="20"/>
          <w:szCs w:val="20"/>
        </w:rPr>
        <w:t>accompanying</w:t>
      </w:r>
      <w:r w:rsidR="00E2691A">
        <w:rPr>
          <w:color w:val="212529"/>
          <w:sz w:val="20"/>
          <w:szCs w:val="20"/>
        </w:rPr>
        <w:t xml:space="preserve"> Common Warrant</w:t>
      </w:r>
      <w:r w:rsidR="000215B9">
        <w:rPr>
          <w:color w:val="212529"/>
          <w:sz w:val="20"/>
          <w:szCs w:val="20"/>
        </w:rPr>
        <w:t>s</w:t>
      </w:r>
      <w:r w:rsidR="009E5323" w:rsidRPr="00D46911">
        <w:rPr>
          <w:color w:val="212529"/>
          <w:sz w:val="20"/>
          <w:szCs w:val="20"/>
        </w:rPr>
        <w:t xml:space="preserve">. </w:t>
      </w:r>
      <w:r w:rsidR="00877E72">
        <w:rPr>
          <w:color w:val="212529"/>
          <w:sz w:val="20"/>
          <w:szCs w:val="20"/>
        </w:rPr>
        <w:t xml:space="preserve">The Pre-Funded Warrants have an exercise price of $0.0001 per share, are exercisable immediately and may be exercised at any time until exercised in full. </w:t>
      </w:r>
      <w:r w:rsidR="00877E72" w:rsidRPr="00877E72">
        <w:rPr>
          <w:color w:val="212529"/>
          <w:sz w:val="20"/>
          <w:szCs w:val="20"/>
        </w:rPr>
        <w:t xml:space="preserve">The Common Warrants will be exercisable </w:t>
      </w:r>
      <w:r w:rsidR="00476863">
        <w:rPr>
          <w:color w:val="212529"/>
          <w:sz w:val="20"/>
          <w:szCs w:val="20"/>
        </w:rPr>
        <w:t>immediately</w:t>
      </w:r>
      <w:r w:rsidR="00877E72" w:rsidRPr="00877E72">
        <w:rPr>
          <w:color w:val="212529"/>
          <w:sz w:val="20"/>
          <w:szCs w:val="20"/>
        </w:rPr>
        <w:t xml:space="preserve"> at an exercise price of $</w:t>
      </w:r>
      <w:r w:rsidR="00476863">
        <w:rPr>
          <w:color w:val="212529"/>
          <w:sz w:val="20"/>
          <w:szCs w:val="20"/>
        </w:rPr>
        <w:t>1.48</w:t>
      </w:r>
      <w:r w:rsidR="00877E72" w:rsidRPr="00877E72">
        <w:rPr>
          <w:color w:val="212529"/>
          <w:sz w:val="20"/>
          <w:szCs w:val="20"/>
        </w:rPr>
        <w:t xml:space="preserve"> per share. The Series A Common Warrants will expire five years after </w:t>
      </w:r>
      <w:r w:rsidR="00476863">
        <w:rPr>
          <w:color w:val="212529"/>
          <w:sz w:val="20"/>
          <w:szCs w:val="20"/>
        </w:rPr>
        <w:t>issuance</w:t>
      </w:r>
      <w:r w:rsidR="00877E72" w:rsidRPr="00877E72">
        <w:rPr>
          <w:color w:val="212529"/>
          <w:sz w:val="20"/>
          <w:szCs w:val="20"/>
        </w:rPr>
        <w:t xml:space="preserve"> and the Series </w:t>
      </w:r>
      <w:r w:rsidR="00476863">
        <w:rPr>
          <w:color w:val="212529"/>
          <w:sz w:val="20"/>
          <w:szCs w:val="20"/>
        </w:rPr>
        <w:t xml:space="preserve">B </w:t>
      </w:r>
      <w:r w:rsidR="00877E72" w:rsidRPr="00877E72">
        <w:rPr>
          <w:color w:val="212529"/>
          <w:sz w:val="20"/>
          <w:szCs w:val="20"/>
        </w:rPr>
        <w:t xml:space="preserve">Common Warrants will expire </w:t>
      </w:r>
      <w:r w:rsidR="00476863">
        <w:rPr>
          <w:color w:val="212529"/>
          <w:sz w:val="20"/>
          <w:szCs w:val="20"/>
        </w:rPr>
        <w:t>eighteen months</w:t>
      </w:r>
      <w:r w:rsidR="00877E72" w:rsidRPr="00877E72">
        <w:rPr>
          <w:color w:val="212529"/>
          <w:sz w:val="20"/>
          <w:szCs w:val="20"/>
        </w:rPr>
        <w:t xml:space="preserve"> after </w:t>
      </w:r>
      <w:r w:rsidR="00476863">
        <w:rPr>
          <w:color w:val="212529"/>
          <w:sz w:val="20"/>
          <w:szCs w:val="20"/>
        </w:rPr>
        <w:t>issuance</w:t>
      </w:r>
      <w:r w:rsidR="00877E72" w:rsidRPr="00877E72">
        <w:rPr>
          <w:color w:val="212529"/>
          <w:sz w:val="20"/>
          <w:szCs w:val="20"/>
        </w:rPr>
        <w:t>.</w:t>
      </w:r>
    </w:p>
    <w:p w14:paraId="204C9E80" w14:textId="77777777" w:rsidR="00D06D5F" w:rsidRDefault="00A37743">
      <w:pPr>
        <w:pBdr>
          <w:left w:val="none" w:sz="0" w:space="7" w:color="auto"/>
          <w:right w:val="none" w:sz="0" w:space="7" w:color="auto"/>
        </w:pBdr>
        <w:rPr>
          <w:sz w:val="20"/>
          <w:szCs w:val="20"/>
        </w:rPr>
      </w:pPr>
      <w:r>
        <w:rPr>
          <w:sz w:val="20"/>
          <w:szCs w:val="20"/>
        </w:rPr>
        <w:t> </w:t>
      </w:r>
    </w:p>
    <w:p w14:paraId="36695E3B" w14:textId="1E315EBF" w:rsidR="00D06D5F" w:rsidRDefault="00A37743">
      <w:pPr>
        <w:pBdr>
          <w:left w:val="none" w:sz="0" w:space="7" w:color="auto"/>
          <w:right w:val="none" w:sz="0" w:space="7" w:color="auto"/>
        </w:pBdr>
        <w:ind w:firstLine="720"/>
        <w:jc w:val="both"/>
        <w:rPr>
          <w:sz w:val="20"/>
          <w:szCs w:val="20"/>
        </w:rPr>
      </w:pPr>
      <w:r>
        <w:rPr>
          <w:sz w:val="20"/>
          <w:szCs w:val="20"/>
        </w:rPr>
        <w:t>The net proceeds of the Offering, after deducting the placement agent’s fees and expenses and other offering expenses payable by the Company and excluding the net proceeds, if any, from the exercise of the Common Warrants, is approximately $</w:t>
      </w:r>
      <w:r w:rsidR="000D3618">
        <w:rPr>
          <w:color w:val="000000"/>
          <w:sz w:val="20"/>
          <w:szCs w:val="20"/>
        </w:rPr>
        <w:t>2.7 million</w:t>
      </w:r>
      <w:r>
        <w:rPr>
          <w:sz w:val="20"/>
          <w:szCs w:val="20"/>
        </w:rPr>
        <w:t xml:space="preserve">. The Company intends to use the net proceeds from the Offering for working capital and general corporate purposes. The Offering closed on </w:t>
      </w:r>
      <w:r w:rsidR="00476863">
        <w:rPr>
          <w:sz w:val="20"/>
          <w:szCs w:val="20"/>
        </w:rPr>
        <w:t>May 19</w:t>
      </w:r>
      <w:r w:rsidR="009E5323">
        <w:rPr>
          <w:sz w:val="20"/>
          <w:szCs w:val="20"/>
        </w:rPr>
        <w:t>, 2026</w:t>
      </w:r>
      <w:r>
        <w:rPr>
          <w:sz w:val="20"/>
          <w:szCs w:val="20"/>
        </w:rPr>
        <w:t>.</w:t>
      </w:r>
    </w:p>
    <w:p w14:paraId="788E2259" w14:textId="77777777" w:rsidR="006906B8" w:rsidRDefault="006906B8">
      <w:pPr>
        <w:pBdr>
          <w:left w:val="none" w:sz="0" w:space="7" w:color="auto"/>
          <w:right w:val="none" w:sz="0" w:space="7" w:color="auto"/>
        </w:pBdr>
        <w:ind w:firstLine="720"/>
        <w:jc w:val="both"/>
        <w:rPr>
          <w:sz w:val="20"/>
          <w:szCs w:val="20"/>
        </w:rPr>
      </w:pPr>
    </w:p>
    <w:p w14:paraId="5276BA84" w14:textId="16B51CCB" w:rsidR="006906B8" w:rsidRDefault="006906B8">
      <w:pPr>
        <w:pBdr>
          <w:left w:val="none" w:sz="0" w:space="7" w:color="auto"/>
          <w:right w:val="none" w:sz="0" w:space="7" w:color="auto"/>
        </w:pBdr>
        <w:ind w:firstLine="720"/>
        <w:jc w:val="both"/>
        <w:rPr>
          <w:sz w:val="20"/>
          <w:szCs w:val="20"/>
        </w:rPr>
      </w:pPr>
      <w:r w:rsidRPr="006906B8">
        <w:rPr>
          <w:sz w:val="20"/>
          <w:szCs w:val="20"/>
        </w:rPr>
        <w:t xml:space="preserve">Each of the </w:t>
      </w:r>
      <w:r>
        <w:rPr>
          <w:sz w:val="20"/>
          <w:szCs w:val="20"/>
        </w:rPr>
        <w:t>Pre-Funded Warrants and the Common Warrants</w:t>
      </w:r>
      <w:r w:rsidRPr="006906B8">
        <w:rPr>
          <w:sz w:val="20"/>
          <w:szCs w:val="20"/>
        </w:rPr>
        <w:t xml:space="preserve"> have not been registered under the Securities Act of 1933 (the “Securities Act”) and have been issued under an exemption from the registration requirements of the Securities Act afforded by Section 4(a)(2) thereof and Rule 506 of Regulation D. The securities may not be offered or sold in the United States in the absence of an effective registration statement or exemption from applicable registration requirements.</w:t>
      </w:r>
    </w:p>
    <w:p w14:paraId="479656CB" w14:textId="77777777" w:rsidR="00886A27" w:rsidRDefault="00886A27">
      <w:pPr>
        <w:pBdr>
          <w:left w:val="none" w:sz="0" w:space="7" w:color="auto"/>
          <w:right w:val="none" w:sz="0" w:space="7" w:color="auto"/>
        </w:pBdr>
        <w:ind w:firstLine="720"/>
        <w:jc w:val="both"/>
        <w:rPr>
          <w:sz w:val="20"/>
          <w:szCs w:val="20"/>
        </w:rPr>
      </w:pPr>
    </w:p>
    <w:p w14:paraId="42C081BE" w14:textId="0188F8DB" w:rsidR="00886A27" w:rsidRDefault="00476863" w:rsidP="00886A27">
      <w:pPr>
        <w:pBdr>
          <w:left w:val="none" w:sz="0" w:space="7" w:color="auto"/>
          <w:right w:val="none" w:sz="0" w:space="7" w:color="auto"/>
        </w:pBdr>
        <w:ind w:firstLine="720"/>
        <w:jc w:val="both"/>
        <w:rPr>
          <w:sz w:val="20"/>
          <w:szCs w:val="20"/>
        </w:rPr>
      </w:pPr>
      <w:r>
        <w:rPr>
          <w:sz w:val="20"/>
          <w:szCs w:val="20"/>
        </w:rPr>
        <w:t>A.G.P./Alliance Global Partners</w:t>
      </w:r>
      <w:r w:rsidR="00886A27" w:rsidRPr="00886A27">
        <w:rPr>
          <w:sz w:val="20"/>
          <w:szCs w:val="20"/>
        </w:rPr>
        <w:t xml:space="preserve"> (</w:t>
      </w:r>
      <w:r w:rsidR="00886A27">
        <w:rPr>
          <w:sz w:val="20"/>
          <w:szCs w:val="20"/>
        </w:rPr>
        <w:t xml:space="preserve">the </w:t>
      </w:r>
      <w:r w:rsidR="00886A27" w:rsidRPr="00886A27">
        <w:rPr>
          <w:sz w:val="20"/>
          <w:szCs w:val="20"/>
        </w:rPr>
        <w:t xml:space="preserve">“Placement Agent”) acted as the exclusive placement agent in connection with the Offering under </w:t>
      </w:r>
      <w:r w:rsidR="006906B8">
        <w:rPr>
          <w:sz w:val="20"/>
          <w:szCs w:val="20"/>
        </w:rPr>
        <w:t>a Placement Agency Agreement</w:t>
      </w:r>
      <w:r w:rsidR="00886A27" w:rsidRPr="00886A27">
        <w:rPr>
          <w:sz w:val="20"/>
          <w:szCs w:val="20"/>
        </w:rPr>
        <w:t xml:space="preserve">, dated as of </w:t>
      </w:r>
      <w:r w:rsidR="006906B8">
        <w:rPr>
          <w:sz w:val="20"/>
          <w:szCs w:val="20"/>
        </w:rPr>
        <w:t>May 18</w:t>
      </w:r>
      <w:r w:rsidR="00886A27">
        <w:rPr>
          <w:sz w:val="20"/>
          <w:szCs w:val="20"/>
        </w:rPr>
        <w:t>, 2026</w:t>
      </w:r>
      <w:r w:rsidR="00886A27" w:rsidRPr="00886A27">
        <w:rPr>
          <w:sz w:val="20"/>
          <w:szCs w:val="20"/>
        </w:rPr>
        <w:t xml:space="preserve"> (the “</w:t>
      </w:r>
      <w:r w:rsidR="006906B8">
        <w:rPr>
          <w:sz w:val="20"/>
          <w:szCs w:val="20"/>
        </w:rPr>
        <w:t>Placement Agency Agreement</w:t>
      </w:r>
      <w:r w:rsidR="00886A27" w:rsidRPr="00886A27">
        <w:rPr>
          <w:sz w:val="20"/>
          <w:szCs w:val="20"/>
        </w:rPr>
        <w:t>”)</w:t>
      </w:r>
      <w:r w:rsidR="006906B8">
        <w:rPr>
          <w:sz w:val="20"/>
          <w:szCs w:val="20"/>
        </w:rPr>
        <w:t xml:space="preserve"> between the Company and the Placement Agent</w:t>
      </w:r>
      <w:r w:rsidR="00886A27" w:rsidRPr="00886A27">
        <w:rPr>
          <w:sz w:val="20"/>
          <w:szCs w:val="20"/>
        </w:rPr>
        <w:t xml:space="preserve">. Pursuant to the </w:t>
      </w:r>
      <w:r w:rsidR="006906B8">
        <w:rPr>
          <w:sz w:val="20"/>
          <w:szCs w:val="20"/>
        </w:rPr>
        <w:t>Placement Agency Agreement</w:t>
      </w:r>
      <w:r w:rsidR="00886A27" w:rsidRPr="00886A27">
        <w:rPr>
          <w:sz w:val="20"/>
          <w:szCs w:val="20"/>
        </w:rPr>
        <w:t>, the Company agreed to pay the Placement Agent a cash fee equal to 7.0% of the aggregate gross proceed</w:t>
      </w:r>
      <w:r w:rsidR="00886A27">
        <w:rPr>
          <w:sz w:val="20"/>
          <w:szCs w:val="20"/>
        </w:rPr>
        <w:t>s</w:t>
      </w:r>
      <w:r w:rsidR="00886A27" w:rsidRPr="00886A27">
        <w:rPr>
          <w:sz w:val="20"/>
          <w:szCs w:val="20"/>
        </w:rPr>
        <w:t xml:space="preserve"> of the Offering. The Company also agreed to </w:t>
      </w:r>
      <w:r w:rsidR="000215B9">
        <w:rPr>
          <w:sz w:val="20"/>
          <w:szCs w:val="20"/>
        </w:rPr>
        <w:t>reimburse</w:t>
      </w:r>
      <w:r w:rsidR="000215B9" w:rsidRPr="00886A27">
        <w:rPr>
          <w:sz w:val="20"/>
          <w:szCs w:val="20"/>
        </w:rPr>
        <w:t xml:space="preserve"> </w:t>
      </w:r>
      <w:r w:rsidR="00886A27" w:rsidRPr="00886A27">
        <w:rPr>
          <w:sz w:val="20"/>
          <w:szCs w:val="20"/>
        </w:rPr>
        <w:t>the Placement Agent up to $</w:t>
      </w:r>
      <w:r w:rsidR="00952677">
        <w:rPr>
          <w:sz w:val="20"/>
          <w:szCs w:val="20"/>
        </w:rPr>
        <w:t>70</w:t>
      </w:r>
      <w:r w:rsidR="00886A27" w:rsidRPr="00886A27">
        <w:rPr>
          <w:sz w:val="20"/>
          <w:szCs w:val="20"/>
        </w:rPr>
        <w:t xml:space="preserve">,000 for accountable expenses including the Placement Agent’s legal fees and expenses, and </w:t>
      </w:r>
      <w:r w:rsidR="000215B9">
        <w:rPr>
          <w:sz w:val="20"/>
          <w:szCs w:val="20"/>
        </w:rPr>
        <w:t>up to</w:t>
      </w:r>
      <w:r w:rsidR="00886A27">
        <w:rPr>
          <w:sz w:val="20"/>
          <w:szCs w:val="20"/>
        </w:rPr>
        <w:t xml:space="preserve"> </w:t>
      </w:r>
      <w:r w:rsidR="00886A27" w:rsidRPr="00886A27">
        <w:rPr>
          <w:sz w:val="20"/>
          <w:szCs w:val="20"/>
        </w:rPr>
        <w:t>$</w:t>
      </w:r>
      <w:r w:rsidR="00952677">
        <w:rPr>
          <w:sz w:val="20"/>
          <w:szCs w:val="20"/>
        </w:rPr>
        <w:t>2</w:t>
      </w:r>
      <w:r w:rsidR="00886A27" w:rsidRPr="00886A27">
        <w:rPr>
          <w:sz w:val="20"/>
          <w:szCs w:val="20"/>
        </w:rPr>
        <w:t>0,000</w:t>
      </w:r>
      <w:r w:rsidR="000215B9">
        <w:rPr>
          <w:sz w:val="20"/>
          <w:szCs w:val="20"/>
        </w:rPr>
        <w:t xml:space="preserve"> for non-accountable expenses</w:t>
      </w:r>
      <w:r w:rsidR="00886A27" w:rsidRPr="00886A27">
        <w:rPr>
          <w:sz w:val="20"/>
          <w:szCs w:val="20"/>
        </w:rPr>
        <w:t>.</w:t>
      </w:r>
      <w:r w:rsidR="00886A27">
        <w:rPr>
          <w:sz w:val="20"/>
          <w:szCs w:val="20"/>
        </w:rPr>
        <w:t xml:space="preserve"> Additionally, the Company has</w:t>
      </w:r>
      <w:r w:rsidR="00886A27" w:rsidRPr="00886A27">
        <w:rPr>
          <w:sz w:val="20"/>
          <w:szCs w:val="20"/>
        </w:rPr>
        <w:t xml:space="preserve"> </w:t>
      </w:r>
      <w:r w:rsidR="00886A27">
        <w:rPr>
          <w:sz w:val="20"/>
          <w:szCs w:val="20"/>
        </w:rPr>
        <w:t xml:space="preserve">also </w:t>
      </w:r>
      <w:r w:rsidR="00886A27" w:rsidRPr="00886A27">
        <w:rPr>
          <w:sz w:val="20"/>
          <w:szCs w:val="20"/>
        </w:rPr>
        <w:t xml:space="preserve">agreed to pay the </w:t>
      </w:r>
      <w:r w:rsidR="00886A27">
        <w:rPr>
          <w:sz w:val="20"/>
          <w:szCs w:val="20"/>
        </w:rPr>
        <w:t>P</w:t>
      </w:r>
      <w:r w:rsidR="00886A27" w:rsidRPr="00886A27">
        <w:rPr>
          <w:sz w:val="20"/>
          <w:szCs w:val="20"/>
        </w:rPr>
        <w:t xml:space="preserve">lacement </w:t>
      </w:r>
      <w:r w:rsidR="00886A27">
        <w:rPr>
          <w:sz w:val="20"/>
          <w:szCs w:val="20"/>
        </w:rPr>
        <w:t>A</w:t>
      </w:r>
      <w:r w:rsidR="00886A27" w:rsidRPr="00886A27">
        <w:rPr>
          <w:sz w:val="20"/>
          <w:szCs w:val="20"/>
        </w:rPr>
        <w:t>gent a tail fee equal to the cash compensation in th</w:t>
      </w:r>
      <w:r w:rsidR="00886A27">
        <w:rPr>
          <w:sz w:val="20"/>
          <w:szCs w:val="20"/>
        </w:rPr>
        <w:t>e Offering</w:t>
      </w:r>
      <w:r w:rsidR="00886A27" w:rsidRPr="00886A27">
        <w:rPr>
          <w:sz w:val="20"/>
          <w:szCs w:val="20"/>
        </w:rPr>
        <w:t xml:space="preserve">, if any investor who was contacted or introduced to </w:t>
      </w:r>
      <w:r w:rsidR="00886A27">
        <w:rPr>
          <w:sz w:val="20"/>
          <w:szCs w:val="20"/>
        </w:rPr>
        <w:t>the Company</w:t>
      </w:r>
      <w:r w:rsidR="00886A27" w:rsidRPr="00886A27">
        <w:rPr>
          <w:sz w:val="20"/>
          <w:szCs w:val="20"/>
        </w:rPr>
        <w:t xml:space="preserve"> by the </w:t>
      </w:r>
      <w:r w:rsidR="00886A27">
        <w:rPr>
          <w:sz w:val="20"/>
          <w:szCs w:val="20"/>
        </w:rPr>
        <w:t>P</w:t>
      </w:r>
      <w:r w:rsidR="00886A27" w:rsidRPr="00886A27">
        <w:rPr>
          <w:sz w:val="20"/>
          <w:szCs w:val="20"/>
        </w:rPr>
        <w:t xml:space="preserve">lacement </w:t>
      </w:r>
      <w:r w:rsidR="00886A27">
        <w:rPr>
          <w:sz w:val="20"/>
          <w:szCs w:val="20"/>
        </w:rPr>
        <w:t>A</w:t>
      </w:r>
      <w:r w:rsidR="00886A27" w:rsidRPr="00886A27">
        <w:rPr>
          <w:sz w:val="20"/>
          <w:szCs w:val="20"/>
        </w:rPr>
        <w:t xml:space="preserve">gent provides </w:t>
      </w:r>
      <w:r w:rsidR="00886A27">
        <w:rPr>
          <w:sz w:val="20"/>
          <w:szCs w:val="20"/>
        </w:rPr>
        <w:t>the Company</w:t>
      </w:r>
      <w:r w:rsidR="00886A27" w:rsidRPr="00886A27">
        <w:rPr>
          <w:sz w:val="20"/>
          <w:szCs w:val="20"/>
        </w:rPr>
        <w:t xml:space="preserve"> with capital in any public or private offering or other financing or capital raising transaction during the </w:t>
      </w:r>
      <w:r w:rsidR="00952677">
        <w:rPr>
          <w:sz w:val="20"/>
          <w:szCs w:val="20"/>
        </w:rPr>
        <w:t>6</w:t>
      </w:r>
      <w:r w:rsidR="00886A27" w:rsidRPr="00886A27">
        <w:rPr>
          <w:sz w:val="20"/>
          <w:szCs w:val="20"/>
        </w:rPr>
        <w:t xml:space="preserve">-month period following expiration or termination of </w:t>
      </w:r>
      <w:r w:rsidR="00886A27">
        <w:rPr>
          <w:sz w:val="20"/>
          <w:szCs w:val="20"/>
        </w:rPr>
        <w:t>the Company’s</w:t>
      </w:r>
      <w:r w:rsidR="00886A27" w:rsidRPr="00886A27">
        <w:rPr>
          <w:sz w:val="20"/>
          <w:szCs w:val="20"/>
        </w:rPr>
        <w:t xml:space="preserve"> engagement with the </w:t>
      </w:r>
      <w:r w:rsidR="00886A27">
        <w:rPr>
          <w:sz w:val="20"/>
          <w:szCs w:val="20"/>
        </w:rPr>
        <w:t>P</w:t>
      </w:r>
      <w:r w:rsidR="00886A27" w:rsidRPr="00886A27">
        <w:rPr>
          <w:sz w:val="20"/>
          <w:szCs w:val="20"/>
        </w:rPr>
        <w:t xml:space="preserve">lacement </w:t>
      </w:r>
      <w:r w:rsidR="00886A27">
        <w:rPr>
          <w:sz w:val="20"/>
          <w:szCs w:val="20"/>
        </w:rPr>
        <w:t>A</w:t>
      </w:r>
      <w:r w:rsidR="00886A27" w:rsidRPr="00886A27">
        <w:rPr>
          <w:sz w:val="20"/>
          <w:szCs w:val="20"/>
        </w:rPr>
        <w:t>gent.</w:t>
      </w:r>
    </w:p>
    <w:p w14:paraId="0350CD16" w14:textId="77777777" w:rsidR="00D06D5F" w:rsidRDefault="00A37743">
      <w:pPr>
        <w:pBdr>
          <w:left w:val="none" w:sz="0" w:space="7" w:color="auto"/>
          <w:right w:val="none" w:sz="0" w:space="7" w:color="auto"/>
        </w:pBdr>
        <w:rPr>
          <w:sz w:val="20"/>
          <w:szCs w:val="20"/>
        </w:rPr>
      </w:pPr>
      <w:r>
        <w:rPr>
          <w:sz w:val="20"/>
          <w:szCs w:val="20"/>
        </w:rPr>
        <w:t> </w:t>
      </w:r>
    </w:p>
    <w:p w14:paraId="4DD87BB0" w14:textId="19BE5F83" w:rsidR="00D06D5F" w:rsidRDefault="00A37743">
      <w:pPr>
        <w:pBdr>
          <w:left w:val="none" w:sz="0" w:space="7" w:color="auto"/>
          <w:right w:val="none" w:sz="0" w:space="7" w:color="auto"/>
        </w:pBdr>
        <w:ind w:firstLine="720"/>
        <w:jc w:val="both"/>
        <w:rPr>
          <w:sz w:val="20"/>
          <w:szCs w:val="20"/>
        </w:rPr>
      </w:pPr>
      <w:r>
        <w:rPr>
          <w:sz w:val="20"/>
          <w:szCs w:val="20"/>
        </w:rPr>
        <w:t xml:space="preserve">In the Purchase Agreement, the Company agreed, subject to certain exceptions, not to issue, enter into any agreement to issue or announce the issuance or proposed issuance of any shares of Common Stock or any securities convertible into or exercisable or exchangeable for shares of Common Stock or file any registration statement or prospectus, or any amendment or supplement thereto for </w:t>
      </w:r>
      <w:r w:rsidR="006906B8">
        <w:rPr>
          <w:sz w:val="20"/>
          <w:szCs w:val="20"/>
        </w:rPr>
        <w:t>60</w:t>
      </w:r>
      <w:r w:rsidR="001A19E4">
        <w:rPr>
          <w:sz w:val="20"/>
          <w:szCs w:val="20"/>
        </w:rPr>
        <w:t xml:space="preserve"> </w:t>
      </w:r>
      <w:r>
        <w:rPr>
          <w:sz w:val="20"/>
          <w:szCs w:val="20"/>
        </w:rPr>
        <w:t xml:space="preserve">days after </w:t>
      </w:r>
      <w:r w:rsidR="000215B9">
        <w:rPr>
          <w:sz w:val="20"/>
          <w:szCs w:val="20"/>
        </w:rPr>
        <w:t>Effective Date (as defined in the Purchase Agreement)</w:t>
      </w:r>
      <w:r>
        <w:rPr>
          <w:sz w:val="20"/>
          <w:szCs w:val="20"/>
        </w:rPr>
        <w:t xml:space="preserve">. In addition, the Company has agreed not to effect or enter into an agreement to effect any issuance of Common Stock or any securities convertible into or exercisable or exchangeable for shares of Common Stock involving a </w:t>
      </w:r>
      <w:r w:rsidR="00952677">
        <w:rPr>
          <w:sz w:val="20"/>
          <w:szCs w:val="20"/>
        </w:rPr>
        <w:t>V</w:t>
      </w:r>
      <w:r>
        <w:rPr>
          <w:sz w:val="20"/>
          <w:szCs w:val="20"/>
        </w:rPr>
        <w:t xml:space="preserve">ariable </w:t>
      </w:r>
      <w:r w:rsidR="00952677">
        <w:rPr>
          <w:sz w:val="20"/>
          <w:szCs w:val="20"/>
        </w:rPr>
        <w:t>R</w:t>
      </w:r>
      <w:r>
        <w:rPr>
          <w:sz w:val="20"/>
          <w:szCs w:val="20"/>
        </w:rPr>
        <w:t xml:space="preserve">ate </w:t>
      </w:r>
      <w:r w:rsidR="00952677">
        <w:rPr>
          <w:sz w:val="20"/>
          <w:szCs w:val="20"/>
        </w:rPr>
        <w:t>T</w:t>
      </w:r>
      <w:r>
        <w:rPr>
          <w:sz w:val="20"/>
          <w:szCs w:val="20"/>
        </w:rPr>
        <w:t xml:space="preserve">ransaction (as defined in the Purchase Agreement) for </w:t>
      </w:r>
      <w:r w:rsidR="00877E72">
        <w:rPr>
          <w:sz w:val="20"/>
          <w:szCs w:val="20"/>
        </w:rPr>
        <w:t>1</w:t>
      </w:r>
      <w:r w:rsidR="006906B8">
        <w:rPr>
          <w:sz w:val="20"/>
          <w:szCs w:val="20"/>
        </w:rPr>
        <w:t>80 days</w:t>
      </w:r>
      <w:r>
        <w:rPr>
          <w:sz w:val="20"/>
          <w:szCs w:val="20"/>
        </w:rPr>
        <w:t xml:space="preserve"> after the </w:t>
      </w:r>
      <w:r w:rsidR="00952677">
        <w:rPr>
          <w:sz w:val="20"/>
          <w:szCs w:val="20"/>
        </w:rPr>
        <w:t>Effective Date</w:t>
      </w:r>
      <w:r>
        <w:rPr>
          <w:sz w:val="20"/>
          <w:szCs w:val="20"/>
        </w:rPr>
        <w:t>, subject to certain exceptions.</w:t>
      </w:r>
    </w:p>
    <w:p w14:paraId="050DFFB6" w14:textId="77777777" w:rsidR="00D06D5F" w:rsidRDefault="00A37743">
      <w:pPr>
        <w:pBdr>
          <w:left w:val="none" w:sz="0" w:space="7" w:color="auto"/>
          <w:right w:val="none" w:sz="0" w:space="7" w:color="auto"/>
        </w:pBdr>
        <w:rPr>
          <w:sz w:val="20"/>
          <w:szCs w:val="20"/>
        </w:rPr>
      </w:pPr>
      <w:r>
        <w:rPr>
          <w:sz w:val="20"/>
          <w:szCs w:val="20"/>
        </w:rPr>
        <w:t> </w:t>
      </w:r>
    </w:p>
    <w:p w14:paraId="05179B66" w14:textId="5CFA1CB0" w:rsidR="00D06D5F" w:rsidRDefault="00886A27">
      <w:pPr>
        <w:pBdr>
          <w:left w:val="none" w:sz="0" w:space="7" w:color="auto"/>
          <w:right w:val="none" w:sz="0" w:space="7" w:color="auto"/>
        </w:pBdr>
        <w:ind w:firstLine="720"/>
        <w:jc w:val="both"/>
        <w:rPr>
          <w:sz w:val="20"/>
          <w:szCs w:val="20"/>
        </w:rPr>
      </w:pPr>
      <w:r>
        <w:rPr>
          <w:sz w:val="20"/>
          <w:szCs w:val="20"/>
        </w:rPr>
        <w:t>T</w:t>
      </w:r>
      <w:r w:rsidR="00A37743">
        <w:rPr>
          <w:sz w:val="20"/>
          <w:szCs w:val="20"/>
        </w:rPr>
        <w:t>he Purchase Agreement contains customary representations, warranties and agreements by the Company, customary conditions to closing, indemnification obligations of the Company and the purchasers, including for liabilities arising under the Securities Act, other obligations of the parties and termination provisions. The representations, warranties and covenants contained in the Purchase Agreement were made only for the purposes of such agreements and as of specific dates, were solely for the benefit of the parties to such agreements, and may be subject to limitations agreed upon by the contracting parties.</w:t>
      </w:r>
    </w:p>
    <w:p w14:paraId="75B146F5" w14:textId="77777777" w:rsidR="00D06D5F" w:rsidRDefault="00A37743">
      <w:pPr>
        <w:pBdr>
          <w:left w:val="none" w:sz="0" w:space="7" w:color="auto"/>
          <w:right w:val="none" w:sz="0" w:space="7" w:color="auto"/>
        </w:pBdr>
        <w:rPr>
          <w:sz w:val="20"/>
          <w:szCs w:val="20"/>
        </w:rPr>
      </w:pPr>
      <w:r>
        <w:rPr>
          <w:sz w:val="20"/>
          <w:szCs w:val="20"/>
        </w:rPr>
        <w:t> </w:t>
      </w:r>
    </w:p>
    <w:p w14:paraId="6428368E" w14:textId="022B760A" w:rsidR="009E5323" w:rsidRDefault="009E5323" w:rsidP="000D3618">
      <w:pPr>
        <w:pBdr>
          <w:left w:val="none" w:sz="0" w:space="7" w:color="auto"/>
          <w:right w:val="none" w:sz="0" w:space="7" w:color="auto"/>
        </w:pBdr>
        <w:ind w:firstLine="720"/>
        <w:jc w:val="both"/>
        <w:rPr>
          <w:sz w:val="20"/>
          <w:szCs w:val="20"/>
        </w:rPr>
      </w:pPr>
      <w:r w:rsidRPr="009E5323">
        <w:rPr>
          <w:sz w:val="20"/>
          <w:szCs w:val="20"/>
        </w:rPr>
        <w:t>Subject to certain ownership limitations described in the Pre-Funded Warrants, the Pre-Funded Warrants are immediately exercisable and may be exercised at a nominal consideration of $0.00</w:t>
      </w:r>
      <w:r w:rsidR="00877E72">
        <w:rPr>
          <w:sz w:val="20"/>
          <w:szCs w:val="20"/>
        </w:rPr>
        <w:t>0</w:t>
      </w:r>
      <w:r w:rsidRPr="009E5323">
        <w:rPr>
          <w:sz w:val="20"/>
          <w:szCs w:val="20"/>
        </w:rPr>
        <w:t xml:space="preserve">1 per share of Common Stock any time until all of the Pre-Funded Warrants are exercised in full. A holder will not have the right to exercise any portion of the Common Warrants or the Pre-Funded Warrants if the holder (together with its affiliates) would beneficially own in excess of </w:t>
      </w:r>
      <w:r w:rsidRPr="009E5323">
        <w:rPr>
          <w:sz w:val="20"/>
          <w:szCs w:val="20"/>
        </w:rPr>
        <w:lastRenderedPageBreak/>
        <w:t>4.99% (or, at the option of the purchase, 9.99%) of the number of shares of Common Stock outstanding immediately after giving effect to the exercise, as such percentage ownership is determined in accordance with the terms of the Common Warrants or the Pre-Funded Warrants, respectively.</w:t>
      </w:r>
    </w:p>
    <w:p w14:paraId="5E7D0766" w14:textId="0EEE39B3" w:rsidR="00D06D5F" w:rsidRDefault="00A37743" w:rsidP="000D3618">
      <w:pPr>
        <w:pBdr>
          <w:left w:val="none" w:sz="0" w:space="7" w:color="auto"/>
          <w:right w:val="none" w:sz="0" w:space="7" w:color="auto"/>
        </w:pBdr>
        <w:jc w:val="both"/>
        <w:rPr>
          <w:sz w:val="20"/>
          <w:szCs w:val="20"/>
        </w:rPr>
      </w:pPr>
      <w:r>
        <w:rPr>
          <w:sz w:val="20"/>
          <w:szCs w:val="20"/>
        </w:rPr>
        <w:t> </w:t>
      </w:r>
    </w:p>
    <w:p w14:paraId="5DB1C15F" w14:textId="49081D1A" w:rsidR="00D06D5F" w:rsidRDefault="00A37743" w:rsidP="000D3618">
      <w:pPr>
        <w:pBdr>
          <w:left w:val="none" w:sz="0" w:space="7" w:color="auto"/>
          <w:right w:val="none" w:sz="0" w:space="7" w:color="auto"/>
        </w:pBdr>
        <w:ind w:firstLine="720"/>
        <w:jc w:val="both"/>
        <w:rPr>
          <w:sz w:val="20"/>
          <w:szCs w:val="20"/>
        </w:rPr>
      </w:pPr>
      <w:r>
        <w:rPr>
          <w:sz w:val="20"/>
          <w:szCs w:val="20"/>
        </w:rPr>
        <w:t>The foregoing description of the material terms of the Purchase Agreement</w:t>
      </w:r>
      <w:r w:rsidR="006906B8">
        <w:rPr>
          <w:sz w:val="20"/>
          <w:szCs w:val="20"/>
        </w:rPr>
        <w:t>, the Placement Agency Agreement, the Pre-Funded Warrants</w:t>
      </w:r>
      <w:r>
        <w:rPr>
          <w:sz w:val="20"/>
          <w:szCs w:val="20"/>
        </w:rPr>
        <w:t xml:space="preserve"> and the Common Warrants is not complete and is qualified in its entirety by reference to the full text of the form of Purchase Agreement</w:t>
      </w:r>
      <w:r w:rsidR="00DE1BA0">
        <w:rPr>
          <w:sz w:val="20"/>
          <w:szCs w:val="20"/>
        </w:rPr>
        <w:t xml:space="preserve">, </w:t>
      </w:r>
      <w:r w:rsidR="006906B8">
        <w:rPr>
          <w:sz w:val="20"/>
          <w:szCs w:val="20"/>
        </w:rPr>
        <w:t xml:space="preserve">the form of Placement Agency Agreement, </w:t>
      </w:r>
      <w:r w:rsidR="00DE1BA0">
        <w:rPr>
          <w:sz w:val="20"/>
          <w:szCs w:val="20"/>
        </w:rPr>
        <w:t>the form of Pre-Funded Warrant, the form of Series A Common Warrant</w:t>
      </w:r>
      <w:r>
        <w:rPr>
          <w:sz w:val="20"/>
          <w:szCs w:val="20"/>
        </w:rPr>
        <w:t xml:space="preserve"> and the form of </w:t>
      </w:r>
      <w:r w:rsidR="00DE1BA0">
        <w:rPr>
          <w:sz w:val="20"/>
          <w:szCs w:val="20"/>
        </w:rPr>
        <w:t xml:space="preserve">Series </w:t>
      </w:r>
      <w:r w:rsidR="006906B8">
        <w:rPr>
          <w:sz w:val="20"/>
          <w:szCs w:val="20"/>
        </w:rPr>
        <w:t xml:space="preserve">B </w:t>
      </w:r>
      <w:r>
        <w:rPr>
          <w:sz w:val="20"/>
          <w:szCs w:val="20"/>
        </w:rPr>
        <w:t>Common Warrant, copies of which are filed as Exhibits 10.1</w:t>
      </w:r>
      <w:r w:rsidR="00905CE9">
        <w:rPr>
          <w:sz w:val="20"/>
          <w:szCs w:val="20"/>
        </w:rPr>
        <w:t xml:space="preserve">, </w:t>
      </w:r>
      <w:r w:rsidR="006906B8">
        <w:rPr>
          <w:sz w:val="20"/>
          <w:szCs w:val="20"/>
        </w:rPr>
        <w:t xml:space="preserve">10.2, </w:t>
      </w:r>
      <w:r>
        <w:rPr>
          <w:sz w:val="20"/>
          <w:szCs w:val="20"/>
        </w:rPr>
        <w:t>4.1,</w:t>
      </w:r>
      <w:r w:rsidR="00DE1BA0">
        <w:rPr>
          <w:sz w:val="20"/>
          <w:szCs w:val="20"/>
        </w:rPr>
        <w:t xml:space="preserve"> 4.2 and 4.3</w:t>
      </w:r>
      <w:r>
        <w:rPr>
          <w:sz w:val="20"/>
          <w:szCs w:val="20"/>
        </w:rPr>
        <w:t xml:space="preserve"> respectively, to this Current Report on Form 8-K and are incorporated herein by reference.</w:t>
      </w:r>
    </w:p>
    <w:p w14:paraId="07545107" w14:textId="77777777" w:rsidR="00D06D5F" w:rsidRDefault="00A37743">
      <w:pPr>
        <w:pBdr>
          <w:left w:val="none" w:sz="0" w:space="7" w:color="auto"/>
          <w:right w:val="none" w:sz="0" w:space="7" w:color="auto"/>
        </w:pBdr>
        <w:rPr>
          <w:sz w:val="20"/>
          <w:szCs w:val="20"/>
        </w:rPr>
      </w:pPr>
      <w:r>
        <w:rPr>
          <w:sz w:val="20"/>
          <w:szCs w:val="20"/>
        </w:rPr>
        <w:t> </w:t>
      </w:r>
    </w:p>
    <w:tbl>
      <w:tblPr>
        <w:tblW w:w="5000" w:type="pct"/>
        <w:tblCellSpacing w:w="0" w:type="dxa"/>
        <w:tblCellMar>
          <w:left w:w="0" w:type="dxa"/>
          <w:right w:w="0" w:type="dxa"/>
        </w:tblCellMar>
        <w:tblLook w:val="04A0" w:firstRow="1" w:lastRow="0" w:firstColumn="1" w:lastColumn="0" w:noHBand="0" w:noVBand="1"/>
      </w:tblPr>
      <w:tblGrid>
        <w:gridCol w:w="2102"/>
        <w:gridCol w:w="7834"/>
      </w:tblGrid>
      <w:tr w:rsidR="009E5323" w14:paraId="0C7B753B" w14:textId="77777777" w:rsidTr="0091658B">
        <w:trPr>
          <w:cantSplit/>
          <w:tblCellSpacing w:w="0" w:type="dxa"/>
        </w:trPr>
        <w:tc>
          <w:tcPr>
            <w:tcW w:w="1058" w:type="pct"/>
            <w:tcMar>
              <w:top w:w="0" w:type="dxa"/>
              <w:left w:w="0" w:type="dxa"/>
              <w:bottom w:w="0" w:type="dxa"/>
              <w:right w:w="0" w:type="dxa"/>
            </w:tcMar>
            <w:hideMark/>
          </w:tcPr>
          <w:p w14:paraId="6A641CC2" w14:textId="34500382" w:rsidR="009E5323" w:rsidRDefault="009E5323" w:rsidP="0091658B">
            <w:pPr>
              <w:rPr>
                <w:color w:val="000000"/>
                <w:sz w:val="20"/>
                <w:szCs w:val="20"/>
              </w:rPr>
            </w:pPr>
            <w:r>
              <w:rPr>
                <w:sz w:val="20"/>
                <w:szCs w:val="20"/>
              </w:rPr>
              <w:t> </w:t>
            </w:r>
            <w:r>
              <w:rPr>
                <w:b/>
                <w:bCs/>
                <w:color w:val="000000"/>
                <w:sz w:val="20"/>
                <w:szCs w:val="20"/>
              </w:rPr>
              <w:t>Item 3.02</w:t>
            </w:r>
          </w:p>
        </w:tc>
        <w:tc>
          <w:tcPr>
            <w:tcW w:w="3942" w:type="pct"/>
            <w:tcMar>
              <w:top w:w="0" w:type="dxa"/>
              <w:left w:w="0" w:type="dxa"/>
              <w:bottom w:w="0" w:type="dxa"/>
              <w:right w:w="0" w:type="dxa"/>
            </w:tcMar>
            <w:hideMark/>
          </w:tcPr>
          <w:p w14:paraId="1DB038B0" w14:textId="78B3CDF8" w:rsidR="009E5323" w:rsidRDefault="009E5323" w:rsidP="0091658B">
            <w:pPr>
              <w:jc w:val="both"/>
              <w:rPr>
                <w:color w:val="000000"/>
                <w:sz w:val="20"/>
                <w:szCs w:val="20"/>
              </w:rPr>
            </w:pPr>
            <w:r>
              <w:rPr>
                <w:b/>
                <w:bCs/>
                <w:color w:val="000000"/>
                <w:sz w:val="20"/>
                <w:szCs w:val="20"/>
              </w:rPr>
              <w:t>U</w:t>
            </w:r>
            <w:r w:rsidRPr="009E5323">
              <w:rPr>
                <w:b/>
                <w:bCs/>
                <w:color w:val="000000"/>
                <w:sz w:val="20"/>
                <w:szCs w:val="20"/>
              </w:rPr>
              <w:t>nregistered Sales of Equity Securities</w:t>
            </w:r>
            <w:r>
              <w:rPr>
                <w:b/>
                <w:bCs/>
                <w:color w:val="000000"/>
                <w:sz w:val="20"/>
                <w:szCs w:val="20"/>
              </w:rPr>
              <w:t>.</w:t>
            </w:r>
          </w:p>
        </w:tc>
      </w:tr>
    </w:tbl>
    <w:p w14:paraId="774D223C" w14:textId="77777777" w:rsidR="009E5323" w:rsidRDefault="009E5323" w:rsidP="009E5323">
      <w:pPr>
        <w:pBdr>
          <w:left w:val="none" w:sz="0" w:space="7" w:color="auto"/>
          <w:right w:val="none" w:sz="0" w:space="7" w:color="auto"/>
        </w:pBdr>
        <w:rPr>
          <w:sz w:val="20"/>
          <w:szCs w:val="20"/>
        </w:rPr>
      </w:pPr>
      <w:r>
        <w:rPr>
          <w:sz w:val="20"/>
          <w:szCs w:val="20"/>
        </w:rPr>
        <w:t> </w:t>
      </w:r>
    </w:p>
    <w:p w14:paraId="5BACFE42" w14:textId="2ADC4151" w:rsidR="009E5323" w:rsidRPr="00D46911" w:rsidRDefault="009E5323" w:rsidP="009E5323">
      <w:pPr>
        <w:shd w:val="clear" w:color="auto" w:fill="FFFFFF"/>
        <w:ind w:firstLine="720"/>
        <w:jc w:val="both"/>
        <w:rPr>
          <w:color w:val="212529"/>
          <w:sz w:val="20"/>
          <w:szCs w:val="20"/>
        </w:rPr>
      </w:pPr>
      <w:r w:rsidRPr="00D46911">
        <w:rPr>
          <w:color w:val="212529"/>
          <w:sz w:val="20"/>
          <w:szCs w:val="20"/>
        </w:rPr>
        <w:t xml:space="preserve">The Company has agreed to issue the </w:t>
      </w:r>
      <w:r w:rsidR="006906B8">
        <w:rPr>
          <w:color w:val="212529"/>
          <w:sz w:val="20"/>
          <w:szCs w:val="20"/>
        </w:rPr>
        <w:t xml:space="preserve">Pre-Funded Warrants and the </w:t>
      </w:r>
      <w:r w:rsidRPr="00D46911">
        <w:rPr>
          <w:color w:val="212529"/>
          <w:sz w:val="20"/>
          <w:szCs w:val="20"/>
        </w:rPr>
        <w:t xml:space="preserve">Common Warrants pursuant to the exemption from the registration requirements of the Securities Act, available under Section 4(a)(2) and/or Rule 506(b) of Regulation D promulgated thereunder and intends to issue the Common Warrant Shares pursuant to the same exemption. The description of the </w:t>
      </w:r>
      <w:r w:rsidR="006906B8">
        <w:rPr>
          <w:color w:val="212529"/>
          <w:sz w:val="20"/>
          <w:szCs w:val="20"/>
        </w:rPr>
        <w:t xml:space="preserve">Pre-Funded Warrants and the </w:t>
      </w:r>
      <w:r w:rsidRPr="00D46911">
        <w:rPr>
          <w:color w:val="212529"/>
          <w:sz w:val="20"/>
          <w:szCs w:val="20"/>
        </w:rPr>
        <w:t xml:space="preserve">Common Warrants under Item 1.01 of this Form 8-K is incorporated by reference herein. </w:t>
      </w:r>
      <w:r>
        <w:rPr>
          <w:color w:val="212529"/>
          <w:sz w:val="20"/>
          <w:szCs w:val="20"/>
        </w:rPr>
        <w:t>Each of t</w:t>
      </w:r>
      <w:r w:rsidRPr="00D46911">
        <w:rPr>
          <w:color w:val="212529"/>
          <w:sz w:val="20"/>
          <w:szCs w:val="20"/>
        </w:rPr>
        <w:t xml:space="preserve">he </w:t>
      </w:r>
      <w:r w:rsidR="006906B8">
        <w:rPr>
          <w:color w:val="212529"/>
          <w:sz w:val="20"/>
          <w:szCs w:val="20"/>
        </w:rPr>
        <w:t>f</w:t>
      </w:r>
      <w:r w:rsidRPr="00D46911">
        <w:rPr>
          <w:color w:val="212529"/>
          <w:sz w:val="20"/>
          <w:szCs w:val="20"/>
        </w:rPr>
        <w:t>orm</w:t>
      </w:r>
      <w:r w:rsidR="006906B8">
        <w:rPr>
          <w:color w:val="212529"/>
          <w:sz w:val="20"/>
          <w:szCs w:val="20"/>
        </w:rPr>
        <w:t xml:space="preserve">s </w:t>
      </w:r>
      <w:r w:rsidRPr="00D46911">
        <w:rPr>
          <w:color w:val="212529"/>
          <w:sz w:val="20"/>
          <w:szCs w:val="20"/>
        </w:rPr>
        <w:t xml:space="preserve">of </w:t>
      </w:r>
      <w:r w:rsidR="006906B8">
        <w:rPr>
          <w:color w:val="212529"/>
          <w:sz w:val="20"/>
          <w:szCs w:val="20"/>
        </w:rPr>
        <w:t xml:space="preserve">Pre-Funded Warrant, </w:t>
      </w:r>
      <w:r>
        <w:rPr>
          <w:color w:val="212529"/>
          <w:sz w:val="20"/>
          <w:szCs w:val="20"/>
        </w:rPr>
        <w:t xml:space="preserve">Series A Common Warrant and </w:t>
      </w:r>
      <w:r w:rsidR="006906B8">
        <w:rPr>
          <w:color w:val="212529"/>
          <w:sz w:val="20"/>
          <w:szCs w:val="20"/>
        </w:rPr>
        <w:t>S</w:t>
      </w:r>
      <w:r>
        <w:rPr>
          <w:color w:val="212529"/>
          <w:sz w:val="20"/>
          <w:szCs w:val="20"/>
        </w:rPr>
        <w:t xml:space="preserve">eries </w:t>
      </w:r>
      <w:r w:rsidR="006906B8">
        <w:rPr>
          <w:color w:val="212529"/>
          <w:sz w:val="20"/>
          <w:szCs w:val="20"/>
        </w:rPr>
        <w:t>B</w:t>
      </w:r>
      <w:r>
        <w:rPr>
          <w:color w:val="212529"/>
          <w:sz w:val="20"/>
          <w:szCs w:val="20"/>
        </w:rPr>
        <w:t xml:space="preserve"> Common</w:t>
      </w:r>
      <w:r w:rsidRPr="00D46911">
        <w:rPr>
          <w:color w:val="212529"/>
          <w:sz w:val="20"/>
          <w:szCs w:val="20"/>
        </w:rPr>
        <w:t xml:space="preserve"> Warrant has been filed as an exhibit to this Form 8-K and </w:t>
      </w:r>
      <w:r>
        <w:rPr>
          <w:color w:val="212529"/>
          <w:sz w:val="20"/>
          <w:szCs w:val="20"/>
        </w:rPr>
        <w:t>is</w:t>
      </w:r>
      <w:r w:rsidRPr="00D46911">
        <w:rPr>
          <w:color w:val="212529"/>
          <w:sz w:val="20"/>
          <w:szCs w:val="20"/>
        </w:rPr>
        <w:t xml:space="preserve"> incorporated by reference herein.</w:t>
      </w:r>
    </w:p>
    <w:p w14:paraId="714B21FF" w14:textId="77777777" w:rsidR="009E5323" w:rsidRDefault="009E5323">
      <w:pPr>
        <w:pBdr>
          <w:left w:val="none" w:sz="0" w:space="7" w:color="auto"/>
          <w:right w:val="none" w:sz="0" w:space="7" w:color="auto"/>
        </w:pBdr>
        <w:ind w:firstLine="720"/>
        <w:jc w:val="both"/>
        <w:rPr>
          <w:sz w:val="20"/>
          <w:szCs w:val="20"/>
        </w:rPr>
      </w:pPr>
    </w:p>
    <w:tbl>
      <w:tblPr>
        <w:tblW w:w="5000" w:type="pct"/>
        <w:tblCellSpacing w:w="0" w:type="dxa"/>
        <w:tblCellMar>
          <w:left w:w="0" w:type="dxa"/>
          <w:right w:w="0" w:type="dxa"/>
        </w:tblCellMar>
        <w:tblLook w:val="04A0" w:firstRow="1" w:lastRow="0" w:firstColumn="1" w:lastColumn="0" w:noHBand="0" w:noVBand="1"/>
      </w:tblPr>
      <w:tblGrid>
        <w:gridCol w:w="2102"/>
        <w:gridCol w:w="7834"/>
      </w:tblGrid>
      <w:tr w:rsidR="00D06D5F" w14:paraId="30C33D32" w14:textId="77777777" w:rsidTr="0016113D">
        <w:trPr>
          <w:cantSplit/>
          <w:tblCellSpacing w:w="0" w:type="dxa"/>
        </w:trPr>
        <w:tc>
          <w:tcPr>
            <w:tcW w:w="1058" w:type="pct"/>
            <w:tcMar>
              <w:top w:w="0" w:type="dxa"/>
              <w:left w:w="0" w:type="dxa"/>
              <w:bottom w:w="0" w:type="dxa"/>
              <w:right w:w="0" w:type="dxa"/>
            </w:tcMar>
            <w:hideMark/>
          </w:tcPr>
          <w:p w14:paraId="4B778E80" w14:textId="7E8FB654" w:rsidR="00D06D5F" w:rsidRDefault="00A37743">
            <w:pPr>
              <w:rPr>
                <w:color w:val="000000"/>
                <w:sz w:val="20"/>
                <w:szCs w:val="20"/>
              </w:rPr>
            </w:pPr>
            <w:r>
              <w:rPr>
                <w:sz w:val="20"/>
                <w:szCs w:val="20"/>
              </w:rPr>
              <w:t> </w:t>
            </w:r>
            <w:r>
              <w:rPr>
                <w:b/>
                <w:bCs/>
                <w:color w:val="000000"/>
                <w:sz w:val="20"/>
                <w:szCs w:val="20"/>
              </w:rPr>
              <w:t>Item 7.01</w:t>
            </w:r>
          </w:p>
        </w:tc>
        <w:tc>
          <w:tcPr>
            <w:tcW w:w="3942" w:type="pct"/>
            <w:tcMar>
              <w:top w:w="0" w:type="dxa"/>
              <w:left w:w="0" w:type="dxa"/>
              <w:bottom w:w="0" w:type="dxa"/>
              <w:right w:w="0" w:type="dxa"/>
            </w:tcMar>
            <w:hideMark/>
          </w:tcPr>
          <w:p w14:paraId="44A2B33E" w14:textId="77777777" w:rsidR="00D06D5F" w:rsidRDefault="00A37743">
            <w:pPr>
              <w:jc w:val="both"/>
              <w:rPr>
                <w:color w:val="000000"/>
                <w:sz w:val="20"/>
                <w:szCs w:val="20"/>
              </w:rPr>
            </w:pPr>
            <w:r>
              <w:rPr>
                <w:b/>
                <w:bCs/>
                <w:color w:val="000000"/>
                <w:sz w:val="20"/>
                <w:szCs w:val="20"/>
              </w:rPr>
              <w:t>Regulation FD Disclosure.</w:t>
            </w:r>
          </w:p>
        </w:tc>
      </w:tr>
    </w:tbl>
    <w:p w14:paraId="4D0F81AD" w14:textId="77777777" w:rsidR="00D06D5F" w:rsidRDefault="00A37743">
      <w:pPr>
        <w:pBdr>
          <w:left w:val="none" w:sz="0" w:space="7" w:color="auto"/>
          <w:right w:val="none" w:sz="0" w:space="7" w:color="auto"/>
        </w:pBdr>
        <w:rPr>
          <w:sz w:val="20"/>
          <w:szCs w:val="20"/>
        </w:rPr>
      </w:pPr>
      <w:r>
        <w:rPr>
          <w:sz w:val="20"/>
          <w:szCs w:val="20"/>
        </w:rPr>
        <w:t> </w:t>
      </w:r>
    </w:p>
    <w:p w14:paraId="66EEB3DE" w14:textId="70C9A2F6" w:rsidR="00D06D5F" w:rsidRDefault="00A37743">
      <w:pPr>
        <w:pBdr>
          <w:left w:val="none" w:sz="0" w:space="7" w:color="auto"/>
          <w:right w:val="none" w:sz="0" w:space="7" w:color="auto"/>
        </w:pBdr>
        <w:ind w:firstLine="720"/>
        <w:jc w:val="both"/>
        <w:rPr>
          <w:sz w:val="20"/>
          <w:szCs w:val="20"/>
        </w:rPr>
      </w:pPr>
      <w:r>
        <w:rPr>
          <w:sz w:val="20"/>
          <w:szCs w:val="20"/>
        </w:rPr>
        <w:t xml:space="preserve">On </w:t>
      </w:r>
      <w:r w:rsidR="006906B8">
        <w:rPr>
          <w:sz w:val="20"/>
          <w:szCs w:val="20"/>
        </w:rPr>
        <w:t>May 18</w:t>
      </w:r>
      <w:r>
        <w:rPr>
          <w:sz w:val="20"/>
          <w:szCs w:val="20"/>
        </w:rPr>
        <w:t>,</w:t>
      </w:r>
      <w:r w:rsidR="009E5323">
        <w:rPr>
          <w:sz w:val="20"/>
          <w:szCs w:val="20"/>
        </w:rPr>
        <w:t xml:space="preserve"> 2026,</w:t>
      </w:r>
      <w:r>
        <w:rPr>
          <w:sz w:val="20"/>
          <w:szCs w:val="20"/>
        </w:rPr>
        <w:t xml:space="preserve"> the Company issued a press release announcing the pricing of the Offering. A copy of the press release is attached as Exhibit 99.1 to this Current Report on Form 8-K and is hereby incorporated by reference herein.</w:t>
      </w:r>
    </w:p>
    <w:p w14:paraId="2104B19C" w14:textId="659679BA" w:rsidR="00DA35DC" w:rsidRDefault="00DA35DC">
      <w:pPr>
        <w:rPr>
          <w:sz w:val="20"/>
          <w:szCs w:val="20"/>
        </w:rPr>
      </w:pPr>
    </w:p>
    <w:p w14:paraId="4567B621" w14:textId="2B7AC2E5" w:rsidR="00DA35DC" w:rsidRDefault="00DA35DC">
      <w:pPr>
        <w:pBdr>
          <w:left w:val="none" w:sz="0" w:space="7" w:color="auto"/>
          <w:right w:val="none" w:sz="0" w:space="7" w:color="auto"/>
        </w:pBdr>
        <w:ind w:firstLine="720"/>
        <w:jc w:val="both"/>
        <w:rPr>
          <w:color w:val="000000"/>
          <w:sz w:val="20"/>
          <w:szCs w:val="20"/>
          <w:shd w:val="clear" w:color="auto" w:fill="FFFFFF"/>
        </w:rPr>
      </w:pPr>
      <w:r>
        <w:rPr>
          <w:color w:val="000000"/>
          <w:sz w:val="20"/>
          <w:szCs w:val="20"/>
          <w:shd w:val="clear" w:color="auto" w:fill="FFFFFF"/>
        </w:rPr>
        <w:t>The information set forth in this Item 7.01, including Exhibit 99.1, is being furnished and shall not be deemed “filed” for purposes of Section 18 of the Securities Exchange Act of 1934, as amended (the “Exchange Act”) or otherwise subject to the liabilities of that Section. The information in this Item 7.01, including Exhibit 99.1, shall not be deemed incorporated by reference into any filing under the Securities Act or the Exchange Act, except as shall be expressly set forth by specific reference in such a filing.</w:t>
      </w:r>
    </w:p>
    <w:p w14:paraId="6E774CAC" w14:textId="137787BF" w:rsidR="00D06D5F" w:rsidRDefault="00D06D5F">
      <w:pPr>
        <w:pBdr>
          <w:left w:val="none" w:sz="0" w:space="7" w:color="auto"/>
          <w:right w:val="none" w:sz="0" w:space="7" w:color="auto"/>
        </w:pBdr>
        <w:rPr>
          <w:sz w:val="20"/>
          <w:szCs w:val="20"/>
        </w:rPr>
      </w:pPr>
    </w:p>
    <w:tbl>
      <w:tblPr>
        <w:tblW w:w="5000" w:type="pct"/>
        <w:tblCellSpacing w:w="0" w:type="dxa"/>
        <w:tblCellMar>
          <w:left w:w="0" w:type="dxa"/>
          <w:right w:w="0" w:type="dxa"/>
        </w:tblCellMar>
        <w:tblLook w:val="04A0" w:firstRow="1" w:lastRow="0" w:firstColumn="1" w:lastColumn="0" w:noHBand="0" w:noVBand="1"/>
      </w:tblPr>
      <w:tblGrid>
        <w:gridCol w:w="2103"/>
        <w:gridCol w:w="7833"/>
      </w:tblGrid>
      <w:tr w:rsidR="00D06D5F" w14:paraId="12BC5909" w14:textId="77777777">
        <w:trPr>
          <w:cantSplit/>
          <w:tblCellSpacing w:w="0" w:type="dxa"/>
        </w:trPr>
        <w:tc>
          <w:tcPr>
            <w:tcW w:w="0" w:type="auto"/>
            <w:tcMar>
              <w:top w:w="0" w:type="dxa"/>
              <w:left w:w="0" w:type="dxa"/>
              <w:bottom w:w="0" w:type="dxa"/>
              <w:right w:w="0" w:type="dxa"/>
            </w:tcMar>
            <w:hideMark/>
          </w:tcPr>
          <w:p w14:paraId="71C55A71" w14:textId="77777777" w:rsidR="00D06D5F" w:rsidRDefault="00A37743">
            <w:pPr>
              <w:rPr>
                <w:color w:val="000000"/>
                <w:sz w:val="20"/>
                <w:szCs w:val="20"/>
              </w:rPr>
            </w:pPr>
            <w:r>
              <w:rPr>
                <w:b/>
                <w:bCs/>
                <w:color w:val="000000"/>
                <w:sz w:val="20"/>
                <w:szCs w:val="20"/>
              </w:rPr>
              <w:t>Item 9.01</w:t>
            </w:r>
          </w:p>
        </w:tc>
        <w:tc>
          <w:tcPr>
            <w:tcW w:w="0" w:type="auto"/>
            <w:tcMar>
              <w:top w:w="0" w:type="dxa"/>
              <w:left w:w="0" w:type="dxa"/>
              <w:bottom w:w="0" w:type="dxa"/>
              <w:right w:w="0" w:type="dxa"/>
            </w:tcMar>
            <w:hideMark/>
          </w:tcPr>
          <w:p w14:paraId="3B2B99E9" w14:textId="77777777" w:rsidR="00D06D5F" w:rsidRDefault="00A37743">
            <w:pPr>
              <w:rPr>
                <w:color w:val="000000"/>
                <w:sz w:val="20"/>
                <w:szCs w:val="20"/>
              </w:rPr>
            </w:pPr>
            <w:r>
              <w:rPr>
                <w:b/>
                <w:bCs/>
                <w:color w:val="000000"/>
                <w:sz w:val="20"/>
                <w:szCs w:val="20"/>
              </w:rPr>
              <w:t>Financial Statements and Exhibits.</w:t>
            </w:r>
          </w:p>
        </w:tc>
      </w:tr>
    </w:tbl>
    <w:p w14:paraId="5EB07C7E" w14:textId="77777777" w:rsidR="00D06D5F" w:rsidRDefault="00A37743">
      <w:pPr>
        <w:pBdr>
          <w:left w:val="none" w:sz="0" w:space="7" w:color="auto"/>
          <w:right w:val="none" w:sz="0" w:space="7" w:color="auto"/>
        </w:pBdr>
        <w:rPr>
          <w:sz w:val="20"/>
          <w:szCs w:val="20"/>
        </w:rPr>
      </w:pPr>
      <w:r>
        <w:rPr>
          <w:sz w:val="20"/>
          <w:szCs w:val="20"/>
        </w:rPr>
        <w:t> </w:t>
      </w:r>
    </w:p>
    <w:tbl>
      <w:tblPr>
        <w:tblW w:w="5000" w:type="pct"/>
        <w:jc w:val="center"/>
        <w:tblCellSpacing w:w="0" w:type="dxa"/>
        <w:tblCellMar>
          <w:left w:w="0" w:type="dxa"/>
          <w:right w:w="0" w:type="dxa"/>
        </w:tblCellMar>
        <w:tblLook w:val="04A0" w:firstRow="1" w:lastRow="0" w:firstColumn="1" w:lastColumn="0" w:noHBand="0" w:noVBand="1"/>
      </w:tblPr>
      <w:tblGrid>
        <w:gridCol w:w="477"/>
        <w:gridCol w:w="9459"/>
      </w:tblGrid>
      <w:tr w:rsidR="00D06D5F" w14:paraId="19D534B9" w14:textId="77777777" w:rsidTr="00D917AA">
        <w:trPr>
          <w:cantSplit/>
          <w:tblCellSpacing w:w="0" w:type="dxa"/>
          <w:jc w:val="center"/>
        </w:trPr>
        <w:tc>
          <w:tcPr>
            <w:tcW w:w="240" w:type="pct"/>
            <w:tcMar>
              <w:top w:w="0" w:type="dxa"/>
              <w:left w:w="0" w:type="dxa"/>
              <w:bottom w:w="0" w:type="dxa"/>
              <w:right w:w="0" w:type="dxa"/>
            </w:tcMar>
            <w:hideMark/>
          </w:tcPr>
          <w:p w14:paraId="33A4DFE4" w14:textId="77777777" w:rsidR="00D06D5F" w:rsidRDefault="00A37743">
            <w:pPr>
              <w:rPr>
                <w:color w:val="000000"/>
                <w:sz w:val="20"/>
                <w:szCs w:val="20"/>
              </w:rPr>
            </w:pPr>
            <w:r>
              <w:rPr>
                <w:color w:val="000000"/>
                <w:sz w:val="20"/>
                <w:szCs w:val="20"/>
              </w:rPr>
              <w:t>(d)</w:t>
            </w:r>
          </w:p>
        </w:tc>
        <w:tc>
          <w:tcPr>
            <w:tcW w:w="4760" w:type="pct"/>
            <w:tcMar>
              <w:top w:w="0" w:type="dxa"/>
              <w:left w:w="0" w:type="dxa"/>
              <w:bottom w:w="0" w:type="dxa"/>
              <w:right w:w="0" w:type="dxa"/>
            </w:tcMar>
            <w:hideMark/>
          </w:tcPr>
          <w:p w14:paraId="572DF9CE" w14:textId="77777777" w:rsidR="00D06D5F" w:rsidRDefault="00A37743">
            <w:pPr>
              <w:rPr>
                <w:color w:val="000000"/>
                <w:sz w:val="20"/>
                <w:szCs w:val="20"/>
              </w:rPr>
            </w:pPr>
            <w:r>
              <w:rPr>
                <w:i/>
                <w:iCs/>
                <w:color w:val="000000"/>
                <w:sz w:val="20"/>
                <w:szCs w:val="20"/>
              </w:rPr>
              <w:t>Exhibits</w:t>
            </w:r>
            <w:r>
              <w:rPr>
                <w:color w:val="000000"/>
                <w:sz w:val="20"/>
                <w:szCs w:val="20"/>
              </w:rPr>
              <w:t>.</w:t>
            </w:r>
          </w:p>
        </w:tc>
      </w:tr>
    </w:tbl>
    <w:p w14:paraId="23544B5D" w14:textId="77777777" w:rsidR="00D06D5F" w:rsidRDefault="00A37743">
      <w:pPr>
        <w:pBdr>
          <w:left w:val="none" w:sz="0" w:space="7" w:color="auto"/>
          <w:right w:val="none" w:sz="0" w:space="7" w:color="auto"/>
        </w:pBdr>
        <w:rPr>
          <w:sz w:val="20"/>
          <w:szCs w:val="20"/>
        </w:rPr>
      </w:pPr>
      <w:r>
        <w:rPr>
          <w:sz w:val="20"/>
          <w:szCs w:val="20"/>
        </w:rPr>
        <w:t> </w:t>
      </w:r>
    </w:p>
    <w:p w14:paraId="73DC046D" w14:textId="77777777" w:rsidR="00D06D5F" w:rsidRDefault="00A37743">
      <w:pPr>
        <w:pBdr>
          <w:left w:val="none" w:sz="0" w:space="7" w:color="auto"/>
          <w:right w:val="none" w:sz="0" w:space="7" w:color="auto"/>
        </w:pBdr>
        <w:rPr>
          <w:sz w:val="20"/>
          <w:szCs w:val="20"/>
        </w:rPr>
      </w:pPr>
      <w:r>
        <w:rPr>
          <w:sz w:val="20"/>
          <w:szCs w:val="20"/>
        </w:rPr>
        <w:t>The following Exhibits are being filed or furnished, as applicable, with this Current Report on Form 8-K.</w:t>
      </w:r>
    </w:p>
    <w:p w14:paraId="5AA2BB0A" w14:textId="77777777" w:rsidR="00D06D5F" w:rsidRDefault="00A37743">
      <w:pPr>
        <w:pBdr>
          <w:left w:val="none" w:sz="0" w:space="7" w:color="auto"/>
          <w:right w:val="none" w:sz="0" w:space="7" w:color="auto"/>
        </w:pBdr>
        <w:rPr>
          <w:sz w:val="20"/>
          <w:szCs w:val="20"/>
        </w:rPr>
      </w:pPr>
      <w:r>
        <w:rPr>
          <w:sz w:val="20"/>
          <w:szCs w:val="20"/>
        </w:rPr>
        <w:t> </w:t>
      </w:r>
    </w:p>
    <w:tbl>
      <w:tblPr>
        <w:tblW w:w="5000" w:type="pct"/>
        <w:jc w:val="center"/>
        <w:tblCellSpacing w:w="0" w:type="dxa"/>
        <w:tblCellMar>
          <w:left w:w="0" w:type="dxa"/>
          <w:right w:w="0" w:type="dxa"/>
        </w:tblCellMar>
        <w:tblLook w:val="04A0" w:firstRow="1" w:lastRow="0" w:firstColumn="1" w:lastColumn="0" w:noHBand="0" w:noVBand="1"/>
      </w:tblPr>
      <w:tblGrid>
        <w:gridCol w:w="1253"/>
        <w:gridCol w:w="8683"/>
      </w:tblGrid>
      <w:tr w:rsidR="0016113D" w14:paraId="0BCD7072" w14:textId="77777777">
        <w:trPr>
          <w:cantSplit/>
          <w:tblCellSpacing w:w="0" w:type="dxa"/>
          <w:jc w:val="center"/>
        </w:trPr>
        <w:tc>
          <w:tcPr>
            <w:tcW w:w="0" w:type="auto"/>
            <w:tcMar>
              <w:top w:w="0" w:type="dxa"/>
              <w:left w:w="0" w:type="dxa"/>
              <w:bottom w:w="0" w:type="dxa"/>
              <w:right w:w="0" w:type="dxa"/>
            </w:tcMar>
            <w:hideMark/>
          </w:tcPr>
          <w:p w14:paraId="2FEE48C6" w14:textId="77777777" w:rsidR="00D06D5F" w:rsidRDefault="00A37743">
            <w:pPr>
              <w:keepNext/>
              <w:rPr>
                <w:color w:val="000000"/>
                <w:sz w:val="20"/>
                <w:szCs w:val="20"/>
              </w:rPr>
            </w:pPr>
            <w:r>
              <w:rPr>
                <w:color w:val="000000"/>
                <w:sz w:val="20"/>
                <w:szCs w:val="20"/>
                <w:u w:val="single" w:color="000000"/>
              </w:rPr>
              <w:t>Exhibit No.</w:t>
            </w:r>
          </w:p>
        </w:tc>
        <w:tc>
          <w:tcPr>
            <w:tcW w:w="0" w:type="auto"/>
            <w:tcMar>
              <w:top w:w="0" w:type="dxa"/>
              <w:left w:w="0" w:type="dxa"/>
              <w:bottom w:w="0" w:type="dxa"/>
              <w:right w:w="0" w:type="dxa"/>
            </w:tcMar>
            <w:hideMark/>
          </w:tcPr>
          <w:p w14:paraId="636A9B1C" w14:textId="77777777" w:rsidR="00D06D5F" w:rsidRDefault="00A37743">
            <w:pPr>
              <w:keepNext/>
              <w:rPr>
                <w:color w:val="000000"/>
                <w:sz w:val="20"/>
                <w:szCs w:val="20"/>
              </w:rPr>
            </w:pPr>
            <w:r>
              <w:rPr>
                <w:color w:val="000000"/>
                <w:sz w:val="20"/>
                <w:szCs w:val="20"/>
                <w:u w:val="single" w:color="000000"/>
              </w:rPr>
              <w:t>Description</w:t>
            </w:r>
          </w:p>
        </w:tc>
      </w:tr>
      <w:tr w:rsidR="0016113D" w14:paraId="5704F4A6" w14:textId="77777777">
        <w:trPr>
          <w:cantSplit/>
          <w:tblCellSpacing w:w="0" w:type="dxa"/>
          <w:jc w:val="center"/>
        </w:trPr>
        <w:tc>
          <w:tcPr>
            <w:tcW w:w="0" w:type="auto"/>
            <w:tcMar>
              <w:top w:w="0" w:type="dxa"/>
              <w:left w:w="0" w:type="dxa"/>
              <w:bottom w:w="0" w:type="dxa"/>
              <w:right w:w="0" w:type="dxa"/>
            </w:tcMar>
            <w:hideMark/>
          </w:tcPr>
          <w:p w14:paraId="635F6EC6" w14:textId="77777777" w:rsidR="00D06D5F" w:rsidRDefault="00A37743">
            <w:pPr>
              <w:keepNext/>
              <w:rPr>
                <w:color w:val="000000"/>
                <w:sz w:val="20"/>
                <w:szCs w:val="20"/>
              </w:rPr>
            </w:pPr>
            <w:r>
              <w:rPr>
                <w:color w:val="000000"/>
                <w:sz w:val="20"/>
                <w:szCs w:val="20"/>
              </w:rPr>
              <w:t>4.1</w:t>
            </w:r>
          </w:p>
        </w:tc>
        <w:tc>
          <w:tcPr>
            <w:tcW w:w="0" w:type="auto"/>
            <w:tcMar>
              <w:top w:w="0" w:type="dxa"/>
              <w:left w:w="0" w:type="dxa"/>
              <w:bottom w:w="0" w:type="dxa"/>
              <w:right w:w="0" w:type="dxa"/>
            </w:tcMar>
            <w:hideMark/>
          </w:tcPr>
          <w:p w14:paraId="5F2985F5" w14:textId="37FBC2AE" w:rsidR="00D06D5F" w:rsidRDefault="009E5323">
            <w:pPr>
              <w:keepNext/>
              <w:rPr>
                <w:color w:val="000000"/>
                <w:sz w:val="20"/>
                <w:szCs w:val="20"/>
              </w:rPr>
            </w:pPr>
            <w:r>
              <w:rPr>
                <w:color w:val="0000EE"/>
                <w:sz w:val="20"/>
                <w:szCs w:val="20"/>
                <w:u w:val="single" w:color="0000EE"/>
              </w:rPr>
              <w:t>Form of Pre-Funded Warrant</w:t>
            </w:r>
          </w:p>
        </w:tc>
      </w:tr>
      <w:tr w:rsidR="009E5323" w14:paraId="2DCB7F92" w14:textId="77777777">
        <w:trPr>
          <w:cantSplit/>
          <w:tblCellSpacing w:w="0" w:type="dxa"/>
          <w:jc w:val="center"/>
        </w:trPr>
        <w:tc>
          <w:tcPr>
            <w:tcW w:w="0" w:type="auto"/>
            <w:tcMar>
              <w:top w:w="0" w:type="dxa"/>
              <w:left w:w="0" w:type="dxa"/>
              <w:bottom w:w="0" w:type="dxa"/>
              <w:right w:w="0" w:type="dxa"/>
            </w:tcMar>
          </w:tcPr>
          <w:p w14:paraId="007B5EBE" w14:textId="5BD4A3B5" w:rsidR="009E5323" w:rsidRDefault="009E5323">
            <w:pPr>
              <w:keepNext/>
              <w:rPr>
                <w:color w:val="000000"/>
                <w:sz w:val="20"/>
                <w:szCs w:val="20"/>
              </w:rPr>
            </w:pPr>
            <w:r>
              <w:rPr>
                <w:color w:val="000000"/>
                <w:sz w:val="20"/>
                <w:szCs w:val="20"/>
              </w:rPr>
              <w:t>4.2</w:t>
            </w:r>
          </w:p>
        </w:tc>
        <w:tc>
          <w:tcPr>
            <w:tcW w:w="0" w:type="auto"/>
            <w:tcMar>
              <w:top w:w="0" w:type="dxa"/>
              <w:left w:w="0" w:type="dxa"/>
              <w:bottom w:w="0" w:type="dxa"/>
              <w:right w:w="0" w:type="dxa"/>
            </w:tcMar>
          </w:tcPr>
          <w:p w14:paraId="17EE58A5" w14:textId="3F42C664" w:rsidR="009E5323" w:rsidRDefault="009E5323">
            <w:pPr>
              <w:keepNext/>
              <w:rPr>
                <w:color w:val="0000EE"/>
                <w:sz w:val="20"/>
                <w:szCs w:val="20"/>
                <w:u w:val="single" w:color="0000EE"/>
              </w:rPr>
            </w:pPr>
            <w:r>
              <w:rPr>
                <w:color w:val="0000EE"/>
                <w:sz w:val="20"/>
                <w:szCs w:val="20"/>
                <w:u w:val="single" w:color="0000EE"/>
              </w:rPr>
              <w:t>Form of Series A Common Warrant</w:t>
            </w:r>
          </w:p>
        </w:tc>
      </w:tr>
      <w:tr w:rsidR="009E5323" w14:paraId="04829DD0" w14:textId="77777777">
        <w:trPr>
          <w:cantSplit/>
          <w:tblCellSpacing w:w="0" w:type="dxa"/>
          <w:jc w:val="center"/>
        </w:trPr>
        <w:tc>
          <w:tcPr>
            <w:tcW w:w="0" w:type="auto"/>
            <w:tcMar>
              <w:top w:w="0" w:type="dxa"/>
              <w:left w:w="0" w:type="dxa"/>
              <w:bottom w:w="0" w:type="dxa"/>
              <w:right w:w="0" w:type="dxa"/>
            </w:tcMar>
          </w:tcPr>
          <w:p w14:paraId="100B9727" w14:textId="51EF1BD7" w:rsidR="009E5323" w:rsidRDefault="009E5323">
            <w:pPr>
              <w:keepNext/>
              <w:rPr>
                <w:color w:val="000000"/>
                <w:sz w:val="20"/>
                <w:szCs w:val="20"/>
              </w:rPr>
            </w:pPr>
            <w:r>
              <w:rPr>
                <w:color w:val="000000"/>
                <w:sz w:val="20"/>
                <w:szCs w:val="20"/>
              </w:rPr>
              <w:t>4.3</w:t>
            </w:r>
          </w:p>
        </w:tc>
        <w:tc>
          <w:tcPr>
            <w:tcW w:w="0" w:type="auto"/>
            <w:tcMar>
              <w:top w:w="0" w:type="dxa"/>
              <w:left w:w="0" w:type="dxa"/>
              <w:bottom w:w="0" w:type="dxa"/>
              <w:right w:w="0" w:type="dxa"/>
            </w:tcMar>
          </w:tcPr>
          <w:p w14:paraId="27B276C1" w14:textId="3F99C61E" w:rsidR="009E5323" w:rsidRDefault="009E5323">
            <w:pPr>
              <w:keepNext/>
              <w:rPr>
                <w:color w:val="0000EE"/>
                <w:sz w:val="20"/>
                <w:szCs w:val="20"/>
                <w:u w:val="single" w:color="0000EE"/>
              </w:rPr>
            </w:pPr>
            <w:r>
              <w:rPr>
                <w:color w:val="0000EE"/>
                <w:sz w:val="20"/>
                <w:szCs w:val="20"/>
                <w:u w:val="single" w:color="0000EE"/>
              </w:rPr>
              <w:t xml:space="preserve">Form of Series </w:t>
            </w:r>
            <w:r w:rsidR="006906B8">
              <w:rPr>
                <w:color w:val="0000EE"/>
                <w:sz w:val="20"/>
                <w:szCs w:val="20"/>
                <w:u w:val="single" w:color="0000EE"/>
              </w:rPr>
              <w:t>B</w:t>
            </w:r>
            <w:r>
              <w:rPr>
                <w:color w:val="0000EE"/>
                <w:sz w:val="20"/>
                <w:szCs w:val="20"/>
                <w:u w:val="single" w:color="0000EE"/>
              </w:rPr>
              <w:t xml:space="preserve"> Common Warrant</w:t>
            </w:r>
          </w:p>
        </w:tc>
      </w:tr>
      <w:tr w:rsidR="0016113D" w14:paraId="5C56FD3F" w14:textId="77777777">
        <w:trPr>
          <w:cantSplit/>
          <w:tblCellSpacing w:w="0" w:type="dxa"/>
          <w:jc w:val="center"/>
        </w:trPr>
        <w:tc>
          <w:tcPr>
            <w:tcW w:w="0" w:type="auto"/>
            <w:tcMar>
              <w:top w:w="0" w:type="dxa"/>
              <w:left w:w="0" w:type="dxa"/>
              <w:bottom w:w="0" w:type="dxa"/>
              <w:right w:w="0" w:type="dxa"/>
            </w:tcMar>
            <w:hideMark/>
          </w:tcPr>
          <w:p w14:paraId="1F9C38F9" w14:textId="23276F05" w:rsidR="00D06D5F" w:rsidRDefault="00A37743">
            <w:pPr>
              <w:keepNext/>
              <w:rPr>
                <w:color w:val="000000"/>
                <w:sz w:val="20"/>
                <w:szCs w:val="20"/>
              </w:rPr>
            </w:pPr>
            <w:r>
              <w:rPr>
                <w:color w:val="000000"/>
                <w:sz w:val="20"/>
                <w:szCs w:val="20"/>
              </w:rPr>
              <w:t>10.</w:t>
            </w:r>
            <w:r w:rsidR="00886A27">
              <w:rPr>
                <w:color w:val="000000"/>
                <w:sz w:val="20"/>
                <w:szCs w:val="20"/>
              </w:rPr>
              <w:t>1</w:t>
            </w:r>
          </w:p>
        </w:tc>
        <w:tc>
          <w:tcPr>
            <w:tcW w:w="0" w:type="auto"/>
            <w:tcMar>
              <w:top w:w="0" w:type="dxa"/>
              <w:left w:w="0" w:type="dxa"/>
              <w:bottom w:w="0" w:type="dxa"/>
              <w:right w:w="0" w:type="dxa"/>
            </w:tcMar>
            <w:hideMark/>
          </w:tcPr>
          <w:p w14:paraId="47427A34" w14:textId="4C0C7D22" w:rsidR="00D06D5F" w:rsidRDefault="00A37743">
            <w:pPr>
              <w:keepNext/>
              <w:rPr>
                <w:color w:val="000000"/>
                <w:sz w:val="20"/>
                <w:szCs w:val="20"/>
              </w:rPr>
            </w:pPr>
            <w:r>
              <w:rPr>
                <w:color w:val="0000EE"/>
                <w:sz w:val="20"/>
                <w:szCs w:val="20"/>
                <w:u w:val="single" w:color="0000EE"/>
              </w:rPr>
              <w:t>Form of Purchase Agreement</w:t>
            </w:r>
          </w:p>
        </w:tc>
      </w:tr>
      <w:tr w:rsidR="006906B8" w14:paraId="7C0744A7" w14:textId="77777777">
        <w:trPr>
          <w:cantSplit/>
          <w:tblCellSpacing w:w="0" w:type="dxa"/>
          <w:jc w:val="center"/>
        </w:trPr>
        <w:tc>
          <w:tcPr>
            <w:tcW w:w="0" w:type="auto"/>
            <w:tcMar>
              <w:top w:w="0" w:type="dxa"/>
              <w:left w:w="0" w:type="dxa"/>
              <w:bottom w:w="0" w:type="dxa"/>
              <w:right w:w="0" w:type="dxa"/>
            </w:tcMar>
          </w:tcPr>
          <w:p w14:paraId="280AC50D" w14:textId="630CB0EC" w:rsidR="006906B8" w:rsidRDefault="006906B8">
            <w:pPr>
              <w:keepNext/>
              <w:rPr>
                <w:color w:val="000000"/>
                <w:sz w:val="20"/>
                <w:szCs w:val="20"/>
              </w:rPr>
            </w:pPr>
            <w:r>
              <w:rPr>
                <w:color w:val="000000"/>
                <w:sz w:val="20"/>
                <w:szCs w:val="20"/>
              </w:rPr>
              <w:t>10.2</w:t>
            </w:r>
          </w:p>
        </w:tc>
        <w:tc>
          <w:tcPr>
            <w:tcW w:w="0" w:type="auto"/>
            <w:tcMar>
              <w:top w:w="0" w:type="dxa"/>
              <w:left w:w="0" w:type="dxa"/>
              <w:bottom w:w="0" w:type="dxa"/>
              <w:right w:w="0" w:type="dxa"/>
            </w:tcMar>
          </w:tcPr>
          <w:p w14:paraId="40363E77" w14:textId="2878B063" w:rsidR="006906B8" w:rsidRDefault="006906B8">
            <w:pPr>
              <w:keepNext/>
              <w:rPr>
                <w:color w:val="0000EE"/>
                <w:sz w:val="20"/>
                <w:szCs w:val="20"/>
                <w:u w:val="single" w:color="0000EE"/>
              </w:rPr>
            </w:pPr>
            <w:r>
              <w:rPr>
                <w:color w:val="0000EE"/>
                <w:sz w:val="20"/>
                <w:szCs w:val="20"/>
                <w:u w:val="single" w:color="0000EE"/>
              </w:rPr>
              <w:t>Form of Placement Agency Agreement</w:t>
            </w:r>
          </w:p>
        </w:tc>
      </w:tr>
      <w:tr w:rsidR="0016113D" w14:paraId="5FFD5E05" w14:textId="77777777">
        <w:trPr>
          <w:cantSplit/>
          <w:tblCellSpacing w:w="0" w:type="dxa"/>
          <w:jc w:val="center"/>
        </w:trPr>
        <w:tc>
          <w:tcPr>
            <w:tcW w:w="0" w:type="auto"/>
            <w:tcMar>
              <w:top w:w="0" w:type="dxa"/>
              <w:left w:w="0" w:type="dxa"/>
              <w:bottom w:w="0" w:type="dxa"/>
              <w:right w:w="0" w:type="dxa"/>
            </w:tcMar>
            <w:hideMark/>
          </w:tcPr>
          <w:p w14:paraId="7E222B77" w14:textId="77777777" w:rsidR="00D06D5F" w:rsidRDefault="00A37743">
            <w:pPr>
              <w:keepNext/>
              <w:rPr>
                <w:color w:val="000000"/>
                <w:sz w:val="20"/>
                <w:szCs w:val="20"/>
              </w:rPr>
            </w:pPr>
            <w:r>
              <w:rPr>
                <w:color w:val="000000"/>
                <w:sz w:val="20"/>
                <w:szCs w:val="20"/>
              </w:rPr>
              <w:t>99.1</w:t>
            </w:r>
          </w:p>
        </w:tc>
        <w:tc>
          <w:tcPr>
            <w:tcW w:w="0" w:type="auto"/>
            <w:tcMar>
              <w:top w:w="0" w:type="dxa"/>
              <w:left w:w="0" w:type="dxa"/>
              <w:bottom w:w="0" w:type="dxa"/>
              <w:right w:w="0" w:type="dxa"/>
            </w:tcMar>
            <w:hideMark/>
          </w:tcPr>
          <w:p w14:paraId="7FEA70FC" w14:textId="19FEEA38" w:rsidR="00D06D5F" w:rsidRDefault="00A37743">
            <w:pPr>
              <w:keepNext/>
              <w:rPr>
                <w:color w:val="000000"/>
                <w:sz w:val="20"/>
                <w:szCs w:val="20"/>
              </w:rPr>
            </w:pPr>
            <w:r>
              <w:rPr>
                <w:color w:val="0000EE"/>
                <w:sz w:val="20"/>
                <w:szCs w:val="20"/>
                <w:u w:val="single" w:color="0000EE"/>
              </w:rPr>
              <w:t xml:space="preserve">Press Release dated </w:t>
            </w:r>
            <w:r w:rsidR="006906B8">
              <w:rPr>
                <w:color w:val="0000EE"/>
                <w:sz w:val="20"/>
                <w:szCs w:val="20"/>
                <w:u w:val="single" w:color="0000EE"/>
              </w:rPr>
              <w:t>May 18</w:t>
            </w:r>
            <w:r w:rsidR="009E5323">
              <w:rPr>
                <w:color w:val="0000EE"/>
                <w:sz w:val="20"/>
                <w:szCs w:val="20"/>
                <w:u w:val="single" w:color="0000EE"/>
              </w:rPr>
              <w:t>, 2026</w:t>
            </w:r>
            <w:r>
              <w:rPr>
                <w:color w:val="0000EE"/>
                <w:sz w:val="20"/>
                <w:szCs w:val="20"/>
                <w:u w:val="single" w:color="0000EE"/>
              </w:rPr>
              <w:t>, announcing the pricing of the Offering</w:t>
            </w:r>
          </w:p>
        </w:tc>
      </w:tr>
      <w:tr w:rsidR="0016113D" w14:paraId="51A20D70" w14:textId="77777777">
        <w:trPr>
          <w:cantSplit/>
          <w:tblCellSpacing w:w="0" w:type="dxa"/>
          <w:jc w:val="center"/>
        </w:trPr>
        <w:tc>
          <w:tcPr>
            <w:tcW w:w="0" w:type="auto"/>
            <w:tcMar>
              <w:top w:w="0" w:type="dxa"/>
              <w:left w:w="0" w:type="dxa"/>
              <w:bottom w:w="0" w:type="dxa"/>
              <w:right w:w="0" w:type="dxa"/>
            </w:tcMar>
            <w:hideMark/>
          </w:tcPr>
          <w:p w14:paraId="160CC401" w14:textId="77777777" w:rsidR="00D06D5F" w:rsidRDefault="00A37743">
            <w:pPr>
              <w:rPr>
                <w:color w:val="000000"/>
                <w:sz w:val="20"/>
                <w:szCs w:val="20"/>
              </w:rPr>
            </w:pPr>
            <w:r>
              <w:rPr>
                <w:color w:val="000000"/>
                <w:sz w:val="20"/>
                <w:szCs w:val="20"/>
              </w:rPr>
              <w:t>104</w:t>
            </w:r>
          </w:p>
        </w:tc>
        <w:tc>
          <w:tcPr>
            <w:tcW w:w="0" w:type="auto"/>
            <w:tcMar>
              <w:top w:w="0" w:type="dxa"/>
              <w:left w:w="0" w:type="dxa"/>
              <w:bottom w:w="0" w:type="dxa"/>
              <w:right w:w="0" w:type="dxa"/>
            </w:tcMar>
            <w:hideMark/>
          </w:tcPr>
          <w:p w14:paraId="02C81A35" w14:textId="77777777" w:rsidR="00D06D5F" w:rsidRDefault="00A37743">
            <w:pPr>
              <w:rPr>
                <w:color w:val="000000"/>
                <w:sz w:val="20"/>
                <w:szCs w:val="20"/>
              </w:rPr>
            </w:pPr>
            <w:r>
              <w:rPr>
                <w:color w:val="000000"/>
                <w:sz w:val="20"/>
                <w:szCs w:val="20"/>
              </w:rPr>
              <w:t>Cover Page Interactive Data File (embedded within the Inline XBRL document).</w:t>
            </w:r>
          </w:p>
        </w:tc>
      </w:tr>
    </w:tbl>
    <w:p w14:paraId="50EA65A5" w14:textId="77777777" w:rsidR="00D06D5F" w:rsidRDefault="00A37743">
      <w:pPr>
        <w:pBdr>
          <w:left w:val="none" w:sz="0" w:space="7" w:color="auto"/>
          <w:right w:val="none" w:sz="0" w:space="7" w:color="auto"/>
        </w:pBdr>
        <w:rPr>
          <w:sz w:val="20"/>
          <w:szCs w:val="20"/>
        </w:rPr>
      </w:pPr>
      <w:r>
        <w:rPr>
          <w:sz w:val="20"/>
          <w:szCs w:val="20"/>
        </w:rPr>
        <w:t> </w:t>
      </w:r>
    </w:p>
    <w:p w14:paraId="4B4A4142" w14:textId="77777777" w:rsidR="00D06D5F" w:rsidRDefault="00A37743">
      <w:pPr>
        <w:pBdr>
          <w:left w:val="none" w:sz="0" w:space="7" w:color="auto"/>
          <w:right w:val="none" w:sz="0" w:space="7" w:color="auto"/>
        </w:pBdr>
        <w:jc w:val="center"/>
        <w:rPr>
          <w:sz w:val="20"/>
          <w:szCs w:val="20"/>
        </w:rPr>
      </w:pPr>
      <w:r>
        <w:rPr>
          <w:sz w:val="20"/>
          <w:szCs w:val="20"/>
        </w:rPr>
        <w:t> </w:t>
      </w:r>
    </w:p>
    <w:p w14:paraId="5208FCD7" w14:textId="77777777" w:rsidR="006941E9" w:rsidRDefault="006941E9">
      <w:pPr>
        <w:rPr>
          <w:b/>
          <w:bCs/>
          <w:sz w:val="20"/>
          <w:szCs w:val="20"/>
        </w:rPr>
      </w:pPr>
      <w:r>
        <w:rPr>
          <w:b/>
          <w:bCs/>
          <w:sz w:val="20"/>
          <w:szCs w:val="20"/>
        </w:rPr>
        <w:br w:type="page"/>
      </w:r>
    </w:p>
    <w:p w14:paraId="7F212360" w14:textId="72C03047" w:rsidR="00D06D5F" w:rsidRDefault="00A37743">
      <w:pPr>
        <w:pBdr>
          <w:left w:val="none" w:sz="0" w:space="7" w:color="auto"/>
          <w:right w:val="none" w:sz="0" w:space="7" w:color="auto"/>
        </w:pBdr>
        <w:jc w:val="center"/>
        <w:rPr>
          <w:sz w:val="20"/>
          <w:szCs w:val="20"/>
        </w:rPr>
      </w:pPr>
      <w:r>
        <w:rPr>
          <w:b/>
          <w:bCs/>
          <w:sz w:val="20"/>
          <w:szCs w:val="20"/>
        </w:rPr>
        <w:lastRenderedPageBreak/>
        <w:t>SIGNATURES</w:t>
      </w:r>
    </w:p>
    <w:p w14:paraId="35570D57" w14:textId="77777777" w:rsidR="00D06D5F" w:rsidRDefault="00A37743">
      <w:pPr>
        <w:pBdr>
          <w:left w:val="none" w:sz="0" w:space="7" w:color="auto"/>
          <w:right w:val="none" w:sz="0" w:space="7" w:color="auto"/>
        </w:pBdr>
        <w:rPr>
          <w:sz w:val="20"/>
          <w:szCs w:val="20"/>
        </w:rPr>
      </w:pPr>
      <w:r>
        <w:rPr>
          <w:sz w:val="20"/>
          <w:szCs w:val="20"/>
        </w:rPr>
        <w:t> </w:t>
      </w:r>
    </w:p>
    <w:p w14:paraId="67A798FF" w14:textId="77777777" w:rsidR="00D06D5F" w:rsidRDefault="00A37743">
      <w:pPr>
        <w:pBdr>
          <w:left w:val="none" w:sz="0" w:space="7" w:color="auto"/>
          <w:right w:val="none" w:sz="0" w:space="7" w:color="auto"/>
        </w:pBdr>
        <w:jc w:val="both"/>
        <w:rPr>
          <w:sz w:val="20"/>
          <w:szCs w:val="20"/>
        </w:rPr>
      </w:pPr>
      <w:r>
        <w:rPr>
          <w:sz w:val="20"/>
          <w:szCs w:val="20"/>
        </w:rPr>
        <w:t>Pursuant to the requirements of the Securities Exchange Act of 1934, the registrant has duly caused this report to be signed on its behalf by the undersigned hereunto duly authorized.</w:t>
      </w:r>
    </w:p>
    <w:p w14:paraId="23A55909" w14:textId="77777777" w:rsidR="00D06D5F" w:rsidRDefault="00A37743">
      <w:pPr>
        <w:pBdr>
          <w:left w:val="none" w:sz="0" w:space="7" w:color="auto"/>
          <w:right w:val="none" w:sz="0" w:space="7" w:color="auto"/>
        </w:pBdr>
        <w:rPr>
          <w:sz w:val="20"/>
          <w:szCs w:val="20"/>
        </w:rPr>
      </w:pPr>
      <w:r>
        <w:rPr>
          <w:sz w:val="20"/>
          <w:szCs w:val="20"/>
        </w:rPr>
        <w:t> </w:t>
      </w:r>
    </w:p>
    <w:tbl>
      <w:tblPr>
        <w:tblW w:w="5000" w:type="pct"/>
        <w:jc w:val="center"/>
        <w:tblCellSpacing w:w="0" w:type="dxa"/>
        <w:tblCellMar>
          <w:left w:w="0" w:type="dxa"/>
          <w:right w:w="0" w:type="dxa"/>
        </w:tblCellMar>
        <w:tblLook w:val="04A0" w:firstRow="1" w:lastRow="0" w:firstColumn="1" w:lastColumn="0" w:noHBand="0" w:noVBand="1"/>
      </w:tblPr>
      <w:tblGrid>
        <w:gridCol w:w="3155"/>
        <w:gridCol w:w="1509"/>
        <w:gridCol w:w="5272"/>
      </w:tblGrid>
      <w:tr w:rsidR="00D06D5F" w14:paraId="767632CB" w14:textId="77777777">
        <w:trPr>
          <w:cantSplit/>
          <w:tblCellSpacing w:w="0" w:type="dxa"/>
          <w:jc w:val="center"/>
        </w:trPr>
        <w:tc>
          <w:tcPr>
            <w:tcW w:w="0" w:type="auto"/>
            <w:tcMar>
              <w:top w:w="0" w:type="dxa"/>
              <w:left w:w="0" w:type="dxa"/>
              <w:bottom w:w="0" w:type="dxa"/>
              <w:right w:w="0" w:type="dxa"/>
            </w:tcMar>
            <w:hideMark/>
          </w:tcPr>
          <w:p w14:paraId="1955856A" w14:textId="77777777" w:rsidR="00D06D5F" w:rsidRDefault="00A37743">
            <w:pPr>
              <w:keepNext/>
              <w:rPr>
                <w:color w:val="000000"/>
                <w:sz w:val="20"/>
                <w:szCs w:val="20"/>
              </w:rPr>
            </w:pPr>
            <w:r>
              <w:rPr>
                <w:color w:val="000000"/>
                <w:sz w:val="20"/>
                <w:szCs w:val="20"/>
              </w:rPr>
              <w:t> </w:t>
            </w:r>
          </w:p>
        </w:tc>
        <w:tc>
          <w:tcPr>
            <w:tcW w:w="0" w:type="auto"/>
            <w:gridSpan w:val="2"/>
            <w:tcMar>
              <w:top w:w="0" w:type="dxa"/>
              <w:left w:w="0" w:type="dxa"/>
              <w:bottom w:w="0" w:type="dxa"/>
              <w:right w:w="0" w:type="dxa"/>
            </w:tcMar>
            <w:hideMark/>
          </w:tcPr>
          <w:p w14:paraId="00EBF081" w14:textId="77777777" w:rsidR="00D06D5F" w:rsidRDefault="00A37743">
            <w:pPr>
              <w:keepNext/>
              <w:rPr>
                <w:color w:val="000000"/>
                <w:sz w:val="20"/>
                <w:szCs w:val="20"/>
              </w:rPr>
            </w:pPr>
            <w:r>
              <w:rPr>
                <w:b/>
                <w:bCs/>
                <w:color w:val="000000"/>
                <w:sz w:val="20"/>
                <w:szCs w:val="20"/>
              </w:rPr>
              <w:t>GeoVax Labs, Inc.</w:t>
            </w:r>
          </w:p>
        </w:tc>
      </w:tr>
      <w:tr w:rsidR="00D06D5F" w14:paraId="13E0CA62" w14:textId="77777777">
        <w:trPr>
          <w:cantSplit/>
          <w:tblCellSpacing w:w="0" w:type="dxa"/>
          <w:jc w:val="center"/>
        </w:trPr>
        <w:tc>
          <w:tcPr>
            <w:tcW w:w="0" w:type="auto"/>
            <w:tcMar>
              <w:top w:w="0" w:type="dxa"/>
              <w:left w:w="0" w:type="dxa"/>
              <w:bottom w:w="0" w:type="dxa"/>
              <w:right w:w="0" w:type="dxa"/>
            </w:tcMar>
            <w:hideMark/>
          </w:tcPr>
          <w:p w14:paraId="2F877CDA" w14:textId="77777777" w:rsidR="00D06D5F" w:rsidRDefault="00A37743">
            <w:pPr>
              <w:keepNext/>
              <w:rPr>
                <w:color w:val="000000"/>
                <w:sz w:val="20"/>
                <w:szCs w:val="20"/>
              </w:rPr>
            </w:pPr>
            <w:r>
              <w:rPr>
                <w:color w:val="000000"/>
                <w:sz w:val="20"/>
                <w:szCs w:val="20"/>
              </w:rPr>
              <w:t> </w:t>
            </w:r>
          </w:p>
        </w:tc>
        <w:tc>
          <w:tcPr>
            <w:tcW w:w="0" w:type="auto"/>
            <w:gridSpan w:val="2"/>
            <w:tcMar>
              <w:top w:w="0" w:type="dxa"/>
              <w:left w:w="0" w:type="dxa"/>
              <w:bottom w:w="0" w:type="dxa"/>
              <w:right w:w="0" w:type="dxa"/>
            </w:tcMar>
            <w:hideMark/>
          </w:tcPr>
          <w:p w14:paraId="7BCD73CF" w14:textId="77777777" w:rsidR="00D06D5F" w:rsidRDefault="00A37743">
            <w:pPr>
              <w:keepNext/>
              <w:rPr>
                <w:color w:val="000000"/>
                <w:sz w:val="20"/>
                <w:szCs w:val="20"/>
              </w:rPr>
            </w:pPr>
            <w:r>
              <w:rPr>
                <w:color w:val="000000"/>
                <w:sz w:val="20"/>
                <w:szCs w:val="20"/>
              </w:rPr>
              <w:t> </w:t>
            </w:r>
          </w:p>
        </w:tc>
      </w:tr>
      <w:tr w:rsidR="00D06D5F" w14:paraId="0281E8D4" w14:textId="77777777">
        <w:trPr>
          <w:cantSplit/>
          <w:tblCellSpacing w:w="0" w:type="dxa"/>
          <w:jc w:val="center"/>
        </w:trPr>
        <w:tc>
          <w:tcPr>
            <w:tcW w:w="0" w:type="auto"/>
            <w:tcMar>
              <w:top w:w="0" w:type="dxa"/>
              <w:left w:w="0" w:type="dxa"/>
              <w:bottom w:w="0" w:type="dxa"/>
              <w:right w:w="0" w:type="dxa"/>
            </w:tcMar>
            <w:hideMark/>
          </w:tcPr>
          <w:p w14:paraId="31C0C095" w14:textId="6ED6B618" w:rsidR="00D06D5F" w:rsidRDefault="006906B8">
            <w:pPr>
              <w:keepNext/>
              <w:rPr>
                <w:color w:val="000000"/>
                <w:sz w:val="20"/>
                <w:szCs w:val="20"/>
              </w:rPr>
            </w:pPr>
            <w:r>
              <w:rPr>
                <w:color w:val="000000"/>
                <w:sz w:val="20"/>
                <w:szCs w:val="20"/>
              </w:rPr>
              <w:t>May 19</w:t>
            </w:r>
            <w:r w:rsidR="009E5323">
              <w:rPr>
                <w:color w:val="000000"/>
                <w:sz w:val="20"/>
                <w:szCs w:val="20"/>
              </w:rPr>
              <w:t>, 2026</w:t>
            </w:r>
          </w:p>
        </w:tc>
        <w:tc>
          <w:tcPr>
            <w:tcW w:w="0" w:type="auto"/>
            <w:tcMar>
              <w:top w:w="0" w:type="dxa"/>
              <w:left w:w="0" w:type="dxa"/>
              <w:bottom w:w="0" w:type="dxa"/>
              <w:right w:w="0" w:type="dxa"/>
            </w:tcMar>
            <w:hideMark/>
          </w:tcPr>
          <w:p w14:paraId="4AA8E9B2" w14:textId="77777777" w:rsidR="00D06D5F" w:rsidRDefault="00A37743">
            <w:pPr>
              <w:keepNext/>
              <w:rPr>
                <w:color w:val="000000"/>
                <w:sz w:val="20"/>
                <w:szCs w:val="20"/>
              </w:rPr>
            </w:pPr>
            <w:r>
              <w:rPr>
                <w:color w:val="000000"/>
                <w:sz w:val="20"/>
                <w:szCs w:val="20"/>
              </w:rPr>
              <w:t>By:</w:t>
            </w:r>
          </w:p>
        </w:tc>
        <w:tc>
          <w:tcPr>
            <w:tcW w:w="0" w:type="auto"/>
            <w:tcBorders>
              <w:bottom w:val="single" w:sz="6" w:space="0" w:color="000000"/>
            </w:tcBorders>
            <w:tcMar>
              <w:top w:w="0" w:type="dxa"/>
              <w:left w:w="0" w:type="dxa"/>
              <w:bottom w:w="0" w:type="dxa"/>
              <w:right w:w="0" w:type="dxa"/>
            </w:tcMar>
            <w:hideMark/>
          </w:tcPr>
          <w:p w14:paraId="4D1A3C23" w14:textId="77777777" w:rsidR="00D06D5F" w:rsidRDefault="00A37743">
            <w:pPr>
              <w:keepNext/>
              <w:rPr>
                <w:color w:val="000000"/>
                <w:sz w:val="20"/>
                <w:szCs w:val="20"/>
              </w:rPr>
            </w:pPr>
            <w:r>
              <w:rPr>
                <w:i/>
                <w:iCs/>
                <w:color w:val="000000"/>
                <w:sz w:val="20"/>
                <w:szCs w:val="20"/>
              </w:rPr>
              <w:t>/s/ Mark W. Reynolds</w:t>
            </w:r>
          </w:p>
        </w:tc>
      </w:tr>
      <w:tr w:rsidR="00D06D5F" w14:paraId="155774F6" w14:textId="77777777">
        <w:trPr>
          <w:cantSplit/>
          <w:tblCellSpacing w:w="0" w:type="dxa"/>
          <w:jc w:val="center"/>
        </w:trPr>
        <w:tc>
          <w:tcPr>
            <w:tcW w:w="0" w:type="auto"/>
            <w:tcMar>
              <w:top w:w="0" w:type="dxa"/>
              <w:left w:w="0" w:type="dxa"/>
              <w:bottom w:w="0" w:type="dxa"/>
              <w:right w:w="0" w:type="dxa"/>
            </w:tcMar>
            <w:hideMark/>
          </w:tcPr>
          <w:p w14:paraId="4CCDC5E3" w14:textId="77777777" w:rsidR="00D06D5F" w:rsidRDefault="00A37743">
            <w:pPr>
              <w:keepNext/>
              <w:rPr>
                <w:color w:val="000000"/>
                <w:sz w:val="20"/>
                <w:szCs w:val="20"/>
              </w:rPr>
            </w:pPr>
            <w:r>
              <w:rPr>
                <w:color w:val="000000"/>
                <w:sz w:val="20"/>
                <w:szCs w:val="20"/>
              </w:rPr>
              <w:t> </w:t>
            </w:r>
          </w:p>
        </w:tc>
        <w:tc>
          <w:tcPr>
            <w:tcW w:w="0" w:type="auto"/>
            <w:tcMar>
              <w:top w:w="0" w:type="dxa"/>
              <w:left w:w="0" w:type="dxa"/>
              <w:bottom w:w="0" w:type="dxa"/>
              <w:right w:w="0" w:type="dxa"/>
            </w:tcMar>
            <w:hideMark/>
          </w:tcPr>
          <w:p w14:paraId="0D2D6A24" w14:textId="77777777" w:rsidR="00D06D5F" w:rsidRDefault="00A37743">
            <w:pPr>
              <w:keepNext/>
              <w:rPr>
                <w:color w:val="000000"/>
                <w:sz w:val="20"/>
                <w:szCs w:val="20"/>
              </w:rPr>
            </w:pPr>
            <w:r>
              <w:rPr>
                <w:color w:val="000000"/>
                <w:sz w:val="20"/>
                <w:szCs w:val="20"/>
              </w:rPr>
              <w:t>Name:</w:t>
            </w:r>
          </w:p>
        </w:tc>
        <w:tc>
          <w:tcPr>
            <w:tcW w:w="0" w:type="auto"/>
            <w:tcMar>
              <w:top w:w="0" w:type="dxa"/>
              <w:left w:w="0" w:type="dxa"/>
              <w:bottom w:w="0" w:type="dxa"/>
              <w:right w:w="0" w:type="dxa"/>
            </w:tcMar>
            <w:hideMark/>
          </w:tcPr>
          <w:p w14:paraId="224D94F0" w14:textId="77777777" w:rsidR="00D06D5F" w:rsidRDefault="00A37743">
            <w:pPr>
              <w:keepNext/>
              <w:rPr>
                <w:color w:val="000000"/>
                <w:sz w:val="20"/>
                <w:szCs w:val="20"/>
              </w:rPr>
            </w:pPr>
            <w:r>
              <w:rPr>
                <w:color w:val="000000"/>
                <w:sz w:val="20"/>
                <w:szCs w:val="20"/>
              </w:rPr>
              <w:t>Mark W. Reynolds</w:t>
            </w:r>
          </w:p>
        </w:tc>
      </w:tr>
      <w:tr w:rsidR="00D06D5F" w14:paraId="0142B87D" w14:textId="77777777">
        <w:trPr>
          <w:cantSplit/>
          <w:tblCellSpacing w:w="0" w:type="dxa"/>
          <w:jc w:val="center"/>
        </w:trPr>
        <w:tc>
          <w:tcPr>
            <w:tcW w:w="0" w:type="auto"/>
            <w:tcMar>
              <w:top w:w="0" w:type="dxa"/>
              <w:left w:w="0" w:type="dxa"/>
              <w:bottom w:w="0" w:type="dxa"/>
              <w:right w:w="0" w:type="dxa"/>
            </w:tcMar>
            <w:hideMark/>
          </w:tcPr>
          <w:p w14:paraId="572EB691" w14:textId="77777777" w:rsidR="00D06D5F" w:rsidRDefault="00A37743">
            <w:pPr>
              <w:rPr>
                <w:color w:val="000000"/>
                <w:sz w:val="20"/>
                <w:szCs w:val="20"/>
              </w:rPr>
            </w:pPr>
            <w:r>
              <w:rPr>
                <w:color w:val="000000"/>
                <w:sz w:val="20"/>
                <w:szCs w:val="20"/>
              </w:rPr>
              <w:t> </w:t>
            </w:r>
          </w:p>
        </w:tc>
        <w:tc>
          <w:tcPr>
            <w:tcW w:w="0" w:type="auto"/>
            <w:tcMar>
              <w:top w:w="0" w:type="dxa"/>
              <w:left w:w="0" w:type="dxa"/>
              <w:bottom w:w="0" w:type="dxa"/>
              <w:right w:w="0" w:type="dxa"/>
            </w:tcMar>
            <w:hideMark/>
          </w:tcPr>
          <w:p w14:paraId="361EB12B" w14:textId="77777777" w:rsidR="00D06D5F" w:rsidRDefault="00A37743">
            <w:pPr>
              <w:rPr>
                <w:color w:val="000000"/>
                <w:sz w:val="20"/>
                <w:szCs w:val="20"/>
              </w:rPr>
            </w:pPr>
            <w:r>
              <w:rPr>
                <w:color w:val="000000"/>
                <w:sz w:val="20"/>
                <w:szCs w:val="20"/>
              </w:rPr>
              <w:t>Title:</w:t>
            </w:r>
          </w:p>
        </w:tc>
        <w:tc>
          <w:tcPr>
            <w:tcW w:w="0" w:type="auto"/>
            <w:tcMar>
              <w:top w:w="0" w:type="dxa"/>
              <w:left w:w="0" w:type="dxa"/>
              <w:bottom w:w="0" w:type="dxa"/>
              <w:right w:w="0" w:type="dxa"/>
            </w:tcMar>
            <w:hideMark/>
          </w:tcPr>
          <w:p w14:paraId="527F85F4" w14:textId="77777777" w:rsidR="00D06D5F" w:rsidRDefault="00A37743">
            <w:pPr>
              <w:rPr>
                <w:color w:val="000000"/>
                <w:sz w:val="20"/>
                <w:szCs w:val="20"/>
              </w:rPr>
            </w:pPr>
            <w:r>
              <w:rPr>
                <w:color w:val="000000"/>
                <w:sz w:val="20"/>
                <w:szCs w:val="20"/>
              </w:rPr>
              <w:t>Chief Financial Officer</w:t>
            </w:r>
          </w:p>
        </w:tc>
      </w:tr>
    </w:tbl>
    <w:p w14:paraId="77AC3487" w14:textId="77777777" w:rsidR="00D06D5F" w:rsidRDefault="00A37743">
      <w:pPr>
        <w:pBdr>
          <w:left w:val="none" w:sz="0" w:space="7" w:color="auto"/>
          <w:right w:val="none" w:sz="0" w:space="7" w:color="auto"/>
        </w:pBdr>
        <w:rPr>
          <w:sz w:val="20"/>
          <w:szCs w:val="20"/>
        </w:rPr>
      </w:pPr>
      <w:r>
        <w:rPr>
          <w:sz w:val="20"/>
          <w:szCs w:val="20"/>
        </w:rPr>
        <w:t> </w:t>
      </w:r>
    </w:p>
    <w:p w14:paraId="246803D3" w14:textId="77777777" w:rsidR="00D06D5F" w:rsidRDefault="00A37743">
      <w:pPr>
        <w:pBdr>
          <w:left w:val="none" w:sz="0" w:space="7" w:color="auto"/>
          <w:right w:val="none" w:sz="0" w:space="7" w:color="auto"/>
        </w:pBdr>
        <w:rPr>
          <w:sz w:val="20"/>
          <w:szCs w:val="20"/>
        </w:rPr>
      </w:pPr>
      <w:r>
        <w:rPr>
          <w:sz w:val="20"/>
          <w:szCs w:val="20"/>
        </w:rPr>
        <w:t> </w:t>
      </w:r>
    </w:p>
    <w:sectPr w:rsidR="00D06D5F" w:rsidSect="000D3618">
      <w:pgSz w:w="12240" w:h="15840"/>
      <w:pgMar w:top="1152" w:right="1152" w:bottom="1152"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88F0D" w14:textId="77777777" w:rsidR="0034393D" w:rsidRDefault="0034393D" w:rsidP="003E082E">
      <w:r>
        <w:separator/>
      </w:r>
    </w:p>
  </w:endnote>
  <w:endnote w:type="continuationSeparator" w:id="0">
    <w:p w14:paraId="24E37C33" w14:textId="77777777" w:rsidR="0034393D" w:rsidRDefault="0034393D" w:rsidP="003E0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C5FCE" w14:textId="77777777" w:rsidR="0034393D" w:rsidRDefault="0034393D" w:rsidP="003E082E">
      <w:r>
        <w:separator/>
      </w:r>
    </w:p>
  </w:footnote>
  <w:footnote w:type="continuationSeparator" w:id="0">
    <w:p w14:paraId="0CB056F7" w14:textId="77777777" w:rsidR="0034393D" w:rsidRDefault="0034393D" w:rsidP="003E08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D5F"/>
    <w:rsid w:val="000215B9"/>
    <w:rsid w:val="00022F76"/>
    <w:rsid w:val="00026224"/>
    <w:rsid w:val="0007596F"/>
    <w:rsid w:val="000D3618"/>
    <w:rsid w:val="00106439"/>
    <w:rsid w:val="0016113D"/>
    <w:rsid w:val="00183E2B"/>
    <w:rsid w:val="001A19E4"/>
    <w:rsid w:val="002669CB"/>
    <w:rsid w:val="002E5C17"/>
    <w:rsid w:val="00315A99"/>
    <w:rsid w:val="003424C4"/>
    <w:rsid w:val="0034393D"/>
    <w:rsid w:val="00394728"/>
    <w:rsid w:val="003A692E"/>
    <w:rsid w:val="003E082E"/>
    <w:rsid w:val="00476863"/>
    <w:rsid w:val="00480D31"/>
    <w:rsid w:val="00571D8E"/>
    <w:rsid w:val="00573D80"/>
    <w:rsid w:val="005C4A97"/>
    <w:rsid w:val="0065521A"/>
    <w:rsid w:val="00664546"/>
    <w:rsid w:val="006906B8"/>
    <w:rsid w:val="006941E9"/>
    <w:rsid w:val="006C33F9"/>
    <w:rsid w:val="006D71F6"/>
    <w:rsid w:val="007F687F"/>
    <w:rsid w:val="008217C8"/>
    <w:rsid w:val="00877E72"/>
    <w:rsid w:val="00886A27"/>
    <w:rsid w:val="008C364E"/>
    <w:rsid w:val="00905CE9"/>
    <w:rsid w:val="00952677"/>
    <w:rsid w:val="00987AB2"/>
    <w:rsid w:val="009E1D30"/>
    <w:rsid w:val="009E5323"/>
    <w:rsid w:val="00A174DC"/>
    <w:rsid w:val="00A37743"/>
    <w:rsid w:val="00A8662B"/>
    <w:rsid w:val="00AA3509"/>
    <w:rsid w:val="00AB5559"/>
    <w:rsid w:val="00AC0B66"/>
    <w:rsid w:val="00B423AA"/>
    <w:rsid w:val="00B51D0C"/>
    <w:rsid w:val="00B549F1"/>
    <w:rsid w:val="00BB387C"/>
    <w:rsid w:val="00C626A2"/>
    <w:rsid w:val="00CC0FA1"/>
    <w:rsid w:val="00CE4E03"/>
    <w:rsid w:val="00D06D5F"/>
    <w:rsid w:val="00D917AA"/>
    <w:rsid w:val="00DA35DC"/>
    <w:rsid w:val="00DB72C0"/>
    <w:rsid w:val="00DE1BA0"/>
    <w:rsid w:val="00E20EEE"/>
    <w:rsid w:val="00E2691A"/>
    <w:rsid w:val="00E443FD"/>
    <w:rsid w:val="00EA75B4"/>
    <w:rsid w:val="00EB72A7"/>
    <w:rsid w:val="00F03726"/>
    <w:rsid w:val="00F729BA"/>
    <w:rsid w:val="00F83807"/>
    <w:rsid w:val="00FD0C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78CB1B"/>
  <w15:docId w15:val="{3CAAD11F-847B-4832-828D-D2315301E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table" w:customStyle="1" w:styleId="content-table">
    <w:name w:val="content-table"/>
    <w:basedOn w:val="TableNormal"/>
    <w:tblPr/>
  </w:style>
  <w:style w:type="table" w:customStyle="1" w:styleId="main-table">
    <w:name w:val="main-table"/>
    <w:basedOn w:val="TableNormal"/>
    <w:tblPr/>
  </w:style>
  <w:style w:type="paragraph" w:styleId="Revision">
    <w:name w:val="Revision"/>
    <w:hidden/>
    <w:uiPriority w:val="99"/>
    <w:semiHidden/>
    <w:rsid w:val="00AA3509"/>
    <w:rPr>
      <w:sz w:val="24"/>
      <w:szCs w:val="24"/>
    </w:rPr>
  </w:style>
  <w:style w:type="paragraph" w:styleId="Header">
    <w:name w:val="header"/>
    <w:basedOn w:val="Normal"/>
    <w:link w:val="HeaderChar"/>
    <w:uiPriority w:val="99"/>
    <w:unhideWhenUsed/>
    <w:rsid w:val="003E082E"/>
    <w:pPr>
      <w:tabs>
        <w:tab w:val="center" w:pos="4680"/>
        <w:tab w:val="right" w:pos="9360"/>
      </w:tabs>
    </w:pPr>
  </w:style>
  <w:style w:type="character" w:customStyle="1" w:styleId="HeaderChar">
    <w:name w:val="Header Char"/>
    <w:basedOn w:val="DefaultParagraphFont"/>
    <w:link w:val="Header"/>
    <w:uiPriority w:val="99"/>
    <w:rsid w:val="003E082E"/>
    <w:rPr>
      <w:sz w:val="24"/>
      <w:szCs w:val="24"/>
    </w:rPr>
  </w:style>
  <w:style w:type="paragraph" w:styleId="Footer">
    <w:name w:val="footer"/>
    <w:basedOn w:val="Normal"/>
    <w:link w:val="FooterChar"/>
    <w:uiPriority w:val="99"/>
    <w:unhideWhenUsed/>
    <w:rsid w:val="003E082E"/>
    <w:pPr>
      <w:tabs>
        <w:tab w:val="center" w:pos="4680"/>
        <w:tab w:val="right" w:pos="9360"/>
      </w:tabs>
    </w:pPr>
  </w:style>
  <w:style w:type="character" w:customStyle="1" w:styleId="FooterChar">
    <w:name w:val="Footer Char"/>
    <w:basedOn w:val="DefaultParagraphFont"/>
    <w:link w:val="Footer"/>
    <w:uiPriority w:val="99"/>
    <w:rsid w:val="003E082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3778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1591</Words>
  <Characters>9070</Characters>
  <Application>Microsoft Office Word</Application>
  <DocSecurity>0</DocSecurity>
  <Lines>75</Lines>
  <Paragraphs>21</Paragraphs>
  <ScaleCrop>false</ScaleCrop>
  <Company/>
  <LinksUpToDate>false</LinksUpToDate>
  <CharactersWithSpaces>10640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Mark Reynolds</cp:lastModifiedBy>
  <cp:revision>4</cp:revision>
  <dcterms:created xsi:type="dcterms:W3CDTF">1900-01-01T05:00:00Z</dcterms:created>
  <dcterms:modified xsi:type="dcterms:W3CDTF">2026-05-19T20:57:00Z</dcterms:modified>
</cp:coreProperties>
</file>