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AFC20" w14:textId="77777777" w:rsidR="008D7E3A" w:rsidRDefault="008D7E3A" w:rsidP="008D7E3A">
      <w:pPr>
        <w:ind w:left="144" w:right="144"/>
        <w:rPr>
          <w:sz w:val="20"/>
          <w:szCs w:val="20"/>
        </w:rPr>
      </w:pPr>
      <w:r>
        <w:rPr>
          <w:sz w:val="20"/>
          <w:szCs w:val="20"/>
        </w:rPr>
        <w:t> </w:t>
      </w:r>
    </w:p>
    <w:p w14:paraId="11173570" w14:textId="77777777" w:rsidR="008D7E3A" w:rsidRDefault="008D7E3A" w:rsidP="008D7E3A">
      <w:pPr>
        <w:ind w:left="144" w:right="144"/>
        <w:rPr>
          <w:sz w:val="20"/>
          <w:szCs w:val="20"/>
        </w:rPr>
      </w:pPr>
      <w:r>
        <w:rPr>
          <w:sz w:val="20"/>
          <w:szCs w:val="20"/>
        </w:rPr>
        <w:t> </w:t>
      </w:r>
    </w:p>
    <w:p w14:paraId="4269CD0C" w14:textId="77777777" w:rsidR="008D7E3A" w:rsidRDefault="008D7E3A" w:rsidP="008D7E3A">
      <w:pPr>
        <w:ind w:left="144" w:right="144"/>
        <w:jc w:val="center"/>
        <w:rPr>
          <w:sz w:val="36"/>
          <w:szCs w:val="36"/>
        </w:rPr>
      </w:pPr>
      <w:r>
        <w:rPr>
          <w:b/>
          <w:bCs/>
          <w:sz w:val="36"/>
          <w:szCs w:val="36"/>
        </w:rPr>
        <w:t>SECURITIES AND EXCHANGE COMMISSION</w:t>
      </w:r>
    </w:p>
    <w:p w14:paraId="6FEC2A83" w14:textId="77777777" w:rsidR="008D7E3A" w:rsidRDefault="008D7E3A" w:rsidP="008D7E3A">
      <w:pPr>
        <w:ind w:left="144" w:right="144"/>
        <w:jc w:val="center"/>
        <w:rPr>
          <w:sz w:val="20"/>
          <w:szCs w:val="20"/>
        </w:rPr>
      </w:pPr>
      <w:r>
        <w:rPr>
          <w:b/>
          <w:bCs/>
          <w:sz w:val="20"/>
          <w:szCs w:val="20"/>
        </w:rPr>
        <w:t>WASHINGTON, D.C. 20549</w:t>
      </w:r>
      <w:r>
        <w:rPr>
          <w:sz w:val="20"/>
          <w:szCs w:val="20"/>
        </w:rPr>
        <w:t> </w:t>
      </w:r>
    </w:p>
    <w:p w14:paraId="5227C5AC" w14:textId="77777777" w:rsidR="008D7E3A" w:rsidRDefault="008D7E3A" w:rsidP="008D7E3A">
      <w:pPr>
        <w:ind w:left="144" w:right="144"/>
        <w:jc w:val="center"/>
        <w:rPr>
          <w:sz w:val="20"/>
          <w:szCs w:val="20"/>
        </w:rPr>
      </w:pPr>
      <w:r>
        <w:rPr>
          <w:sz w:val="20"/>
          <w:szCs w:val="20"/>
        </w:rPr>
        <w:t> </w:t>
      </w:r>
    </w:p>
    <w:p w14:paraId="5AD7287B" w14:textId="77777777" w:rsidR="008D7E3A" w:rsidRDefault="00DA25D2" w:rsidP="008D7E3A">
      <w:pPr>
        <w:jc w:val="center"/>
      </w:pPr>
      <w:r>
        <w:pict w14:anchorId="6CA29461">
          <v:rect id="_x0000_i1025" style="width:135pt;height:.75pt" o:hrpct="250" o:hralign="center" o:hrstd="t" o:hrnoshade="t" o:hr="t" fillcolor="gray" stroked="f"/>
        </w:pict>
      </w:r>
    </w:p>
    <w:p w14:paraId="0B38DE17" w14:textId="77777777" w:rsidR="008D7E3A" w:rsidRDefault="008D7E3A" w:rsidP="008D7E3A">
      <w:pPr>
        <w:ind w:left="144" w:right="144"/>
        <w:jc w:val="center"/>
        <w:rPr>
          <w:sz w:val="20"/>
          <w:szCs w:val="20"/>
        </w:rPr>
      </w:pPr>
      <w:r>
        <w:rPr>
          <w:sz w:val="20"/>
          <w:szCs w:val="20"/>
        </w:rPr>
        <w:t> </w:t>
      </w:r>
    </w:p>
    <w:p w14:paraId="1FACBEF2" w14:textId="77777777" w:rsidR="008D7E3A" w:rsidRDefault="008D7E3A" w:rsidP="008D7E3A">
      <w:pPr>
        <w:ind w:left="144" w:right="144"/>
        <w:jc w:val="center"/>
        <w:rPr>
          <w:sz w:val="36"/>
          <w:szCs w:val="36"/>
        </w:rPr>
      </w:pPr>
      <w:r>
        <w:rPr>
          <w:b/>
          <w:bCs/>
          <w:sz w:val="36"/>
          <w:szCs w:val="36"/>
        </w:rPr>
        <w:t>FORM 8-K</w:t>
      </w:r>
    </w:p>
    <w:p w14:paraId="4126124C" w14:textId="77777777" w:rsidR="008D7E3A" w:rsidRDefault="008D7E3A" w:rsidP="008D7E3A">
      <w:pPr>
        <w:ind w:left="144" w:right="144"/>
        <w:rPr>
          <w:sz w:val="20"/>
          <w:szCs w:val="20"/>
        </w:rPr>
      </w:pPr>
      <w:r>
        <w:rPr>
          <w:sz w:val="20"/>
          <w:szCs w:val="20"/>
        </w:rPr>
        <w:t> </w:t>
      </w:r>
    </w:p>
    <w:p w14:paraId="6C98B2EA" w14:textId="77777777" w:rsidR="008D7E3A" w:rsidRDefault="008D7E3A" w:rsidP="008D7E3A">
      <w:pPr>
        <w:ind w:left="144" w:right="144"/>
        <w:jc w:val="center"/>
        <w:rPr>
          <w:sz w:val="20"/>
          <w:szCs w:val="20"/>
        </w:rPr>
      </w:pPr>
      <w:r>
        <w:rPr>
          <w:b/>
          <w:bCs/>
          <w:sz w:val="20"/>
          <w:szCs w:val="20"/>
        </w:rPr>
        <w:t>CURRENT REPORT</w:t>
      </w:r>
    </w:p>
    <w:p w14:paraId="3914BBE3" w14:textId="77777777" w:rsidR="008D7E3A" w:rsidRDefault="008D7E3A" w:rsidP="008D7E3A">
      <w:pPr>
        <w:ind w:left="144" w:right="144"/>
        <w:jc w:val="center"/>
        <w:rPr>
          <w:sz w:val="20"/>
          <w:szCs w:val="20"/>
        </w:rPr>
      </w:pPr>
      <w:r>
        <w:rPr>
          <w:b/>
          <w:bCs/>
          <w:sz w:val="20"/>
          <w:szCs w:val="20"/>
        </w:rPr>
        <w:t>Pursuant to Section 13 or 15(d) of the</w:t>
      </w:r>
    </w:p>
    <w:p w14:paraId="6B78B71F" w14:textId="77777777" w:rsidR="008D7E3A" w:rsidRDefault="008D7E3A" w:rsidP="008D7E3A">
      <w:pPr>
        <w:ind w:left="144" w:right="144"/>
        <w:jc w:val="center"/>
        <w:rPr>
          <w:sz w:val="20"/>
          <w:szCs w:val="20"/>
        </w:rPr>
      </w:pPr>
      <w:r>
        <w:rPr>
          <w:b/>
          <w:bCs/>
          <w:sz w:val="20"/>
          <w:szCs w:val="20"/>
        </w:rPr>
        <w:t>Securities Exchange Act of 1934</w:t>
      </w:r>
    </w:p>
    <w:p w14:paraId="1116214B" w14:textId="77777777" w:rsidR="008D7E3A" w:rsidRDefault="008D7E3A" w:rsidP="008D7E3A">
      <w:pPr>
        <w:ind w:left="144" w:right="144"/>
        <w:rPr>
          <w:sz w:val="20"/>
          <w:szCs w:val="20"/>
        </w:rPr>
      </w:pPr>
      <w:r>
        <w:rPr>
          <w:sz w:val="20"/>
          <w:szCs w:val="20"/>
        </w:rPr>
        <w:t> </w:t>
      </w:r>
    </w:p>
    <w:p w14:paraId="1907E5A2" w14:textId="138FF735" w:rsidR="008D7E3A" w:rsidRDefault="008D7E3A" w:rsidP="008D7E3A">
      <w:pPr>
        <w:ind w:left="144" w:right="144"/>
        <w:jc w:val="center"/>
        <w:rPr>
          <w:sz w:val="20"/>
          <w:szCs w:val="20"/>
        </w:rPr>
      </w:pPr>
      <w:r>
        <w:rPr>
          <w:b/>
          <w:bCs/>
          <w:sz w:val="20"/>
          <w:szCs w:val="20"/>
        </w:rPr>
        <w:t>Date of report (Date of earliest event reported)</w:t>
      </w:r>
      <w:proofErr w:type="gramStart"/>
      <w:r>
        <w:rPr>
          <w:b/>
          <w:bCs/>
          <w:sz w:val="20"/>
          <w:szCs w:val="20"/>
        </w:rPr>
        <w:t>:  </w:t>
      </w:r>
      <w:r w:rsidR="009A7F45">
        <w:rPr>
          <w:b/>
          <w:bCs/>
          <w:sz w:val="20"/>
          <w:szCs w:val="20"/>
        </w:rPr>
        <w:t>May</w:t>
      </w:r>
      <w:proofErr w:type="gramEnd"/>
      <w:r w:rsidR="00DA73E9">
        <w:rPr>
          <w:b/>
          <w:bCs/>
          <w:sz w:val="20"/>
          <w:szCs w:val="20"/>
        </w:rPr>
        <w:t xml:space="preserve"> </w:t>
      </w:r>
      <w:r w:rsidR="009A7F45">
        <w:rPr>
          <w:b/>
          <w:bCs/>
          <w:sz w:val="20"/>
          <w:szCs w:val="20"/>
        </w:rPr>
        <w:t>7</w:t>
      </w:r>
      <w:r>
        <w:rPr>
          <w:b/>
          <w:bCs/>
          <w:sz w:val="20"/>
          <w:szCs w:val="20"/>
        </w:rPr>
        <w:t>, 202</w:t>
      </w:r>
      <w:r w:rsidR="00FA53E4">
        <w:rPr>
          <w:b/>
          <w:bCs/>
          <w:sz w:val="20"/>
          <w:szCs w:val="20"/>
        </w:rPr>
        <w:t>6</w:t>
      </w:r>
    </w:p>
    <w:p w14:paraId="5F0131D8" w14:textId="77777777" w:rsidR="008D7E3A" w:rsidRDefault="008D7E3A" w:rsidP="008D7E3A">
      <w:pPr>
        <w:ind w:left="144" w:right="144"/>
        <w:jc w:val="center"/>
        <w:rPr>
          <w:sz w:val="20"/>
          <w:szCs w:val="20"/>
        </w:rPr>
      </w:pPr>
      <w:r>
        <w:rPr>
          <w:sz w:val="20"/>
          <w:szCs w:val="20"/>
        </w:rPr>
        <w:t> </w:t>
      </w:r>
    </w:p>
    <w:p w14:paraId="4BE21BF0" w14:textId="77777777" w:rsidR="008D7E3A" w:rsidRDefault="00DA25D2" w:rsidP="008D7E3A">
      <w:pPr>
        <w:jc w:val="center"/>
      </w:pPr>
      <w:r>
        <w:pict w14:anchorId="34234C18">
          <v:rect id="_x0000_i1026" style="width:135pt;height:.75pt" o:hrpct="250" o:hralign="center" o:hrstd="t" o:hrnoshade="t" o:hr="t" fillcolor="gray" stroked="f"/>
        </w:pict>
      </w:r>
    </w:p>
    <w:p w14:paraId="3C569251" w14:textId="77777777" w:rsidR="008D7E3A" w:rsidRDefault="008D7E3A" w:rsidP="008D7E3A">
      <w:pPr>
        <w:ind w:left="144" w:right="144"/>
        <w:jc w:val="center"/>
        <w:rPr>
          <w:sz w:val="20"/>
          <w:szCs w:val="20"/>
        </w:rPr>
      </w:pPr>
      <w:r>
        <w:rPr>
          <w:sz w:val="20"/>
          <w:szCs w:val="20"/>
        </w:rPr>
        <w:t> </w:t>
      </w:r>
    </w:p>
    <w:p w14:paraId="6037F5E1" w14:textId="77777777" w:rsidR="008D7E3A" w:rsidRDefault="008D7E3A" w:rsidP="008D7E3A">
      <w:pPr>
        <w:ind w:left="144" w:right="144"/>
        <w:jc w:val="center"/>
        <w:rPr>
          <w:sz w:val="36"/>
          <w:szCs w:val="36"/>
        </w:rPr>
      </w:pPr>
      <w:r>
        <w:rPr>
          <w:b/>
          <w:bCs/>
          <w:sz w:val="36"/>
          <w:szCs w:val="36"/>
        </w:rPr>
        <w:t>GEOVAX LABS, INC.</w:t>
      </w:r>
    </w:p>
    <w:p w14:paraId="5DE0AB61" w14:textId="77777777" w:rsidR="008D7E3A" w:rsidRDefault="008D7E3A" w:rsidP="008D7E3A">
      <w:pPr>
        <w:ind w:left="144" w:right="144"/>
        <w:jc w:val="center"/>
        <w:rPr>
          <w:sz w:val="20"/>
          <w:szCs w:val="20"/>
        </w:rPr>
      </w:pPr>
      <w:r>
        <w:rPr>
          <w:b/>
          <w:bCs/>
          <w:sz w:val="20"/>
          <w:szCs w:val="20"/>
        </w:rPr>
        <w:t>(Exact name of registrant as specified in its charter)</w:t>
      </w:r>
    </w:p>
    <w:p w14:paraId="0F1B7EA2" w14:textId="77777777" w:rsidR="008D7E3A" w:rsidRDefault="008D7E3A" w:rsidP="008D7E3A">
      <w:pPr>
        <w:ind w:left="144" w:right="144"/>
        <w:rPr>
          <w:sz w:val="20"/>
          <w:szCs w:val="20"/>
        </w:rPr>
      </w:pPr>
      <w:r>
        <w:rPr>
          <w:sz w:val="20"/>
          <w:szCs w:val="20"/>
        </w:rPr>
        <w:t>  </w:t>
      </w:r>
    </w:p>
    <w:tbl>
      <w:tblPr>
        <w:tblW w:w="5000" w:type="pct"/>
        <w:tblInd w:w="149" w:type="dxa"/>
        <w:tblCellMar>
          <w:left w:w="0" w:type="dxa"/>
          <w:right w:w="0" w:type="dxa"/>
        </w:tblCellMar>
        <w:tblLook w:val="04A0" w:firstRow="1" w:lastRow="0" w:firstColumn="1" w:lastColumn="0" w:noHBand="0" w:noVBand="1"/>
      </w:tblPr>
      <w:tblGrid>
        <w:gridCol w:w="3456"/>
        <w:gridCol w:w="216"/>
        <w:gridCol w:w="3456"/>
        <w:gridCol w:w="216"/>
        <w:gridCol w:w="3456"/>
      </w:tblGrid>
      <w:tr w:rsidR="008D7E3A" w14:paraId="65DC7518" w14:textId="77777777" w:rsidTr="008D7E3A">
        <w:tc>
          <w:tcPr>
            <w:tcW w:w="1600" w:type="pct"/>
            <w:tcMar>
              <w:top w:w="5" w:type="dxa"/>
              <w:left w:w="5" w:type="dxa"/>
              <w:bottom w:w="5" w:type="dxa"/>
              <w:right w:w="5" w:type="dxa"/>
            </w:tcMar>
            <w:hideMark/>
          </w:tcPr>
          <w:p w14:paraId="2CD5D0E3" w14:textId="77777777" w:rsidR="008D7E3A" w:rsidRDefault="008D7E3A">
            <w:pPr>
              <w:jc w:val="center"/>
              <w:rPr>
                <w:color w:val="000000"/>
                <w:sz w:val="20"/>
                <w:szCs w:val="20"/>
              </w:rPr>
            </w:pPr>
            <w:r>
              <w:rPr>
                <w:b/>
                <w:bCs/>
                <w:color w:val="000000"/>
                <w:sz w:val="20"/>
                <w:szCs w:val="20"/>
              </w:rPr>
              <w:t>Delaware</w:t>
            </w:r>
          </w:p>
        </w:tc>
        <w:tc>
          <w:tcPr>
            <w:tcW w:w="100" w:type="pct"/>
            <w:tcMar>
              <w:top w:w="5" w:type="dxa"/>
              <w:left w:w="5" w:type="dxa"/>
              <w:bottom w:w="5" w:type="dxa"/>
              <w:right w:w="5" w:type="dxa"/>
            </w:tcMar>
            <w:vAlign w:val="bottom"/>
            <w:hideMark/>
          </w:tcPr>
          <w:p w14:paraId="21BB6B9C" w14:textId="77777777" w:rsidR="008D7E3A" w:rsidRDefault="008D7E3A">
            <w:pPr>
              <w:rPr>
                <w:color w:val="000000"/>
                <w:sz w:val="20"/>
                <w:szCs w:val="20"/>
              </w:rPr>
            </w:pPr>
            <w:r>
              <w:rPr>
                <w:color w:val="000000"/>
                <w:sz w:val="20"/>
                <w:szCs w:val="20"/>
              </w:rPr>
              <w:t>  </w:t>
            </w:r>
          </w:p>
        </w:tc>
        <w:tc>
          <w:tcPr>
            <w:tcW w:w="1600" w:type="pct"/>
            <w:tcMar>
              <w:top w:w="5" w:type="dxa"/>
              <w:left w:w="5" w:type="dxa"/>
              <w:bottom w:w="5" w:type="dxa"/>
              <w:right w:w="5" w:type="dxa"/>
            </w:tcMar>
            <w:hideMark/>
          </w:tcPr>
          <w:p w14:paraId="2E1BFCAA" w14:textId="77777777" w:rsidR="008D7E3A" w:rsidRDefault="008D7E3A">
            <w:pPr>
              <w:jc w:val="center"/>
              <w:rPr>
                <w:color w:val="000000"/>
                <w:sz w:val="20"/>
                <w:szCs w:val="20"/>
              </w:rPr>
            </w:pPr>
            <w:r>
              <w:rPr>
                <w:b/>
                <w:bCs/>
                <w:color w:val="000000"/>
                <w:sz w:val="20"/>
                <w:szCs w:val="20"/>
              </w:rPr>
              <w:t>001-39563</w:t>
            </w:r>
          </w:p>
        </w:tc>
        <w:tc>
          <w:tcPr>
            <w:tcW w:w="100" w:type="pct"/>
            <w:tcMar>
              <w:top w:w="5" w:type="dxa"/>
              <w:left w:w="5" w:type="dxa"/>
              <w:bottom w:w="5" w:type="dxa"/>
              <w:right w:w="5" w:type="dxa"/>
            </w:tcMar>
            <w:vAlign w:val="bottom"/>
            <w:hideMark/>
          </w:tcPr>
          <w:p w14:paraId="02B8DA0E" w14:textId="77777777" w:rsidR="008D7E3A" w:rsidRDefault="008D7E3A">
            <w:pPr>
              <w:rPr>
                <w:color w:val="000000"/>
                <w:sz w:val="20"/>
                <w:szCs w:val="20"/>
              </w:rPr>
            </w:pPr>
            <w:r>
              <w:rPr>
                <w:color w:val="000000"/>
                <w:sz w:val="20"/>
                <w:szCs w:val="20"/>
              </w:rPr>
              <w:t>  </w:t>
            </w:r>
          </w:p>
        </w:tc>
        <w:tc>
          <w:tcPr>
            <w:tcW w:w="1600" w:type="pct"/>
            <w:tcMar>
              <w:top w:w="5" w:type="dxa"/>
              <w:left w:w="5" w:type="dxa"/>
              <w:bottom w:w="5" w:type="dxa"/>
              <w:right w:w="5" w:type="dxa"/>
            </w:tcMar>
            <w:hideMark/>
          </w:tcPr>
          <w:p w14:paraId="08920BD4" w14:textId="77777777" w:rsidR="008D7E3A" w:rsidRDefault="008D7E3A">
            <w:pPr>
              <w:jc w:val="center"/>
              <w:rPr>
                <w:color w:val="000000"/>
                <w:sz w:val="20"/>
                <w:szCs w:val="20"/>
              </w:rPr>
            </w:pPr>
            <w:r>
              <w:rPr>
                <w:b/>
                <w:bCs/>
                <w:color w:val="000000"/>
                <w:sz w:val="20"/>
                <w:szCs w:val="20"/>
              </w:rPr>
              <w:t>87-0455038</w:t>
            </w:r>
          </w:p>
        </w:tc>
      </w:tr>
      <w:tr w:rsidR="008D7E3A" w14:paraId="1B960DB8" w14:textId="77777777" w:rsidTr="008D7E3A">
        <w:tc>
          <w:tcPr>
            <w:tcW w:w="1600" w:type="pct"/>
            <w:tcMar>
              <w:top w:w="5" w:type="dxa"/>
              <w:left w:w="5" w:type="dxa"/>
              <w:bottom w:w="5" w:type="dxa"/>
              <w:right w:w="5" w:type="dxa"/>
            </w:tcMar>
            <w:hideMark/>
          </w:tcPr>
          <w:p w14:paraId="55850994" w14:textId="77777777" w:rsidR="008D7E3A" w:rsidRDefault="008D7E3A">
            <w:pPr>
              <w:jc w:val="center"/>
              <w:rPr>
                <w:color w:val="000000"/>
                <w:sz w:val="20"/>
                <w:szCs w:val="20"/>
              </w:rPr>
            </w:pPr>
            <w:r>
              <w:rPr>
                <w:b/>
                <w:bCs/>
                <w:color w:val="000000"/>
                <w:sz w:val="20"/>
                <w:szCs w:val="20"/>
              </w:rPr>
              <w:t xml:space="preserve">(State or </w:t>
            </w:r>
            <w:proofErr w:type="gramStart"/>
            <w:r>
              <w:rPr>
                <w:b/>
                <w:bCs/>
                <w:color w:val="000000"/>
                <w:sz w:val="20"/>
                <w:szCs w:val="20"/>
              </w:rPr>
              <w:t>other</w:t>
            </w:r>
            <w:proofErr w:type="gramEnd"/>
            <w:r>
              <w:rPr>
                <w:b/>
                <w:bCs/>
                <w:color w:val="000000"/>
                <w:sz w:val="20"/>
                <w:szCs w:val="20"/>
              </w:rPr>
              <w:t xml:space="preserve"> jurisdiction of</w:t>
            </w:r>
          </w:p>
          <w:p w14:paraId="6BCD4496" w14:textId="77777777" w:rsidR="008D7E3A" w:rsidRDefault="008D7E3A">
            <w:pPr>
              <w:jc w:val="center"/>
              <w:rPr>
                <w:color w:val="000000"/>
                <w:sz w:val="20"/>
                <w:szCs w:val="20"/>
              </w:rPr>
            </w:pPr>
            <w:r>
              <w:rPr>
                <w:b/>
                <w:bCs/>
                <w:color w:val="000000"/>
                <w:sz w:val="20"/>
                <w:szCs w:val="20"/>
              </w:rPr>
              <w:t>incorporation or organization)</w:t>
            </w:r>
          </w:p>
        </w:tc>
        <w:tc>
          <w:tcPr>
            <w:tcW w:w="100" w:type="pct"/>
            <w:tcMar>
              <w:top w:w="5" w:type="dxa"/>
              <w:left w:w="5" w:type="dxa"/>
              <w:bottom w:w="5" w:type="dxa"/>
              <w:right w:w="5" w:type="dxa"/>
            </w:tcMar>
            <w:vAlign w:val="bottom"/>
            <w:hideMark/>
          </w:tcPr>
          <w:p w14:paraId="3CCD15D2" w14:textId="77777777" w:rsidR="008D7E3A" w:rsidRDefault="008D7E3A">
            <w:pPr>
              <w:rPr>
                <w:color w:val="000000"/>
                <w:sz w:val="20"/>
                <w:szCs w:val="20"/>
              </w:rPr>
            </w:pPr>
            <w:r>
              <w:rPr>
                <w:color w:val="000000"/>
                <w:sz w:val="20"/>
                <w:szCs w:val="20"/>
              </w:rPr>
              <w:t>  </w:t>
            </w:r>
          </w:p>
        </w:tc>
        <w:tc>
          <w:tcPr>
            <w:tcW w:w="1600" w:type="pct"/>
            <w:tcMar>
              <w:top w:w="5" w:type="dxa"/>
              <w:left w:w="5" w:type="dxa"/>
              <w:bottom w:w="5" w:type="dxa"/>
              <w:right w:w="5" w:type="dxa"/>
            </w:tcMar>
            <w:hideMark/>
          </w:tcPr>
          <w:p w14:paraId="22CADF59" w14:textId="77777777" w:rsidR="008D7E3A" w:rsidRDefault="008D7E3A">
            <w:pPr>
              <w:jc w:val="center"/>
              <w:rPr>
                <w:color w:val="000000"/>
                <w:sz w:val="20"/>
                <w:szCs w:val="20"/>
              </w:rPr>
            </w:pPr>
            <w:r>
              <w:rPr>
                <w:b/>
                <w:bCs/>
                <w:color w:val="000000"/>
                <w:sz w:val="20"/>
                <w:szCs w:val="20"/>
              </w:rPr>
              <w:t>(Commission File No.)</w:t>
            </w:r>
          </w:p>
        </w:tc>
        <w:tc>
          <w:tcPr>
            <w:tcW w:w="100" w:type="pct"/>
            <w:tcMar>
              <w:top w:w="5" w:type="dxa"/>
              <w:left w:w="5" w:type="dxa"/>
              <w:bottom w:w="5" w:type="dxa"/>
              <w:right w:w="5" w:type="dxa"/>
            </w:tcMar>
            <w:vAlign w:val="bottom"/>
            <w:hideMark/>
          </w:tcPr>
          <w:p w14:paraId="5BE72CCD" w14:textId="77777777" w:rsidR="008D7E3A" w:rsidRDefault="008D7E3A">
            <w:pPr>
              <w:rPr>
                <w:color w:val="000000"/>
                <w:sz w:val="20"/>
                <w:szCs w:val="20"/>
              </w:rPr>
            </w:pPr>
            <w:r>
              <w:rPr>
                <w:color w:val="000000"/>
                <w:sz w:val="20"/>
                <w:szCs w:val="20"/>
              </w:rPr>
              <w:t>  </w:t>
            </w:r>
          </w:p>
        </w:tc>
        <w:tc>
          <w:tcPr>
            <w:tcW w:w="1600" w:type="pct"/>
            <w:tcMar>
              <w:top w:w="5" w:type="dxa"/>
              <w:left w:w="5" w:type="dxa"/>
              <w:bottom w:w="5" w:type="dxa"/>
              <w:right w:w="5" w:type="dxa"/>
            </w:tcMar>
            <w:hideMark/>
          </w:tcPr>
          <w:p w14:paraId="4EAE9BA6" w14:textId="77777777" w:rsidR="008D7E3A" w:rsidRDefault="008D7E3A">
            <w:pPr>
              <w:jc w:val="center"/>
              <w:rPr>
                <w:color w:val="000000"/>
                <w:sz w:val="20"/>
                <w:szCs w:val="20"/>
              </w:rPr>
            </w:pPr>
            <w:r>
              <w:rPr>
                <w:b/>
                <w:bCs/>
                <w:color w:val="000000"/>
                <w:sz w:val="20"/>
                <w:szCs w:val="20"/>
              </w:rPr>
              <w:t>(IRS Employee Identification No.)</w:t>
            </w:r>
          </w:p>
        </w:tc>
      </w:tr>
    </w:tbl>
    <w:p w14:paraId="6698FA39" w14:textId="77777777" w:rsidR="008D7E3A" w:rsidRDefault="008D7E3A" w:rsidP="008D7E3A">
      <w:pPr>
        <w:ind w:left="144" w:right="144"/>
        <w:rPr>
          <w:sz w:val="20"/>
          <w:szCs w:val="20"/>
        </w:rPr>
      </w:pPr>
      <w:r>
        <w:rPr>
          <w:sz w:val="20"/>
          <w:szCs w:val="20"/>
        </w:rPr>
        <w:t> </w:t>
      </w:r>
    </w:p>
    <w:p w14:paraId="15C44742" w14:textId="631287AB" w:rsidR="008D7E3A" w:rsidRDefault="008D7E3A" w:rsidP="008D7E3A">
      <w:pPr>
        <w:ind w:left="144" w:right="144"/>
        <w:jc w:val="center"/>
        <w:rPr>
          <w:sz w:val="20"/>
          <w:szCs w:val="20"/>
        </w:rPr>
      </w:pPr>
      <w:r>
        <w:rPr>
          <w:b/>
          <w:bCs/>
          <w:sz w:val="20"/>
          <w:szCs w:val="20"/>
        </w:rPr>
        <w:t>19</w:t>
      </w:r>
      <w:r w:rsidR="00FA53E4">
        <w:rPr>
          <w:b/>
          <w:bCs/>
          <w:sz w:val="20"/>
          <w:szCs w:val="20"/>
        </w:rPr>
        <w:t>55</w:t>
      </w:r>
      <w:r>
        <w:rPr>
          <w:b/>
          <w:bCs/>
          <w:sz w:val="20"/>
          <w:szCs w:val="20"/>
        </w:rPr>
        <w:t xml:space="preserve"> Lake Park Drive, Suite 3</w:t>
      </w:r>
      <w:r w:rsidR="00FA53E4">
        <w:rPr>
          <w:b/>
          <w:bCs/>
          <w:sz w:val="20"/>
          <w:szCs w:val="20"/>
        </w:rPr>
        <w:t>00</w:t>
      </w:r>
    </w:p>
    <w:p w14:paraId="25EE6DB2" w14:textId="77777777" w:rsidR="008D7E3A" w:rsidRDefault="008D7E3A" w:rsidP="008D7E3A">
      <w:pPr>
        <w:ind w:left="144" w:right="144"/>
        <w:jc w:val="center"/>
        <w:rPr>
          <w:sz w:val="20"/>
          <w:szCs w:val="20"/>
        </w:rPr>
      </w:pPr>
      <w:r>
        <w:rPr>
          <w:b/>
          <w:bCs/>
          <w:sz w:val="20"/>
          <w:szCs w:val="20"/>
        </w:rPr>
        <w:t>Smyrna, Georgia 30080</w:t>
      </w:r>
    </w:p>
    <w:p w14:paraId="46F2FA6A" w14:textId="77777777" w:rsidR="008D7E3A" w:rsidRDefault="008D7E3A" w:rsidP="008D7E3A">
      <w:pPr>
        <w:ind w:left="144" w:right="144"/>
        <w:jc w:val="center"/>
        <w:rPr>
          <w:sz w:val="20"/>
          <w:szCs w:val="20"/>
        </w:rPr>
      </w:pPr>
      <w:r>
        <w:rPr>
          <w:b/>
          <w:bCs/>
          <w:sz w:val="20"/>
          <w:szCs w:val="20"/>
        </w:rPr>
        <w:t>(Address of principal executive offices) (Zip code)</w:t>
      </w:r>
    </w:p>
    <w:p w14:paraId="727D898C" w14:textId="77777777" w:rsidR="008D7E3A" w:rsidRDefault="008D7E3A" w:rsidP="008D7E3A">
      <w:pPr>
        <w:ind w:left="144" w:right="144"/>
        <w:rPr>
          <w:sz w:val="20"/>
          <w:szCs w:val="20"/>
        </w:rPr>
      </w:pPr>
      <w:r>
        <w:rPr>
          <w:sz w:val="20"/>
          <w:szCs w:val="20"/>
        </w:rPr>
        <w:t> </w:t>
      </w:r>
    </w:p>
    <w:p w14:paraId="5512C648" w14:textId="77777777" w:rsidR="008D7E3A" w:rsidRDefault="008D7E3A" w:rsidP="008D7E3A">
      <w:pPr>
        <w:ind w:left="144" w:right="144"/>
        <w:jc w:val="center"/>
        <w:rPr>
          <w:sz w:val="20"/>
          <w:szCs w:val="20"/>
        </w:rPr>
      </w:pPr>
      <w:r>
        <w:rPr>
          <w:b/>
          <w:bCs/>
          <w:sz w:val="20"/>
          <w:szCs w:val="20"/>
        </w:rPr>
        <w:t>(678) 384-7220</w:t>
      </w:r>
    </w:p>
    <w:p w14:paraId="4C4D8CE6" w14:textId="77777777" w:rsidR="008D7E3A" w:rsidRDefault="008D7E3A" w:rsidP="008D7E3A">
      <w:pPr>
        <w:ind w:left="144" w:right="144"/>
        <w:jc w:val="center"/>
        <w:rPr>
          <w:sz w:val="20"/>
          <w:szCs w:val="20"/>
        </w:rPr>
      </w:pPr>
      <w:r>
        <w:rPr>
          <w:b/>
          <w:bCs/>
          <w:sz w:val="20"/>
          <w:szCs w:val="20"/>
        </w:rPr>
        <w:t>(Registrant’s telephone number, including area code)</w:t>
      </w:r>
    </w:p>
    <w:p w14:paraId="56233E1A" w14:textId="77777777" w:rsidR="008D7E3A" w:rsidRDefault="008D7E3A" w:rsidP="008D7E3A">
      <w:pPr>
        <w:ind w:left="144" w:right="144"/>
        <w:rPr>
          <w:sz w:val="20"/>
          <w:szCs w:val="20"/>
        </w:rPr>
      </w:pPr>
      <w:r>
        <w:rPr>
          <w:sz w:val="20"/>
          <w:szCs w:val="20"/>
        </w:rPr>
        <w:t>  </w:t>
      </w:r>
    </w:p>
    <w:p w14:paraId="21125087" w14:textId="77777777" w:rsidR="008D7E3A" w:rsidRDefault="008D7E3A" w:rsidP="008D7E3A">
      <w:pPr>
        <w:ind w:left="144" w:right="144"/>
        <w:rPr>
          <w:sz w:val="20"/>
          <w:szCs w:val="20"/>
        </w:rPr>
      </w:pPr>
      <w:r>
        <w:rPr>
          <w:sz w:val="20"/>
          <w:szCs w:val="20"/>
        </w:rPr>
        <w:t>Check the appropriate box below if the Form 8-K filing is intended to simultaneously satisfy the filing obligation of the Registrant under any of the following provisions.</w:t>
      </w:r>
    </w:p>
    <w:p w14:paraId="56A7FFCB" w14:textId="77777777" w:rsidR="008D7E3A" w:rsidRDefault="008D7E3A" w:rsidP="008D7E3A">
      <w:pPr>
        <w:ind w:left="144" w:right="144"/>
        <w:rPr>
          <w:sz w:val="20"/>
          <w:szCs w:val="20"/>
        </w:rPr>
      </w:pPr>
      <w:r>
        <w:rPr>
          <w:sz w:val="20"/>
          <w:szCs w:val="20"/>
        </w:rPr>
        <w:t> </w:t>
      </w:r>
    </w:p>
    <w:p w14:paraId="060CE3CB" w14:textId="77777777" w:rsidR="008D7E3A" w:rsidRDefault="008D7E3A" w:rsidP="008D7E3A">
      <w:pPr>
        <w:ind w:left="144" w:right="144"/>
        <w:rPr>
          <w:sz w:val="20"/>
          <w:szCs w:val="20"/>
        </w:rPr>
      </w:pPr>
      <w:r>
        <w:rPr>
          <w:rFonts w:ascii="Segoe UI Symbol" w:eastAsia="Segoe UI Symbol" w:hAnsi="Segoe UI Symbol" w:cs="Segoe UI Symbol"/>
          <w:sz w:val="20"/>
          <w:szCs w:val="20"/>
        </w:rPr>
        <w:t>☐</w:t>
      </w:r>
      <w:r>
        <w:rPr>
          <w:sz w:val="20"/>
          <w:szCs w:val="20"/>
        </w:rPr>
        <w:t> Written communications pursuant to Rule 425 under the Securities Act (17 CFR 230.425)</w:t>
      </w:r>
    </w:p>
    <w:p w14:paraId="378B9C71" w14:textId="77777777" w:rsidR="008D7E3A" w:rsidRDefault="008D7E3A" w:rsidP="008D7E3A">
      <w:pPr>
        <w:ind w:left="144" w:right="144"/>
        <w:rPr>
          <w:sz w:val="20"/>
          <w:szCs w:val="20"/>
        </w:rPr>
      </w:pPr>
      <w:r>
        <w:rPr>
          <w:sz w:val="20"/>
          <w:szCs w:val="20"/>
        </w:rPr>
        <w:t> </w:t>
      </w:r>
    </w:p>
    <w:p w14:paraId="01FD6FA6" w14:textId="77777777" w:rsidR="008D7E3A" w:rsidRDefault="008D7E3A" w:rsidP="008D7E3A">
      <w:pPr>
        <w:ind w:left="144" w:right="144"/>
        <w:rPr>
          <w:sz w:val="20"/>
          <w:szCs w:val="20"/>
        </w:rPr>
      </w:pPr>
      <w:r>
        <w:rPr>
          <w:rFonts w:ascii="Segoe UI Symbol" w:eastAsia="Segoe UI Symbol" w:hAnsi="Segoe UI Symbol" w:cs="Segoe UI Symbol"/>
          <w:sz w:val="20"/>
          <w:szCs w:val="20"/>
        </w:rPr>
        <w:t>☐</w:t>
      </w:r>
      <w:r>
        <w:rPr>
          <w:sz w:val="20"/>
          <w:szCs w:val="20"/>
        </w:rPr>
        <w:t xml:space="preserve"> Soliciting material pursuant to Rule 14a-12 under the Exchange Act (17 CFR240.14a-12)</w:t>
      </w:r>
    </w:p>
    <w:p w14:paraId="72B0E98D" w14:textId="77777777" w:rsidR="008D7E3A" w:rsidRDefault="008D7E3A" w:rsidP="008D7E3A">
      <w:pPr>
        <w:ind w:left="144" w:right="144"/>
        <w:rPr>
          <w:sz w:val="20"/>
          <w:szCs w:val="20"/>
        </w:rPr>
      </w:pPr>
      <w:r>
        <w:rPr>
          <w:sz w:val="20"/>
          <w:szCs w:val="20"/>
        </w:rPr>
        <w:t> </w:t>
      </w:r>
    </w:p>
    <w:p w14:paraId="07FCB38D" w14:textId="77777777" w:rsidR="008D7E3A" w:rsidRDefault="008D7E3A" w:rsidP="008D7E3A">
      <w:pPr>
        <w:ind w:left="144" w:right="144"/>
        <w:rPr>
          <w:sz w:val="20"/>
          <w:szCs w:val="20"/>
        </w:rPr>
      </w:pPr>
      <w:r>
        <w:rPr>
          <w:rFonts w:ascii="Segoe UI Symbol" w:eastAsia="Segoe UI Symbol" w:hAnsi="Segoe UI Symbol" w:cs="Segoe UI Symbol"/>
          <w:sz w:val="20"/>
          <w:szCs w:val="20"/>
        </w:rPr>
        <w:t>☐</w:t>
      </w:r>
      <w:r>
        <w:rPr>
          <w:sz w:val="20"/>
          <w:szCs w:val="20"/>
        </w:rPr>
        <w:t xml:space="preserve"> </w:t>
      </w:r>
      <w:proofErr w:type="gramStart"/>
      <w:r>
        <w:rPr>
          <w:sz w:val="20"/>
          <w:szCs w:val="20"/>
        </w:rPr>
        <w:t>Pre-commencement</w:t>
      </w:r>
      <w:proofErr w:type="gramEnd"/>
      <w:r>
        <w:rPr>
          <w:sz w:val="20"/>
          <w:szCs w:val="20"/>
        </w:rPr>
        <w:t xml:space="preserve"> communications pursuant to Rule 14d-2(b) under the Exchange Act (17 CFR 240.14d-2(b)).</w:t>
      </w:r>
    </w:p>
    <w:p w14:paraId="0480CCDE" w14:textId="77777777" w:rsidR="008D7E3A" w:rsidRDefault="008D7E3A" w:rsidP="008D7E3A">
      <w:pPr>
        <w:ind w:left="144" w:right="144"/>
        <w:rPr>
          <w:sz w:val="20"/>
          <w:szCs w:val="20"/>
        </w:rPr>
      </w:pPr>
      <w:r>
        <w:rPr>
          <w:sz w:val="20"/>
          <w:szCs w:val="20"/>
        </w:rPr>
        <w:t> </w:t>
      </w:r>
    </w:p>
    <w:p w14:paraId="5C400D4E" w14:textId="77777777" w:rsidR="008D7E3A" w:rsidRDefault="008D7E3A" w:rsidP="008D7E3A">
      <w:pPr>
        <w:ind w:left="144" w:right="144"/>
        <w:rPr>
          <w:sz w:val="20"/>
          <w:szCs w:val="20"/>
        </w:rPr>
      </w:pPr>
      <w:r>
        <w:rPr>
          <w:rFonts w:ascii="Segoe UI Symbol" w:eastAsia="Segoe UI Symbol" w:hAnsi="Segoe UI Symbol" w:cs="Segoe UI Symbol"/>
          <w:sz w:val="20"/>
          <w:szCs w:val="20"/>
        </w:rPr>
        <w:t>☐</w:t>
      </w:r>
      <w:r>
        <w:rPr>
          <w:sz w:val="20"/>
          <w:szCs w:val="20"/>
        </w:rPr>
        <w:t xml:space="preserve"> </w:t>
      </w:r>
      <w:proofErr w:type="gramStart"/>
      <w:r>
        <w:rPr>
          <w:sz w:val="20"/>
          <w:szCs w:val="20"/>
        </w:rPr>
        <w:t>Pre-commencement</w:t>
      </w:r>
      <w:proofErr w:type="gramEnd"/>
      <w:r>
        <w:rPr>
          <w:sz w:val="20"/>
          <w:szCs w:val="20"/>
        </w:rPr>
        <w:t xml:space="preserve"> communications pursuant to Rule 13e-4(c) under the Exchange Act (17 CFR 240.13(e)-4(c))</w:t>
      </w:r>
    </w:p>
    <w:p w14:paraId="204B4D11" w14:textId="77777777" w:rsidR="008D7E3A" w:rsidRDefault="008D7E3A" w:rsidP="008D7E3A">
      <w:pPr>
        <w:ind w:left="144" w:right="144"/>
        <w:rPr>
          <w:sz w:val="20"/>
          <w:szCs w:val="20"/>
        </w:rPr>
      </w:pPr>
      <w:r>
        <w:rPr>
          <w:sz w:val="20"/>
          <w:szCs w:val="20"/>
        </w:rPr>
        <w:t> </w:t>
      </w:r>
    </w:p>
    <w:p w14:paraId="03D855F4" w14:textId="77777777" w:rsidR="008D7E3A" w:rsidRDefault="008D7E3A" w:rsidP="008D7E3A">
      <w:pPr>
        <w:ind w:left="144" w:right="144"/>
        <w:rPr>
          <w:sz w:val="20"/>
          <w:szCs w:val="20"/>
        </w:rPr>
      </w:pPr>
      <w:r>
        <w:rPr>
          <w:sz w:val="20"/>
          <w:szCs w:val="20"/>
        </w:rPr>
        <w:t>Securities registered pursuant to Section 12(b) of the Act:</w:t>
      </w:r>
    </w:p>
    <w:p w14:paraId="1D661DC7" w14:textId="77777777" w:rsidR="008D7E3A" w:rsidRDefault="008D7E3A" w:rsidP="008D7E3A">
      <w:pPr>
        <w:ind w:left="144" w:right="144"/>
        <w:rPr>
          <w:sz w:val="20"/>
          <w:szCs w:val="20"/>
        </w:rPr>
      </w:pPr>
      <w:r>
        <w:rPr>
          <w:sz w:val="20"/>
          <w:szCs w:val="20"/>
        </w:rPr>
        <w:t> </w:t>
      </w:r>
    </w:p>
    <w:tbl>
      <w:tblPr>
        <w:tblW w:w="4995" w:type="pct"/>
        <w:tblInd w:w="149" w:type="dxa"/>
        <w:tblCellMar>
          <w:left w:w="0" w:type="dxa"/>
          <w:right w:w="0" w:type="dxa"/>
        </w:tblCellMar>
        <w:tblLook w:val="04A0" w:firstRow="1" w:lastRow="0" w:firstColumn="1" w:lastColumn="0" w:noHBand="0" w:noVBand="1"/>
      </w:tblPr>
      <w:tblGrid>
        <w:gridCol w:w="4424"/>
        <w:gridCol w:w="1942"/>
        <w:gridCol w:w="4423"/>
      </w:tblGrid>
      <w:tr w:rsidR="008D7E3A" w14:paraId="27B326FD" w14:textId="77777777" w:rsidTr="008D7E3A">
        <w:tc>
          <w:tcPr>
            <w:tcW w:w="2050" w:type="pct"/>
            <w:tcBorders>
              <w:top w:val="nil"/>
              <w:left w:val="nil"/>
              <w:bottom w:val="single" w:sz="6" w:space="0" w:color="000000"/>
              <w:right w:val="nil"/>
            </w:tcBorders>
            <w:tcMar>
              <w:top w:w="5" w:type="dxa"/>
              <w:left w:w="5" w:type="dxa"/>
              <w:bottom w:w="8" w:type="dxa"/>
              <w:right w:w="5" w:type="dxa"/>
            </w:tcMar>
            <w:vAlign w:val="bottom"/>
            <w:hideMark/>
          </w:tcPr>
          <w:p w14:paraId="71910E3E" w14:textId="77777777" w:rsidR="008D7E3A" w:rsidRDefault="008D7E3A">
            <w:pPr>
              <w:jc w:val="center"/>
              <w:rPr>
                <w:color w:val="000000"/>
                <w:sz w:val="20"/>
                <w:szCs w:val="20"/>
              </w:rPr>
            </w:pPr>
            <w:r>
              <w:rPr>
                <w:color w:val="000000"/>
                <w:sz w:val="20"/>
                <w:szCs w:val="20"/>
              </w:rPr>
              <w:t>Title of each class</w:t>
            </w:r>
          </w:p>
        </w:tc>
        <w:tc>
          <w:tcPr>
            <w:tcW w:w="900" w:type="pct"/>
            <w:tcBorders>
              <w:top w:val="nil"/>
              <w:left w:val="nil"/>
              <w:bottom w:val="single" w:sz="6" w:space="0" w:color="000000"/>
              <w:right w:val="nil"/>
            </w:tcBorders>
            <w:tcMar>
              <w:top w:w="5" w:type="dxa"/>
              <w:left w:w="5" w:type="dxa"/>
              <w:bottom w:w="8" w:type="dxa"/>
              <w:right w:w="5" w:type="dxa"/>
            </w:tcMar>
            <w:vAlign w:val="bottom"/>
            <w:hideMark/>
          </w:tcPr>
          <w:p w14:paraId="64DC4E24" w14:textId="77777777" w:rsidR="008D7E3A" w:rsidRDefault="008D7E3A">
            <w:pPr>
              <w:jc w:val="center"/>
              <w:rPr>
                <w:color w:val="000000"/>
                <w:sz w:val="20"/>
                <w:szCs w:val="20"/>
              </w:rPr>
            </w:pPr>
            <w:r>
              <w:rPr>
                <w:color w:val="000000"/>
                <w:sz w:val="20"/>
                <w:szCs w:val="20"/>
              </w:rPr>
              <w:t>Trading</w:t>
            </w:r>
          </w:p>
          <w:p w14:paraId="72AEB163" w14:textId="77777777" w:rsidR="008D7E3A" w:rsidRDefault="008D7E3A">
            <w:pPr>
              <w:jc w:val="center"/>
              <w:rPr>
                <w:color w:val="000000"/>
                <w:sz w:val="20"/>
                <w:szCs w:val="20"/>
              </w:rPr>
            </w:pPr>
            <w:r>
              <w:rPr>
                <w:color w:val="000000"/>
                <w:sz w:val="20"/>
                <w:szCs w:val="20"/>
              </w:rPr>
              <w:t>Symbol(s)</w:t>
            </w:r>
          </w:p>
        </w:tc>
        <w:tc>
          <w:tcPr>
            <w:tcW w:w="2050" w:type="pct"/>
            <w:tcBorders>
              <w:top w:val="nil"/>
              <w:left w:val="nil"/>
              <w:bottom w:val="single" w:sz="6" w:space="0" w:color="000000"/>
              <w:right w:val="nil"/>
            </w:tcBorders>
            <w:tcMar>
              <w:top w:w="5" w:type="dxa"/>
              <w:left w:w="5" w:type="dxa"/>
              <w:bottom w:w="8" w:type="dxa"/>
              <w:right w:w="5" w:type="dxa"/>
            </w:tcMar>
            <w:vAlign w:val="bottom"/>
            <w:hideMark/>
          </w:tcPr>
          <w:p w14:paraId="32D81BE6" w14:textId="77777777" w:rsidR="008D7E3A" w:rsidRDefault="008D7E3A">
            <w:pPr>
              <w:jc w:val="center"/>
              <w:rPr>
                <w:color w:val="000000"/>
                <w:sz w:val="20"/>
                <w:szCs w:val="20"/>
              </w:rPr>
            </w:pPr>
            <w:r>
              <w:rPr>
                <w:color w:val="000000"/>
                <w:sz w:val="20"/>
                <w:szCs w:val="20"/>
              </w:rPr>
              <w:t>Name of each exchange on which registered</w:t>
            </w:r>
          </w:p>
        </w:tc>
      </w:tr>
      <w:tr w:rsidR="008D7E3A" w14:paraId="1A046CA1" w14:textId="77777777" w:rsidTr="008D7E3A">
        <w:tc>
          <w:tcPr>
            <w:tcW w:w="2050" w:type="pct"/>
            <w:tcMar>
              <w:top w:w="5" w:type="dxa"/>
              <w:left w:w="5" w:type="dxa"/>
              <w:bottom w:w="5" w:type="dxa"/>
              <w:right w:w="5" w:type="dxa"/>
            </w:tcMar>
            <w:vAlign w:val="center"/>
            <w:hideMark/>
          </w:tcPr>
          <w:p w14:paraId="1EEB88FC" w14:textId="77777777" w:rsidR="008D7E3A" w:rsidRDefault="008D7E3A">
            <w:pPr>
              <w:jc w:val="center"/>
              <w:rPr>
                <w:color w:val="000000"/>
                <w:sz w:val="20"/>
                <w:szCs w:val="20"/>
              </w:rPr>
            </w:pPr>
            <w:r>
              <w:rPr>
                <w:color w:val="000000"/>
                <w:sz w:val="20"/>
                <w:szCs w:val="20"/>
              </w:rPr>
              <w:t>Common Stock, par value $0.001 per share</w:t>
            </w:r>
          </w:p>
        </w:tc>
        <w:tc>
          <w:tcPr>
            <w:tcW w:w="900" w:type="pct"/>
            <w:tcMar>
              <w:top w:w="5" w:type="dxa"/>
              <w:left w:w="5" w:type="dxa"/>
              <w:bottom w:w="5" w:type="dxa"/>
              <w:right w:w="5" w:type="dxa"/>
            </w:tcMar>
            <w:vAlign w:val="center"/>
            <w:hideMark/>
          </w:tcPr>
          <w:p w14:paraId="4CF2F38D" w14:textId="77777777" w:rsidR="008D7E3A" w:rsidRDefault="008D7E3A">
            <w:pPr>
              <w:jc w:val="center"/>
              <w:rPr>
                <w:color w:val="000000"/>
                <w:sz w:val="20"/>
                <w:szCs w:val="20"/>
              </w:rPr>
            </w:pPr>
            <w:r>
              <w:rPr>
                <w:color w:val="000000"/>
                <w:sz w:val="20"/>
                <w:szCs w:val="20"/>
              </w:rPr>
              <w:t>GOVX</w:t>
            </w:r>
          </w:p>
        </w:tc>
        <w:tc>
          <w:tcPr>
            <w:tcW w:w="2050" w:type="pct"/>
            <w:tcMar>
              <w:top w:w="5" w:type="dxa"/>
              <w:left w:w="5" w:type="dxa"/>
              <w:bottom w:w="5" w:type="dxa"/>
              <w:right w:w="5" w:type="dxa"/>
            </w:tcMar>
            <w:vAlign w:val="center"/>
            <w:hideMark/>
          </w:tcPr>
          <w:p w14:paraId="1F76576B" w14:textId="77777777" w:rsidR="008D7E3A" w:rsidRDefault="008D7E3A">
            <w:pPr>
              <w:jc w:val="center"/>
              <w:rPr>
                <w:color w:val="000000"/>
                <w:sz w:val="20"/>
                <w:szCs w:val="20"/>
              </w:rPr>
            </w:pPr>
            <w:r>
              <w:rPr>
                <w:color w:val="000000"/>
                <w:sz w:val="20"/>
                <w:szCs w:val="20"/>
              </w:rPr>
              <w:t>The Nasdaq Capital Market</w:t>
            </w:r>
          </w:p>
        </w:tc>
      </w:tr>
    </w:tbl>
    <w:p w14:paraId="6C7667D3" w14:textId="77777777" w:rsidR="008D7E3A" w:rsidRDefault="008D7E3A" w:rsidP="008D7E3A">
      <w:pPr>
        <w:ind w:left="144" w:right="144"/>
        <w:rPr>
          <w:sz w:val="20"/>
          <w:szCs w:val="20"/>
        </w:rPr>
      </w:pPr>
      <w:r>
        <w:rPr>
          <w:sz w:val="20"/>
          <w:szCs w:val="20"/>
        </w:rPr>
        <w:t> </w:t>
      </w:r>
    </w:p>
    <w:p w14:paraId="157A0BCE" w14:textId="77777777" w:rsidR="008D7E3A" w:rsidRDefault="008D7E3A" w:rsidP="008D7E3A">
      <w:pPr>
        <w:ind w:left="144" w:right="144"/>
        <w:rPr>
          <w:sz w:val="20"/>
          <w:szCs w:val="20"/>
        </w:rPr>
      </w:pPr>
      <w:r>
        <w:rPr>
          <w:sz w:val="20"/>
          <w:szCs w:val="20"/>
        </w:rPr>
        <w:t>Indicate by check mark whether the Registrant is an emerging growth company as defined in Rule 405 of the Securities Act of 1933 (Section 230.405 of this chapter) or Rule 12b-2 of the Securities Exchange Act of 1934 (Section 240.12b-2 of this chapter).</w:t>
      </w:r>
    </w:p>
    <w:p w14:paraId="0623A4F2" w14:textId="77777777" w:rsidR="008D7E3A" w:rsidRDefault="008D7E3A" w:rsidP="008D7E3A">
      <w:pPr>
        <w:ind w:left="144" w:right="144"/>
        <w:rPr>
          <w:sz w:val="20"/>
          <w:szCs w:val="20"/>
        </w:rPr>
      </w:pPr>
      <w:r>
        <w:rPr>
          <w:sz w:val="20"/>
          <w:szCs w:val="20"/>
        </w:rPr>
        <w:t xml:space="preserve">Emerging growth company </w:t>
      </w:r>
      <w:r>
        <w:rPr>
          <w:rFonts w:ascii="Segoe UI Symbol" w:eastAsia="Segoe UI Symbol" w:hAnsi="Segoe UI Symbol" w:cs="Segoe UI Symbol"/>
          <w:sz w:val="20"/>
          <w:szCs w:val="20"/>
        </w:rPr>
        <w:t>☐</w:t>
      </w:r>
    </w:p>
    <w:p w14:paraId="207B99DA" w14:textId="77777777" w:rsidR="008D7E3A" w:rsidRDefault="008D7E3A" w:rsidP="008D7E3A">
      <w:pPr>
        <w:ind w:left="144" w:right="144"/>
        <w:rPr>
          <w:sz w:val="20"/>
          <w:szCs w:val="20"/>
        </w:rPr>
      </w:pPr>
      <w:r>
        <w:rPr>
          <w:sz w:val="20"/>
          <w:szCs w:val="20"/>
        </w:rPr>
        <w:t> </w:t>
      </w:r>
    </w:p>
    <w:p w14:paraId="40CA140A" w14:textId="77777777" w:rsidR="008D7E3A" w:rsidRDefault="008D7E3A" w:rsidP="008D7E3A">
      <w:pPr>
        <w:ind w:left="144" w:right="144"/>
        <w:rPr>
          <w:sz w:val="20"/>
          <w:szCs w:val="20"/>
        </w:rPr>
      </w:pPr>
      <w:r>
        <w:rPr>
          <w:sz w:val="20"/>
          <w:szCs w:val="20"/>
        </w:rPr>
        <w:t xml:space="preserve">If an emerging growth company, indicate by check mark if the Registrant has elected not to use the extended transition period for complying with any new or revised financial reporting standards provided pursuant to Section 13(a) of the Exchange Act. </w:t>
      </w:r>
      <w:r>
        <w:rPr>
          <w:rFonts w:ascii="Segoe UI Symbol" w:eastAsia="Segoe UI Symbol" w:hAnsi="Segoe UI Symbol" w:cs="Segoe UI Symbol"/>
          <w:sz w:val="20"/>
          <w:szCs w:val="20"/>
        </w:rPr>
        <w:t>☐</w:t>
      </w:r>
    </w:p>
    <w:p w14:paraId="236FA74A" w14:textId="77777777" w:rsidR="008D7E3A" w:rsidRDefault="008D7E3A" w:rsidP="008D7E3A">
      <w:pPr>
        <w:ind w:left="144" w:right="144"/>
        <w:rPr>
          <w:sz w:val="20"/>
          <w:szCs w:val="20"/>
        </w:rPr>
      </w:pPr>
      <w:r>
        <w:rPr>
          <w:sz w:val="20"/>
          <w:szCs w:val="20"/>
        </w:rPr>
        <w:t> </w:t>
      </w:r>
    </w:p>
    <w:p w14:paraId="6E3CCEA3" w14:textId="150B75E9" w:rsidR="003F3DEB" w:rsidRDefault="008D7E3A" w:rsidP="009A7F45">
      <w:pPr>
        <w:ind w:left="144" w:right="144"/>
        <w:rPr>
          <w:sz w:val="20"/>
          <w:szCs w:val="20"/>
        </w:rPr>
      </w:pPr>
      <w:r>
        <w:rPr>
          <w:sz w:val="20"/>
          <w:szCs w:val="20"/>
        </w:rPr>
        <w:br w:type="page"/>
      </w:r>
    </w:p>
    <w:p w14:paraId="357A8194" w14:textId="062B9709" w:rsidR="003F3DEB" w:rsidRDefault="003F3DEB" w:rsidP="00241DEF">
      <w:pPr>
        <w:ind w:right="144"/>
        <w:rPr>
          <w:sz w:val="20"/>
          <w:szCs w:val="20"/>
        </w:rPr>
      </w:pPr>
    </w:p>
    <w:tbl>
      <w:tblPr>
        <w:tblW w:w="5000" w:type="pct"/>
        <w:tblCellSpacing w:w="0" w:type="dxa"/>
        <w:tblCellMar>
          <w:left w:w="0" w:type="dxa"/>
          <w:right w:w="0" w:type="dxa"/>
        </w:tblCellMar>
        <w:tblLook w:val="04A0" w:firstRow="1" w:lastRow="0" w:firstColumn="1" w:lastColumn="0" w:noHBand="0" w:noVBand="1"/>
      </w:tblPr>
      <w:tblGrid>
        <w:gridCol w:w="1897"/>
        <w:gridCol w:w="8903"/>
      </w:tblGrid>
      <w:tr w:rsidR="009A7F45" w:rsidRPr="009A7F45" w14:paraId="3320DFF5" w14:textId="77777777" w:rsidTr="00B6565E">
        <w:trPr>
          <w:cantSplit/>
          <w:tblCellSpacing w:w="0" w:type="dxa"/>
        </w:trPr>
        <w:tc>
          <w:tcPr>
            <w:tcW w:w="0" w:type="auto"/>
            <w:tcMar>
              <w:top w:w="0" w:type="dxa"/>
              <w:left w:w="0" w:type="dxa"/>
              <w:bottom w:w="0" w:type="dxa"/>
              <w:right w:w="0" w:type="dxa"/>
            </w:tcMar>
            <w:hideMark/>
          </w:tcPr>
          <w:p w14:paraId="712168D4" w14:textId="77777777" w:rsidR="009A7F45" w:rsidRPr="009A7F45" w:rsidRDefault="009A7F45" w:rsidP="009A7F45">
            <w:pPr>
              <w:rPr>
                <w:color w:val="000000"/>
                <w:sz w:val="20"/>
                <w:szCs w:val="20"/>
              </w:rPr>
            </w:pPr>
            <w:r w:rsidRPr="009A7F45">
              <w:rPr>
                <w:b/>
                <w:bCs/>
                <w:color w:val="000000"/>
                <w:sz w:val="20"/>
                <w:szCs w:val="20"/>
              </w:rPr>
              <w:t xml:space="preserve">Item 1.01 </w:t>
            </w:r>
          </w:p>
        </w:tc>
        <w:tc>
          <w:tcPr>
            <w:tcW w:w="0" w:type="auto"/>
            <w:tcMar>
              <w:top w:w="0" w:type="dxa"/>
              <w:left w:w="0" w:type="dxa"/>
              <w:bottom w:w="0" w:type="dxa"/>
              <w:right w:w="0" w:type="dxa"/>
            </w:tcMar>
            <w:hideMark/>
          </w:tcPr>
          <w:p w14:paraId="29BF8367" w14:textId="77777777" w:rsidR="009A7F45" w:rsidRPr="009A7F45" w:rsidRDefault="009A7F45" w:rsidP="009A7F45">
            <w:pPr>
              <w:rPr>
                <w:color w:val="000000"/>
                <w:sz w:val="20"/>
                <w:szCs w:val="20"/>
              </w:rPr>
            </w:pPr>
            <w:r w:rsidRPr="009A7F45">
              <w:rPr>
                <w:b/>
                <w:bCs/>
                <w:color w:val="000000"/>
                <w:sz w:val="20"/>
                <w:szCs w:val="20"/>
              </w:rPr>
              <w:t>Entry into a Material Definitive Agreement.</w:t>
            </w:r>
          </w:p>
        </w:tc>
      </w:tr>
    </w:tbl>
    <w:p w14:paraId="0F3C962B" w14:textId="77777777" w:rsidR="009A7F45" w:rsidRPr="009A7F45" w:rsidRDefault="009A7F45" w:rsidP="009A7F45">
      <w:pPr>
        <w:pBdr>
          <w:left w:val="none" w:sz="0" w:space="7" w:color="auto"/>
          <w:right w:val="none" w:sz="0" w:space="7" w:color="auto"/>
        </w:pBdr>
        <w:rPr>
          <w:sz w:val="20"/>
          <w:szCs w:val="20"/>
        </w:rPr>
      </w:pPr>
      <w:r w:rsidRPr="009A7F45">
        <w:rPr>
          <w:sz w:val="20"/>
          <w:szCs w:val="20"/>
        </w:rPr>
        <w:t> </w:t>
      </w:r>
    </w:p>
    <w:p w14:paraId="2259B322" w14:textId="1172B62E" w:rsidR="009A7F45" w:rsidRPr="009A7F45" w:rsidRDefault="009A7F45" w:rsidP="009A7F45">
      <w:pPr>
        <w:pBdr>
          <w:left w:val="none" w:sz="0" w:space="7" w:color="auto"/>
          <w:right w:val="none" w:sz="0" w:space="7" w:color="auto"/>
        </w:pBdr>
        <w:jc w:val="both"/>
        <w:rPr>
          <w:sz w:val="20"/>
          <w:szCs w:val="20"/>
        </w:rPr>
      </w:pPr>
      <w:r w:rsidRPr="009A7F45">
        <w:rPr>
          <w:sz w:val="20"/>
          <w:szCs w:val="20"/>
        </w:rPr>
        <w:t>On May 7, 2026, GeoVax Labs Inc. (the “Company”), entered into common stock warrant exercise inducement offer letters (the “Inducement Letters”) with holders (the “Holders”) of existing warrants to purchase shares of the Company’s common stock</w:t>
      </w:r>
      <w:r w:rsidR="00B97324">
        <w:rPr>
          <w:sz w:val="20"/>
          <w:szCs w:val="20"/>
        </w:rPr>
        <w:t>, par value $0.001 per share (the “common stock”),</w:t>
      </w:r>
      <w:r w:rsidRPr="009A7F45">
        <w:rPr>
          <w:sz w:val="20"/>
          <w:szCs w:val="20"/>
        </w:rPr>
        <w:t xml:space="preserve"> issued on (i</w:t>
      </w:r>
      <w:r w:rsidRPr="009A7F45">
        <w:rPr>
          <w:color w:val="000000"/>
          <w:sz w:val="20"/>
          <w:szCs w:val="20"/>
        </w:rPr>
        <w:t xml:space="preserve">) September 30, 2025, which are exercisable for </w:t>
      </w:r>
      <w:r>
        <w:rPr>
          <w:color w:val="000000"/>
          <w:sz w:val="20"/>
          <w:szCs w:val="20"/>
        </w:rPr>
        <w:t>150,795</w:t>
      </w:r>
      <w:r w:rsidRPr="009A7F45">
        <w:rPr>
          <w:color w:val="000000"/>
          <w:sz w:val="20"/>
          <w:szCs w:val="20"/>
        </w:rPr>
        <w:t xml:space="preserve"> shares of common stock (the “September 2025 Warrants”), and (ii) December 22, 2025, which are exercisable for </w:t>
      </w:r>
      <w:r>
        <w:rPr>
          <w:color w:val="000000"/>
          <w:sz w:val="20"/>
          <w:szCs w:val="20"/>
        </w:rPr>
        <w:t>350,349</w:t>
      </w:r>
      <w:r w:rsidRPr="009A7F45">
        <w:rPr>
          <w:color w:val="000000"/>
          <w:sz w:val="20"/>
          <w:szCs w:val="20"/>
        </w:rPr>
        <w:t xml:space="preserve"> shares of common stock (the “December 2025 Warrants” and, together with the September 2025 Warrants, the “Exercised Warrants”)</w:t>
      </w:r>
      <w:r w:rsidRPr="009A7F45">
        <w:rPr>
          <w:sz w:val="20"/>
          <w:szCs w:val="20"/>
        </w:rPr>
        <w:t xml:space="preserve">, pursuant to which the Holders agreed to exercise for cash their Exercised Warrants to purchase an aggregate of 501,144 shares of the Company’s common stock in consideration for the Company’s agreement to issue new warrants (the “New Warrants”) to purchase an aggregate of up to 1,002,288 shares of the Company’s common stock (the “New Warrant Shares”) with an exercise price of $1.65 per share, exercisable on or after the date on which approval as may be required by the applicable rules and regulations of the Nasdaq Stock Market from the stockholders of the Company with respect to the exercise of the New Warrants and the issuance of all of the Warrant Shares upon exercise thereof and will expire five years following the date of issuance. The Company expects to receive aggregate gross proceeds of approximately $595,000 from the exercise of the Exercised Warrants by the Holders, before deducting financial advisor fees and </w:t>
      </w:r>
      <w:proofErr w:type="gramStart"/>
      <w:r w:rsidRPr="009A7F45">
        <w:rPr>
          <w:sz w:val="20"/>
          <w:szCs w:val="20"/>
        </w:rPr>
        <w:t>other offering</w:t>
      </w:r>
      <w:proofErr w:type="gramEnd"/>
      <w:r w:rsidRPr="009A7F45">
        <w:rPr>
          <w:sz w:val="20"/>
          <w:szCs w:val="20"/>
        </w:rPr>
        <w:t xml:space="preserve"> expenses payable by the Company. The New Warrants are substantially identical to the Exercised Warrants.</w:t>
      </w:r>
    </w:p>
    <w:p w14:paraId="6639EC13" w14:textId="77777777" w:rsidR="009A7F45" w:rsidRPr="009A7F45" w:rsidRDefault="009A7F45" w:rsidP="009A7F45">
      <w:pPr>
        <w:pBdr>
          <w:left w:val="none" w:sz="0" w:space="7" w:color="auto"/>
          <w:right w:val="none" w:sz="0" w:space="7" w:color="auto"/>
        </w:pBdr>
        <w:rPr>
          <w:sz w:val="20"/>
          <w:szCs w:val="20"/>
        </w:rPr>
      </w:pPr>
      <w:r w:rsidRPr="009A7F45">
        <w:rPr>
          <w:sz w:val="20"/>
          <w:szCs w:val="20"/>
        </w:rPr>
        <w:t> </w:t>
      </w:r>
    </w:p>
    <w:p w14:paraId="5722951B" w14:textId="19E1B094" w:rsidR="009A7F45" w:rsidRPr="009A7F45" w:rsidRDefault="009A7F45" w:rsidP="009A7F45">
      <w:pPr>
        <w:pBdr>
          <w:left w:val="none" w:sz="0" w:space="7" w:color="auto"/>
          <w:right w:val="none" w:sz="0" w:space="7" w:color="auto"/>
        </w:pBdr>
        <w:jc w:val="both"/>
        <w:rPr>
          <w:sz w:val="20"/>
          <w:szCs w:val="20"/>
        </w:rPr>
      </w:pPr>
      <w:r w:rsidRPr="009A7F45">
        <w:rPr>
          <w:sz w:val="20"/>
          <w:szCs w:val="20"/>
        </w:rPr>
        <w:t xml:space="preserve">The Company engaged A.G.P./Alliance Global </w:t>
      </w:r>
      <w:proofErr w:type="gramStart"/>
      <w:r w:rsidRPr="009A7F45">
        <w:rPr>
          <w:sz w:val="20"/>
          <w:szCs w:val="20"/>
        </w:rPr>
        <w:t>Partners (“AGP”)</w:t>
      </w:r>
      <w:proofErr w:type="gramEnd"/>
      <w:r w:rsidRPr="009A7F45">
        <w:rPr>
          <w:sz w:val="20"/>
          <w:szCs w:val="20"/>
        </w:rPr>
        <w:t xml:space="preserve"> to act as its exclusive financial advisor in connection with the transactions summarized above and will pay AGP a cash fee equal to 7.0% of the gross proceeds received from the exercise of the Exercised Warrants. The Company also agreed to reimburse AGP up to $40,000 for its accountable legal expenses in connection with the transaction. The issuance of the New Warrants is expected to occur on May 8, 2026 (the “Closing Date”), subject to satisfaction of customary closing conditions. We expect to use the net proceeds from these transactions for general corporate purposes. The Company has agreed that the Holders shall have the option to exercise the remaining balance of the Exercised Warrants for additional shares of common stock of the Company based on the terms of the Inducement Letters within 12 days from the Closing Date.</w:t>
      </w:r>
    </w:p>
    <w:p w14:paraId="64BEFE7B" w14:textId="77777777" w:rsidR="009A7F45" w:rsidRPr="009A7F45" w:rsidRDefault="009A7F45" w:rsidP="009A7F45">
      <w:pPr>
        <w:pBdr>
          <w:left w:val="none" w:sz="0" w:space="7" w:color="auto"/>
          <w:right w:val="none" w:sz="0" w:space="7" w:color="auto"/>
        </w:pBdr>
        <w:rPr>
          <w:sz w:val="20"/>
          <w:szCs w:val="20"/>
        </w:rPr>
      </w:pPr>
      <w:r w:rsidRPr="009A7F45">
        <w:rPr>
          <w:sz w:val="20"/>
          <w:szCs w:val="20"/>
        </w:rPr>
        <w:t> </w:t>
      </w:r>
    </w:p>
    <w:p w14:paraId="0E358E14" w14:textId="77777777" w:rsidR="009A7F45" w:rsidRPr="009A7F45" w:rsidRDefault="009A7F45" w:rsidP="009A7F45">
      <w:pPr>
        <w:pBdr>
          <w:left w:val="none" w:sz="0" w:space="7" w:color="auto"/>
          <w:right w:val="none" w:sz="0" w:space="7" w:color="auto"/>
        </w:pBdr>
        <w:jc w:val="both"/>
        <w:rPr>
          <w:sz w:val="20"/>
          <w:szCs w:val="20"/>
        </w:rPr>
      </w:pPr>
      <w:r w:rsidRPr="009A7F45">
        <w:rPr>
          <w:sz w:val="20"/>
          <w:szCs w:val="20"/>
        </w:rPr>
        <w:t xml:space="preserve">The resale of the shares of the Company’s common stock issuable upon exercise of the Exercised Warrants are registered pursuant to existing registration statements on </w:t>
      </w:r>
      <w:r w:rsidRPr="009A7F45">
        <w:rPr>
          <w:color w:val="000000"/>
          <w:sz w:val="20"/>
          <w:szCs w:val="20"/>
        </w:rPr>
        <w:t xml:space="preserve">Form S-1 (File No. 333-290941), </w:t>
      </w:r>
      <w:r w:rsidRPr="009A7F45">
        <w:rPr>
          <w:sz w:val="20"/>
          <w:szCs w:val="20"/>
        </w:rPr>
        <w:t>declared effective by the SEC on November 7, 2025, and Form S-1 (File No. 333-292127), declared effective by the SEC on December 19, 2025.</w:t>
      </w:r>
    </w:p>
    <w:p w14:paraId="37983D21" w14:textId="77777777" w:rsidR="009A7F45" w:rsidRPr="009A7F45" w:rsidRDefault="009A7F45" w:rsidP="009A7F45">
      <w:pPr>
        <w:pBdr>
          <w:left w:val="none" w:sz="0" w:space="7" w:color="auto"/>
          <w:right w:val="none" w:sz="0" w:space="7" w:color="auto"/>
        </w:pBdr>
        <w:rPr>
          <w:sz w:val="20"/>
          <w:szCs w:val="20"/>
        </w:rPr>
      </w:pPr>
      <w:r w:rsidRPr="009A7F45">
        <w:rPr>
          <w:sz w:val="20"/>
          <w:szCs w:val="20"/>
        </w:rPr>
        <w:t> </w:t>
      </w:r>
    </w:p>
    <w:p w14:paraId="666DE6BD" w14:textId="77777777" w:rsidR="009A7F45" w:rsidRPr="009A7F45" w:rsidRDefault="009A7F45" w:rsidP="009A7F45">
      <w:pPr>
        <w:pBdr>
          <w:left w:val="none" w:sz="0" w:space="7" w:color="auto"/>
          <w:right w:val="none" w:sz="0" w:space="7" w:color="auto"/>
        </w:pBdr>
        <w:jc w:val="both"/>
        <w:rPr>
          <w:sz w:val="20"/>
          <w:szCs w:val="20"/>
        </w:rPr>
      </w:pPr>
      <w:r w:rsidRPr="009A7F45">
        <w:rPr>
          <w:sz w:val="20"/>
          <w:szCs w:val="20"/>
        </w:rPr>
        <w:t>The Company also agreed to file a registration statement on Form S-1 providing for the resale of the New Warrant Shares issuable upon the exercise of the New Warrants (the “Resale Registration Statement”), within 20 days of the Closing Date, and to use commercially reasonable efforts to keep the Resale Registration Statement effective at all times until no holder of the New Warrants owns any New Warrants or New Warrant Shares. The Company further agreed to hold an annual or special meeting of stockholders on or prior to June 17, 2026, for the purpose of obtaining Stockholder Approval.</w:t>
      </w:r>
    </w:p>
    <w:p w14:paraId="2139D301" w14:textId="023FDA29" w:rsidR="009A7F45" w:rsidRPr="009A7F45" w:rsidRDefault="009A7F45" w:rsidP="009A7F45">
      <w:pPr>
        <w:pBdr>
          <w:left w:val="none" w:sz="0" w:space="7" w:color="auto"/>
          <w:right w:val="none" w:sz="0" w:space="7" w:color="auto"/>
        </w:pBdr>
        <w:rPr>
          <w:sz w:val="20"/>
          <w:szCs w:val="20"/>
        </w:rPr>
      </w:pPr>
    </w:p>
    <w:p w14:paraId="426087E2" w14:textId="77777777" w:rsidR="009A7F45" w:rsidRPr="009A7F45" w:rsidRDefault="009A7F45" w:rsidP="009A7F45">
      <w:pPr>
        <w:pBdr>
          <w:left w:val="none" w:sz="0" w:space="7" w:color="auto"/>
          <w:right w:val="none" w:sz="0" w:space="7" w:color="auto"/>
        </w:pBdr>
        <w:jc w:val="both"/>
        <w:rPr>
          <w:sz w:val="20"/>
          <w:szCs w:val="20"/>
        </w:rPr>
      </w:pPr>
      <w:r w:rsidRPr="009A7F45">
        <w:rPr>
          <w:sz w:val="20"/>
          <w:szCs w:val="20"/>
        </w:rPr>
        <w:t>The forms of the New Warrants and Inducement Letter are filed as Exhibits 4.1 and 10.1, respectively, to this Current Report on Form 8-K and are incorporated herein by reference. The description of the terms of the New Warrants and Inducement Letters is not intended to be complete and is qualified in its entirety by reference to such exhibits. The Inducement Letters contain customary representations, warranties and covenants by us which were made only for the purposes of such agreements and as of specific dates, were solely for the benefit of the parties to such agreements and may be subject to limitations agreed upon by the contracting parties.</w:t>
      </w:r>
    </w:p>
    <w:p w14:paraId="0C49BDA0" w14:textId="77777777" w:rsidR="009A7F45" w:rsidRPr="009A7F45" w:rsidRDefault="009A7F45" w:rsidP="009A7F45">
      <w:pPr>
        <w:pBdr>
          <w:left w:val="none" w:sz="0" w:space="7" w:color="auto"/>
          <w:right w:val="none" w:sz="0" w:space="7" w:color="auto"/>
        </w:pBdr>
        <w:rPr>
          <w:sz w:val="20"/>
          <w:szCs w:val="20"/>
        </w:rPr>
      </w:pPr>
      <w:r w:rsidRPr="009A7F45">
        <w:rPr>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2071"/>
        <w:gridCol w:w="8729"/>
      </w:tblGrid>
      <w:tr w:rsidR="009A7F45" w:rsidRPr="009A7F45" w14:paraId="426313E9" w14:textId="77777777" w:rsidTr="00B6565E">
        <w:trPr>
          <w:cantSplit/>
          <w:tblCellSpacing w:w="0" w:type="dxa"/>
        </w:trPr>
        <w:tc>
          <w:tcPr>
            <w:tcW w:w="0" w:type="auto"/>
            <w:tcMar>
              <w:top w:w="0" w:type="dxa"/>
              <w:left w:w="0" w:type="dxa"/>
              <w:bottom w:w="0" w:type="dxa"/>
              <w:right w:w="0" w:type="dxa"/>
            </w:tcMar>
            <w:hideMark/>
          </w:tcPr>
          <w:p w14:paraId="03FC5269" w14:textId="77777777" w:rsidR="009A7F45" w:rsidRPr="009A7F45" w:rsidRDefault="009A7F45" w:rsidP="009A7F45">
            <w:pPr>
              <w:jc w:val="both"/>
              <w:rPr>
                <w:color w:val="000000"/>
                <w:sz w:val="20"/>
                <w:szCs w:val="20"/>
              </w:rPr>
            </w:pPr>
            <w:r w:rsidRPr="009A7F45">
              <w:rPr>
                <w:b/>
                <w:bCs/>
                <w:color w:val="000000"/>
                <w:sz w:val="20"/>
                <w:szCs w:val="20"/>
              </w:rPr>
              <w:t xml:space="preserve">Item 3.02 </w:t>
            </w:r>
          </w:p>
        </w:tc>
        <w:tc>
          <w:tcPr>
            <w:tcW w:w="0" w:type="auto"/>
            <w:tcMar>
              <w:top w:w="0" w:type="dxa"/>
              <w:left w:w="0" w:type="dxa"/>
              <w:bottom w:w="0" w:type="dxa"/>
              <w:right w:w="0" w:type="dxa"/>
            </w:tcMar>
            <w:hideMark/>
          </w:tcPr>
          <w:p w14:paraId="01F22ADD" w14:textId="77777777" w:rsidR="009A7F45" w:rsidRPr="009A7F45" w:rsidRDefault="009A7F45" w:rsidP="009A7F45">
            <w:pPr>
              <w:jc w:val="both"/>
              <w:rPr>
                <w:color w:val="000000"/>
                <w:sz w:val="20"/>
                <w:szCs w:val="20"/>
              </w:rPr>
            </w:pPr>
            <w:r w:rsidRPr="009A7F45">
              <w:rPr>
                <w:b/>
                <w:bCs/>
                <w:color w:val="000000"/>
                <w:sz w:val="20"/>
                <w:szCs w:val="20"/>
              </w:rPr>
              <w:t>Unregistered Sales of Equity Securities.</w:t>
            </w:r>
          </w:p>
        </w:tc>
      </w:tr>
    </w:tbl>
    <w:p w14:paraId="6DFFB141" w14:textId="77777777" w:rsidR="009A7F45" w:rsidRPr="009A7F45" w:rsidRDefault="009A7F45" w:rsidP="009A7F45">
      <w:pPr>
        <w:pBdr>
          <w:left w:val="none" w:sz="0" w:space="7" w:color="auto"/>
          <w:right w:val="none" w:sz="0" w:space="7" w:color="auto"/>
        </w:pBdr>
        <w:rPr>
          <w:sz w:val="20"/>
          <w:szCs w:val="20"/>
        </w:rPr>
      </w:pPr>
      <w:r w:rsidRPr="009A7F45">
        <w:rPr>
          <w:sz w:val="20"/>
          <w:szCs w:val="20"/>
        </w:rPr>
        <w:t> </w:t>
      </w:r>
    </w:p>
    <w:p w14:paraId="1DC350D0" w14:textId="7523AE50" w:rsidR="009A7F45" w:rsidRPr="009A7F45" w:rsidRDefault="009A7F45" w:rsidP="009A7F45">
      <w:pPr>
        <w:pBdr>
          <w:left w:val="none" w:sz="0" w:space="7" w:color="auto"/>
          <w:right w:val="none" w:sz="0" w:space="7" w:color="auto"/>
        </w:pBdr>
        <w:jc w:val="both"/>
        <w:rPr>
          <w:sz w:val="20"/>
          <w:szCs w:val="20"/>
        </w:rPr>
      </w:pPr>
      <w:r w:rsidRPr="009A7F45">
        <w:rPr>
          <w:sz w:val="20"/>
          <w:szCs w:val="20"/>
        </w:rPr>
        <w:t>The description of the New Warrants under Item 1.01 of this Form 8-K is incorporated by reference herein.</w:t>
      </w:r>
      <w:r>
        <w:rPr>
          <w:sz w:val="20"/>
          <w:szCs w:val="20"/>
        </w:rPr>
        <w:t xml:space="preserve"> </w:t>
      </w:r>
      <w:r w:rsidRPr="009A7F45">
        <w:rPr>
          <w:sz w:val="20"/>
          <w:szCs w:val="20"/>
        </w:rPr>
        <w:t>The Company issued the New Warrants pursuant to the exemption from the registration requirements of the Securities Act</w:t>
      </w:r>
      <w:r w:rsidR="00B97324">
        <w:rPr>
          <w:sz w:val="20"/>
          <w:szCs w:val="20"/>
        </w:rPr>
        <w:t xml:space="preserve"> of 1933, as amended (the “Securities Act”)</w:t>
      </w:r>
      <w:r w:rsidRPr="009A7F45">
        <w:rPr>
          <w:sz w:val="20"/>
          <w:szCs w:val="20"/>
        </w:rPr>
        <w:t xml:space="preserve"> available under Regulation D issued thereunder. Neither the issuance of the New Warrants nor the New Warrant Shares have been registered under the Securities </w:t>
      </w:r>
      <w:proofErr w:type="gramStart"/>
      <w:r w:rsidRPr="009A7F45">
        <w:rPr>
          <w:sz w:val="20"/>
          <w:szCs w:val="20"/>
        </w:rPr>
        <w:t>Act</w:t>
      </w:r>
      <w:proofErr w:type="gramEnd"/>
      <w:r w:rsidRPr="009A7F45">
        <w:rPr>
          <w:sz w:val="20"/>
          <w:szCs w:val="20"/>
        </w:rPr>
        <w:t xml:space="preserve"> and such securities may not be offered or sold in the United States absent registration or an exemption from registration under the Securities Act and any applicable state securities laws.</w:t>
      </w:r>
    </w:p>
    <w:p w14:paraId="68FFFC60" w14:textId="77777777" w:rsidR="009A7F45" w:rsidRPr="009A7F45" w:rsidRDefault="009A7F45" w:rsidP="009A7F45">
      <w:pPr>
        <w:pBdr>
          <w:left w:val="none" w:sz="0" w:space="7" w:color="auto"/>
          <w:right w:val="none" w:sz="0" w:space="7" w:color="auto"/>
        </w:pBdr>
        <w:rPr>
          <w:sz w:val="20"/>
          <w:szCs w:val="20"/>
        </w:rPr>
      </w:pPr>
      <w:r w:rsidRPr="009A7F45">
        <w:rPr>
          <w:sz w:val="20"/>
          <w:szCs w:val="20"/>
        </w:rPr>
        <w:t> </w:t>
      </w:r>
    </w:p>
    <w:p w14:paraId="3F81D8C9" w14:textId="77777777" w:rsidR="009A7F45" w:rsidRPr="009A7F45" w:rsidRDefault="009A7F45" w:rsidP="009A7F45">
      <w:pPr>
        <w:pBdr>
          <w:left w:val="none" w:sz="0" w:space="7" w:color="auto"/>
          <w:right w:val="none" w:sz="0" w:space="7" w:color="auto"/>
        </w:pBdr>
        <w:rPr>
          <w:sz w:val="20"/>
          <w:szCs w:val="20"/>
        </w:rPr>
      </w:pPr>
      <w:r w:rsidRPr="009A7F45">
        <w:rPr>
          <w:sz w:val="20"/>
          <w:szCs w:val="20"/>
        </w:rPr>
        <w:t>Neither this Current Report on Form 8-K nor any exhibit attached hereto is an offer to sell or the solicitation of an offer to buy our securities.</w:t>
      </w:r>
    </w:p>
    <w:p w14:paraId="413D330F" w14:textId="77777777" w:rsidR="00BB7014" w:rsidRDefault="00BB7014" w:rsidP="00F100FC">
      <w:pPr>
        <w:ind w:right="144"/>
        <w:jc w:val="both"/>
        <w:rPr>
          <w:sz w:val="20"/>
          <w:szCs w:val="20"/>
        </w:rPr>
      </w:pPr>
    </w:p>
    <w:tbl>
      <w:tblPr>
        <w:tblW w:w="5000" w:type="pct"/>
        <w:tblInd w:w="149" w:type="dxa"/>
        <w:tblCellMar>
          <w:left w:w="0" w:type="dxa"/>
          <w:right w:w="0" w:type="dxa"/>
        </w:tblCellMar>
        <w:tblLook w:val="04A0" w:firstRow="1" w:lastRow="0" w:firstColumn="1" w:lastColumn="0" w:noHBand="0" w:noVBand="1"/>
      </w:tblPr>
      <w:tblGrid>
        <w:gridCol w:w="1260"/>
        <w:gridCol w:w="9540"/>
      </w:tblGrid>
      <w:tr w:rsidR="008D7E3A" w14:paraId="188F57B2" w14:textId="77777777" w:rsidTr="008D7E3A">
        <w:tc>
          <w:tcPr>
            <w:tcW w:w="1260" w:type="dxa"/>
            <w:tcMar>
              <w:top w:w="5" w:type="dxa"/>
              <w:left w:w="5" w:type="dxa"/>
              <w:bottom w:w="5" w:type="dxa"/>
              <w:right w:w="5" w:type="dxa"/>
            </w:tcMar>
            <w:hideMark/>
          </w:tcPr>
          <w:p w14:paraId="3842769B" w14:textId="77777777" w:rsidR="008D7E3A" w:rsidRDefault="008D7E3A">
            <w:pPr>
              <w:rPr>
                <w:color w:val="000000"/>
                <w:sz w:val="20"/>
                <w:szCs w:val="20"/>
              </w:rPr>
            </w:pPr>
            <w:r>
              <w:rPr>
                <w:b/>
                <w:bCs/>
                <w:color w:val="000000"/>
                <w:sz w:val="20"/>
                <w:szCs w:val="20"/>
              </w:rPr>
              <w:t xml:space="preserve">Item 9.01 </w:t>
            </w:r>
          </w:p>
        </w:tc>
        <w:tc>
          <w:tcPr>
            <w:tcW w:w="0" w:type="auto"/>
            <w:tcMar>
              <w:top w:w="5" w:type="dxa"/>
              <w:left w:w="5" w:type="dxa"/>
              <w:bottom w:w="5" w:type="dxa"/>
              <w:right w:w="5" w:type="dxa"/>
            </w:tcMar>
            <w:hideMark/>
          </w:tcPr>
          <w:p w14:paraId="68CCEC3A" w14:textId="77777777" w:rsidR="008D7E3A" w:rsidRDefault="008D7E3A">
            <w:pPr>
              <w:rPr>
                <w:color w:val="000000"/>
                <w:sz w:val="20"/>
                <w:szCs w:val="20"/>
              </w:rPr>
            </w:pPr>
            <w:r>
              <w:rPr>
                <w:b/>
                <w:bCs/>
                <w:color w:val="000000"/>
                <w:sz w:val="20"/>
                <w:szCs w:val="20"/>
              </w:rPr>
              <w:t>Financial Statements and Exhibits.</w:t>
            </w:r>
          </w:p>
        </w:tc>
      </w:tr>
    </w:tbl>
    <w:p w14:paraId="4E240D59" w14:textId="77777777" w:rsidR="008D7E3A" w:rsidRDefault="008D7E3A" w:rsidP="008D7E3A">
      <w:pPr>
        <w:ind w:left="144" w:right="144"/>
        <w:rPr>
          <w:sz w:val="20"/>
          <w:szCs w:val="20"/>
        </w:rPr>
      </w:pPr>
      <w:r>
        <w:rPr>
          <w:b/>
          <w:bCs/>
          <w:sz w:val="20"/>
          <w:szCs w:val="20"/>
        </w:rPr>
        <w:t> </w:t>
      </w:r>
    </w:p>
    <w:p w14:paraId="5820E653" w14:textId="77777777" w:rsidR="008D7E3A" w:rsidRDefault="008D7E3A" w:rsidP="008D7E3A">
      <w:pPr>
        <w:ind w:left="144" w:right="144"/>
        <w:rPr>
          <w:sz w:val="20"/>
          <w:szCs w:val="20"/>
        </w:rPr>
      </w:pPr>
      <w:r>
        <w:rPr>
          <w:sz w:val="20"/>
          <w:szCs w:val="20"/>
        </w:rPr>
        <w:t>(d)     Exhibits</w:t>
      </w:r>
    </w:p>
    <w:tbl>
      <w:tblPr>
        <w:tblW w:w="5000" w:type="pct"/>
        <w:tblInd w:w="149" w:type="dxa"/>
        <w:tblCellMar>
          <w:left w:w="0" w:type="dxa"/>
          <w:right w:w="0" w:type="dxa"/>
        </w:tblCellMar>
        <w:tblLook w:val="04A0" w:firstRow="1" w:lastRow="0" w:firstColumn="1" w:lastColumn="0" w:noHBand="0" w:noVBand="1"/>
      </w:tblPr>
      <w:tblGrid>
        <w:gridCol w:w="1296"/>
        <w:gridCol w:w="9504"/>
      </w:tblGrid>
      <w:tr w:rsidR="008D7E3A" w14:paraId="30A37310" w14:textId="77777777" w:rsidTr="008D7E3A">
        <w:tc>
          <w:tcPr>
            <w:tcW w:w="600" w:type="pct"/>
            <w:tcMar>
              <w:top w:w="5" w:type="dxa"/>
              <w:left w:w="5" w:type="dxa"/>
              <w:bottom w:w="5" w:type="dxa"/>
              <w:right w:w="5" w:type="dxa"/>
            </w:tcMar>
            <w:hideMark/>
          </w:tcPr>
          <w:p w14:paraId="49316493" w14:textId="762331DA" w:rsidR="008D7E3A" w:rsidRDefault="008D7E3A">
            <w:pPr>
              <w:ind w:left="180"/>
              <w:rPr>
                <w:color w:val="000000"/>
                <w:sz w:val="20"/>
                <w:szCs w:val="20"/>
              </w:rPr>
            </w:pPr>
            <w:r>
              <w:rPr>
                <w:sz w:val="20"/>
                <w:szCs w:val="20"/>
              </w:rPr>
              <w:t> </w:t>
            </w:r>
            <w:r>
              <w:rPr>
                <w:color w:val="000000"/>
                <w:sz w:val="20"/>
                <w:szCs w:val="20"/>
                <w:u w:val="single" w:color="000000"/>
              </w:rPr>
              <w:t>Exhibit No.</w:t>
            </w:r>
          </w:p>
        </w:tc>
        <w:tc>
          <w:tcPr>
            <w:tcW w:w="4400" w:type="pct"/>
            <w:tcMar>
              <w:top w:w="5" w:type="dxa"/>
              <w:left w:w="5" w:type="dxa"/>
              <w:bottom w:w="5" w:type="dxa"/>
              <w:right w:w="5" w:type="dxa"/>
            </w:tcMar>
            <w:hideMark/>
          </w:tcPr>
          <w:p w14:paraId="06EC41C2" w14:textId="77777777" w:rsidR="008D7E3A" w:rsidRDefault="008D7E3A">
            <w:pPr>
              <w:rPr>
                <w:color w:val="000000"/>
                <w:sz w:val="20"/>
                <w:szCs w:val="20"/>
              </w:rPr>
            </w:pPr>
            <w:r>
              <w:rPr>
                <w:color w:val="000000"/>
                <w:sz w:val="20"/>
                <w:szCs w:val="20"/>
                <w:u w:val="single" w:color="000000"/>
              </w:rPr>
              <w:t>Description</w:t>
            </w:r>
          </w:p>
        </w:tc>
      </w:tr>
      <w:tr w:rsidR="008D7E3A" w14:paraId="32E025F6" w14:textId="77777777" w:rsidTr="008D7E3A">
        <w:tc>
          <w:tcPr>
            <w:tcW w:w="600" w:type="pct"/>
            <w:tcMar>
              <w:top w:w="5" w:type="dxa"/>
              <w:left w:w="5" w:type="dxa"/>
              <w:bottom w:w="5" w:type="dxa"/>
              <w:right w:w="5" w:type="dxa"/>
            </w:tcMar>
            <w:hideMark/>
          </w:tcPr>
          <w:p w14:paraId="09820083" w14:textId="20556616" w:rsidR="008D7E3A" w:rsidRDefault="009A7F45">
            <w:pPr>
              <w:ind w:left="180"/>
              <w:rPr>
                <w:sz w:val="20"/>
                <w:szCs w:val="20"/>
              </w:rPr>
            </w:pPr>
            <w:r>
              <w:rPr>
                <w:sz w:val="20"/>
                <w:szCs w:val="20"/>
              </w:rPr>
              <w:t>4</w:t>
            </w:r>
            <w:r w:rsidR="008D7E3A">
              <w:rPr>
                <w:sz w:val="20"/>
                <w:szCs w:val="20"/>
              </w:rPr>
              <w:t>.1</w:t>
            </w:r>
          </w:p>
        </w:tc>
        <w:tc>
          <w:tcPr>
            <w:tcW w:w="4400" w:type="pct"/>
            <w:tcMar>
              <w:top w:w="5" w:type="dxa"/>
              <w:left w:w="5" w:type="dxa"/>
              <w:bottom w:w="5" w:type="dxa"/>
              <w:right w:w="5" w:type="dxa"/>
            </w:tcMar>
            <w:hideMark/>
          </w:tcPr>
          <w:p w14:paraId="5B5A50F1" w14:textId="4B275BD2" w:rsidR="008D7E3A" w:rsidRDefault="009A7F45" w:rsidP="00EC3F8A">
            <w:pPr>
              <w:rPr>
                <w:sz w:val="20"/>
                <w:szCs w:val="20"/>
              </w:rPr>
            </w:pPr>
            <w:r>
              <w:rPr>
                <w:bCs/>
                <w:sz w:val="20"/>
                <w:szCs w:val="20"/>
              </w:rPr>
              <w:t>Form of Common Stock Purchase Warrant</w:t>
            </w:r>
          </w:p>
        </w:tc>
      </w:tr>
      <w:tr w:rsidR="009A7F45" w14:paraId="7BFB36FB" w14:textId="77777777" w:rsidTr="008D7E3A">
        <w:tc>
          <w:tcPr>
            <w:tcW w:w="600" w:type="pct"/>
            <w:tcMar>
              <w:top w:w="5" w:type="dxa"/>
              <w:left w:w="5" w:type="dxa"/>
              <w:bottom w:w="5" w:type="dxa"/>
              <w:right w:w="5" w:type="dxa"/>
            </w:tcMar>
          </w:tcPr>
          <w:p w14:paraId="7DE22920" w14:textId="0DF1CE60" w:rsidR="009A7F45" w:rsidRDefault="009A7F45">
            <w:pPr>
              <w:ind w:left="180"/>
              <w:rPr>
                <w:sz w:val="20"/>
                <w:szCs w:val="20"/>
              </w:rPr>
            </w:pPr>
            <w:r>
              <w:rPr>
                <w:sz w:val="20"/>
                <w:szCs w:val="20"/>
              </w:rPr>
              <w:t>10.1</w:t>
            </w:r>
          </w:p>
        </w:tc>
        <w:tc>
          <w:tcPr>
            <w:tcW w:w="4400" w:type="pct"/>
            <w:tcMar>
              <w:top w:w="5" w:type="dxa"/>
              <w:left w:w="5" w:type="dxa"/>
              <w:bottom w:w="5" w:type="dxa"/>
              <w:right w:w="5" w:type="dxa"/>
            </w:tcMar>
          </w:tcPr>
          <w:p w14:paraId="6850B9F7" w14:textId="53FAD65A" w:rsidR="009A7F45" w:rsidRPr="00B02C57" w:rsidRDefault="009A7F45" w:rsidP="00EC3F8A">
            <w:pPr>
              <w:rPr>
                <w:bCs/>
                <w:sz w:val="20"/>
                <w:szCs w:val="20"/>
              </w:rPr>
            </w:pPr>
            <w:r>
              <w:rPr>
                <w:bCs/>
                <w:sz w:val="20"/>
                <w:szCs w:val="20"/>
              </w:rPr>
              <w:t>Form of Inducement Letter, dated May 7, 2026</w:t>
            </w:r>
          </w:p>
        </w:tc>
      </w:tr>
      <w:tr w:rsidR="009A7F45" w14:paraId="3AB2BB32" w14:textId="77777777" w:rsidTr="009A7F45">
        <w:tc>
          <w:tcPr>
            <w:tcW w:w="600" w:type="pct"/>
            <w:tcMar>
              <w:top w:w="5" w:type="dxa"/>
              <w:left w:w="5" w:type="dxa"/>
              <w:bottom w:w="5" w:type="dxa"/>
              <w:right w:w="5" w:type="dxa"/>
            </w:tcMar>
          </w:tcPr>
          <w:p w14:paraId="5E615664" w14:textId="77777777" w:rsidR="009A7F45" w:rsidRDefault="009A7F45" w:rsidP="00B6565E">
            <w:pPr>
              <w:ind w:left="180"/>
              <w:rPr>
                <w:sz w:val="20"/>
                <w:szCs w:val="20"/>
              </w:rPr>
            </w:pPr>
            <w:r>
              <w:rPr>
                <w:sz w:val="20"/>
                <w:szCs w:val="20"/>
              </w:rPr>
              <w:t>99.1</w:t>
            </w:r>
          </w:p>
        </w:tc>
        <w:tc>
          <w:tcPr>
            <w:tcW w:w="4400" w:type="pct"/>
            <w:tcMar>
              <w:top w:w="5" w:type="dxa"/>
              <w:left w:w="5" w:type="dxa"/>
              <w:bottom w:w="5" w:type="dxa"/>
              <w:right w:w="5" w:type="dxa"/>
            </w:tcMar>
          </w:tcPr>
          <w:p w14:paraId="573C2DB7" w14:textId="28F5FFF5" w:rsidR="009A7F45" w:rsidRPr="009A7F45" w:rsidRDefault="009A7F45" w:rsidP="00B6565E">
            <w:pPr>
              <w:rPr>
                <w:bCs/>
                <w:sz w:val="20"/>
                <w:szCs w:val="20"/>
              </w:rPr>
            </w:pPr>
            <w:r w:rsidRPr="00B02C57">
              <w:rPr>
                <w:bCs/>
                <w:sz w:val="20"/>
                <w:szCs w:val="20"/>
              </w:rPr>
              <w:t>Press Release</w:t>
            </w:r>
          </w:p>
        </w:tc>
      </w:tr>
      <w:tr w:rsidR="00BC6263" w14:paraId="2D4C5F1F" w14:textId="77777777" w:rsidTr="008D7E3A">
        <w:tc>
          <w:tcPr>
            <w:tcW w:w="600" w:type="pct"/>
            <w:tcMar>
              <w:top w:w="5" w:type="dxa"/>
              <w:left w:w="5" w:type="dxa"/>
              <w:bottom w:w="5" w:type="dxa"/>
              <w:right w:w="5" w:type="dxa"/>
            </w:tcMar>
          </w:tcPr>
          <w:p w14:paraId="21AF7946" w14:textId="40C001CF" w:rsidR="00BC6263" w:rsidRDefault="00BC6263" w:rsidP="00BC6263">
            <w:pPr>
              <w:ind w:left="180"/>
              <w:rPr>
                <w:sz w:val="20"/>
                <w:szCs w:val="20"/>
              </w:rPr>
            </w:pPr>
            <w:r>
              <w:rPr>
                <w:sz w:val="20"/>
                <w:szCs w:val="20"/>
              </w:rPr>
              <w:t>104</w:t>
            </w:r>
          </w:p>
        </w:tc>
        <w:tc>
          <w:tcPr>
            <w:tcW w:w="4400" w:type="pct"/>
            <w:tcMar>
              <w:top w:w="5" w:type="dxa"/>
              <w:left w:w="5" w:type="dxa"/>
              <w:bottom w:w="5" w:type="dxa"/>
              <w:right w:w="5" w:type="dxa"/>
            </w:tcMar>
          </w:tcPr>
          <w:p w14:paraId="63CC3CFB" w14:textId="584ABFD9" w:rsidR="00BC6263" w:rsidRDefault="00BC6263" w:rsidP="00BC6263">
            <w:pPr>
              <w:rPr>
                <w:sz w:val="20"/>
                <w:szCs w:val="20"/>
              </w:rPr>
            </w:pPr>
            <w:r w:rsidRPr="00A7711D">
              <w:rPr>
                <w:sz w:val="20"/>
                <w:szCs w:val="20"/>
              </w:rPr>
              <w:t>Cover Page Interactive Data File (embedded within the Inline XBRL document)</w:t>
            </w:r>
          </w:p>
        </w:tc>
      </w:tr>
    </w:tbl>
    <w:p w14:paraId="7F943D3B" w14:textId="4471F98A" w:rsidR="008D7E3A" w:rsidRDefault="008D7E3A" w:rsidP="009A7F45">
      <w:pPr>
        <w:ind w:right="144"/>
        <w:jc w:val="center"/>
        <w:rPr>
          <w:sz w:val="20"/>
          <w:szCs w:val="20"/>
        </w:rPr>
      </w:pPr>
      <w:r>
        <w:rPr>
          <w:b/>
          <w:bCs/>
          <w:sz w:val="20"/>
          <w:szCs w:val="20"/>
        </w:rPr>
        <w:lastRenderedPageBreak/>
        <w:t>SIGNATURE</w:t>
      </w:r>
    </w:p>
    <w:p w14:paraId="74FE07D3" w14:textId="77777777" w:rsidR="008D7E3A" w:rsidRDefault="008D7E3A" w:rsidP="008D7E3A">
      <w:pPr>
        <w:ind w:left="144" w:right="144"/>
        <w:rPr>
          <w:sz w:val="20"/>
          <w:szCs w:val="20"/>
        </w:rPr>
      </w:pPr>
      <w:r>
        <w:rPr>
          <w:sz w:val="20"/>
          <w:szCs w:val="20"/>
        </w:rPr>
        <w:t> </w:t>
      </w:r>
    </w:p>
    <w:p w14:paraId="507F328C" w14:textId="77777777" w:rsidR="008D7E3A" w:rsidRDefault="008D7E3A" w:rsidP="008D7E3A">
      <w:pPr>
        <w:ind w:left="144" w:right="144"/>
        <w:rPr>
          <w:sz w:val="20"/>
          <w:szCs w:val="20"/>
        </w:rPr>
      </w:pPr>
      <w:r>
        <w:rPr>
          <w:sz w:val="20"/>
          <w:szCs w:val="20"/>
        </w:rPr>
        <w:t>Pursuant to the requirements of the Securities Exchange Act of 1934, the Registrant has duly caused this report to be signed on its behalf by the undersigned hereunto duly authorized.</w:t>
      </w:r>
    </w:p>
    <w:p w14:paraId="3AC2F94E" w14:textId="77777777" w:rsidR="008D7E3A" w:rsidRDefault="008D7E3A" w:rsidP="008D7E3A">
      <w:pPr>
        <w:ind w:left="144" w:right="144"/>
        <w:rPr>
          <w:sz w:val="20"/>
          <w:szCs w:val="20"/>
        </w:rPr>
      </w:pPr>
      <w:r>
        <w:rPr>
          <w:sz w:val="20"/>
          <w:szCs w:val="20"/>
        </w:rPr>
        <w:t> </w:t>
      </w:r>
    </w:p>
    <w:p w14:paraId="64E2F402" w14:textId="2DC3176C" w:rsidR="008D7E3A" w:rsidRDefault="008D7E3A" w:rsidP="008D7E3A">
      <w:pPr>
        <w:ind w:left="144" w:right="144"/>
        <w:rPr>
          <w:sz w:val="20"/>
          <w:szCs w:val="20"/>
        </w:rPr>
      </w:pPr>
      <w:r>
        <w:rPr>
          <w:sz w:val="20"/>
          <w:szCs w:val="20"/>
        </w:rPr>
        <w:t xml:space="preserve">Date: </w:t>
      </w:r>
      <w:r w:rsidR="009A7F45">
        <w:rPr>
          <w:sz w:val="20"/>
          <w:szCs w:val="20"/>
        </w:rPr>
        <w:t>May</w:t>
      </w:r>
      <w:r w:rsidR="00DA73E9">
        <w:rPr>
          <w:sz w:val="20"/>
          <w:szCs w:val="20"/>
        </w:rPr>
        <w:t xml:space="preserve"> </w:t>
      </w:r>
      <w:r w:rsidR="009A7F45">
        <w:rPr>
          <w:sz w:val="20"/>
          <w:szCs w:val="20"/>
        </w:rPr>
        <w:t>7</w:t>
      </w:r>
      <w:r>
        <w:rPr>
          <w:sz w:val="20"/>
          <w:szCs w:val="20"/>
        </w:rPr>
        <w:t>, 202</w:t>
      </w:r>
      <w:r w:rsidR="00FA53E4">
        <w:rPr>
          <w:sz w:val="20"/>
          <w:szCs w:val="20"/>
        </w:rPr>
        <w:t>6</w:t>
      </w:r>
    </w:p>
    <w:p w14:paraId="71B7E649" w14:textId="77777777" w:rsidR="008D7E3A" w:rsidRDefault="008D7E3A" w:rsidP="008D7E3A">
      <w:pPr>
        <w:ind w:left="144" w:right="144"/>
        <w:rPr>
          <w:sz w:val="20"/>
          <w:szCs w:val="20"/>
        </w:rPr>
      </w:pPr>
      <w:r>
        <w:rPr>
          <w:sz w:val="20"/>
          <w:szCs w:val="20"/>
        </w:rPr>
        <w:t> </w:t>
      </w:r>
    </w:p>
    <w:tbl>
      <w:tblPr>
        <w:tblW w:w="5000" w:type="pct"/>
        <w:tblInd w:w="149" w:type="dxa"/>
        <w:tblCellMar>
          <w:left w:w="0" w:type="dxa"/>
          <w:right w:w="0" w:type="dxa"/>
        </w:tblCellMar>
        <w:tblLook w:val="04A0" w:firstRow="1" w:lastRow="0" w:firstColumn="1" w:lastColumn="0" w:noHBand="0" w:noVBand="1"/>
      </w:tblPr>
      <w:tblGrid>
        <w:gridCol w:w="5400"/>
        <w:gridCol w:w="335"/>
        <w:gridCol w:w="3780"/>
        <w:gridCol w:w="1285"/>
      </w:tblGrid>
      <w:tr w:rsidR="008D7E3A" w14:paraId="30F84C9B" w14:textId="77777777" w:rsidTr="008D7E3A">
        <w:tc>
          <w:tcPr>
            <w:tcW w:w="2500" w:type="pct"/>
            <w:tcMar>
              <w:top w:w="5" w:type="dxa"/>
              <w:left w:w="5" w:type="dxa"/>
              <w:bottom w:w="5" w:type="dxa"/>
              <w:right w:w="5" w:type="dxa"/>
            </w:tcMar>
            <w:hideMark/>
          </w:tcPr>
          <w:p w14:paraId="370A7E7F" w14:textId="77777777" w:rsidR="008D7E3A" w:rsidRDefault="008D7E3A">
            <w:pPr>
              <w:rPr>
                <w:color w:val="000000"/>
                <w:sz w:val="20"/>
                <w:szCs w:val="20"/>
              </w:rPr>
            </w:pPr>
            <w:r>
              <w:rPr>
                <w:color w:val="000000"/>
                <w:sz w:val="20"/>
                <w:szCs w:val="20"/>
              </w:rPr>
              <w:t> </w:t>
            </w:r>
          </w:p>
        </w:tc>
        <w:tc>
          <w:tcPr>
            <w:tcW w:w="1905" w:type="pct"/>
            <w:gridSpan w:val="2"/>
            <w:tcMar>
              <w:top w:w="5" w:type="dxa"/>
              <w:left w:w="5" w:type="dxa"/>
              <w:bottom w:w="5" w:type="dxa"/>
              <w:right w:w="5" w:type="dxa"/>
            </w:tcMar>
            <w:hideMark/>
          </w:tcPr>
          <w:p w14:paraId="28A3B145" w14:textId="77777777" w:rsidR="008D7E3A" w:rsidRDefault="008D7E3A">
            <w:pPr>
              <w:rPr>
                <w:color w:val="000000"/>
                <w:sz w:val="20"/>
                <w:szCs w:val="20"/>
              </w:rPr>
            </w:pPr>
            <w:r>
              <w:rPr>
                <w:color w:val="000000"/>
                <w:sz w:val="20"/>
                <w:szCs w:val="20"/>
              </w:rPr>
              <w:t>GEOVAX LABS, INC.</w:t>
            </w:r>
          </w:p>
        </w:tc>
        <w:tc>
          <w:tcPr>
            <w:tcW w:w="595" w:type="pct"/>
            <w:tcMar>
              <w:top w:w="5" w:type="dxa"/>
              <w:left w:w="5" w:type="dxa"/>
              <w:bottom w:w="5" w:type="dxa"/>
              <w:right w:w="5" w:type="dxa"/>
            </w:tcMar>
            <w:hideMark/>
          </w:tcPr>
          <w:p w14:paraId="2AD46375" w14:textId="77777777" w:rsidR="008D7E3A" w:rsidRDefault="008D7E3A">
            <w:pPr>
              <w:rPr>
                <w:color w:val="000000"/>
                <w:sz w:val="20"/>
                <w:szCs w:val="20"/>
              </w:rPr>
            </w:pPr>
            <w:r>
              <w:rPr>
                <w:color w:val="000000"/>
                <w:sz w:val="20"/>
                <w:szCs w:val="20"/>
              </w:rPr>
              <w:t> </w:t>
            </w:r>
          </w:p>
        </w:tc>
      </w:tr>
      <w:tr w:rsidR="008D7E3A" w14:paraId="3738A2D0" w14:textId="77777777" w:rsidTr="008D7E3A">
        <w:tc>
          <w:tcPr>
            <w:tcW w:w="2500" w:type="pct"/>
            <w:tcMar>
              <w:top w:w="5" w:type="dxa"/>
              <w:left w:w="5" w:type="dxa"/>
              <w:bottom w:w="5" w:type="dxa"/>
              <w:right w:w="5" w:type="dxa"/>
            </w:tcMar>
            <w:hideMark/>
          </w:tcPr>
          <w:p w14:paraId="409FACA0" w14:textId="77777777" w:rsidR="008D7E3A" w:rsidRDefault="008D7E3A">
            <w:pPr>
              <w:rPr>
                <w:color w:val="000000"/>
                <w:sz w:val="20"/>
                <w:szCs w:val="20"/>
              </w:rPr>
            </w:pPr>
            <w:r>
              <w:rPr>
                <w:color w:val="000000"/>
                <w:sz w:val="20"/>
                <w:szCs w:val="20"/>
              </w:rPr>
              <w:t> </w:t>
            </w:r>
          </w:p>
        </w:tc>
        <w:tc>
          <w:tcPr>
            <w:tcW w:w="1905" w:type="pct"/>
            <w:gridSpan w:val="2"/>
            <w:tcMar>
              <w:top w:w="5" w:type="dxa"/>
              <w:left w:w="5" w:type="dxa"/>
              <w:bottom w:w="5" w:type="dxa"/>
              <w:right w:w="5" w:type="dxa"/>
            </w:tcMar>
            <w:hideMark/>
          </w:tcPr>
          <w:p w14:paraId="48AE598E" w14:textId="77777777" w:rsidR="008D7E3A" w:rsidRDefault="008D7E3A">
            <w:pPr>
              <w:rPr>
                <w:color w:val="000000"/>
                <w:sz w:val="20"/>
                <w:szCs w:val="20"/>
              </w:rPr>
            </w:pPr>
            <w:r>
              <w:rPr>
                <w:color w:val="000000"/>
                <w:sz w:val="20"/>
                <w:szCs w:val="20"/>
              </w:rPr>
              <w:t> </w:t>
            </w:r>
          </w:p>
        </w:tc>
        <w:tc>
          <w:tcPr>
            <w:tcW w:w="595" w:type="pct"/>
            <w:tcMar>
              <w:top w:w="5" w:type="dxa"/>
              <w:left w:w="5" w:type="dxa"/>
              <w:bottom w:w="5" w:type="dxa"/>
              <w:right w:w="5" w:type="dxa"/>
            </w:tcMar>
            <w:hideMark/>
          </w:tcPr>
          <w:p w14:paraId="63AE77D9" w14:textId="77777777" w:rsidR="008D7E3A" w:rsidRDefault="008D7E3A">
            <w:pPr>
              <w:rPr>
                <w:color w:val="000000"/>
                <w:sz w:val="20"/>
                <w:szCs w:val="20"/>
              </w:rPr>
            </w:pPr>
            <w:r>
              <w:rPr>
                <w:color w:val="000000"/>
                <w:sz w:val="20"/>
                <w:szCs w:val="20"/>
              </w:rPr>
              <w:t> </w:t>
            </w:r>
          </w:p>
        </w:tc>
      </w:tr>
      <w:tr w:rsidR="008D7E3A" w14:paraId="4F849B23" w14:textId="77777777" w:rsidTr="008D7E3A">
        <w:tc>
          <w:tcPr>
            <w:tcW w:w="2500" w:type="pct"/>
            <w:tcMar>
              <w:top w:w="5" w:type="dxa"/>
              <w:left w:w="5" w:type="dxa"/>
              <w:bottom w:w="5" w:type="dxa"/>
              <w:right w:w="5" w:type="dxa"/>
            </w:tcMar>
            <w:hideMark/>
          </w:tcPr>
          <w:p w14:paraId="12CADD62" w14:textId="77777777" w:rsidR="008D7E3A" w:rsidRDefault="008D7E3A">
            <w:pPr>
              <w:rPr>
                <w:color w:val="000000"/>
                <w:sz w:val="20"/>
                <w:szCs w:val="20"/>
              </w:rPr>
            </w:pPr>
            <w:r>
              <w:rPr>
                <w:color w:val="000000"/>
                <w:sz w:val="20"/>
                <w:szCs w:val="20"/>
              </w:rPr>
              <w:t> </w:t>
            </w:r>
          </w:p>
        </w:tc>
        <w:tc>
          <w:tcPr>
            <w:tcW w:w="1905" w:type="pct"/>
            <w:gridSpan w:val="2"/>
            <w:tcMar>
              <w:top w:w="5" w:type="dxa"/>
              <w:left w:w="5" w:type="dxa"/>
              <w:bottom w:w="5" w:type="dxa"/>
              <w:right w:w="5" w:type="dxa"/>
            </w:tcMar>
            <w:hideMark/>
          </w:tcPr>
          <w:p w14:paraId="0B9BA796" w14:textId="77777777" w:rsidR="008D7E3A" w:rsidRDefault="008D7E3A">
            <w:pPr>
              <w:rPr>
                <w:color w:val="000000"/>
                <w:sz w:val="20"/>
                <w:szCs w:val="20"/>
              </w:rPr>
            </w:pPr>
            <w:r>
              <w:rPr>
                <w:color w:val="000000"/>
                <w:sz w:val="20"/>
                <w:szCs w:val="20"/>
              </w:rPr>
              <w:t> </w:t>
            </w:r>
          </w:p>
        </w:tc>
        <w:tc>
          <w:tcPr>
            <w:tcW w:w="595" w:type="pct"/>
            <w:tcMar>
              <w:top w:w="5" w:type="dxa"/>
              <w:left w:w="5" w:type="dxa"/>
              <w:bottom w:w="5" w:type="dxa"/>
              <w:right w:w="5" w:type="dxa"/>
            </w:tcMar>
            <w:hideMark/>
          </w:tcPr>
          <w:p w14:paraId="6D78D4B2" w14:textId="77777777" w:rsidR="008D7E3A" w:rsidRDefault="008D7E3A">
            <w:pPr>
              <w:rPr>
                <w:color w:val="000000"/>
                <w:sz w:val="20"/>
                <w:szCs w:val="20"/>
              </w:rPr>
            </w:pPr>
            <w:r>
              <w:rPr>
                <w:color w:val="000000"/>
                <w:sz w:val="20"/>
                <w:szCs w:val="20"/>
              </w:rPr>
              <w:t> </w:t>
            </w:r>
          </w:p>
        </w:tc>
      </w:tr>
      <w:tr w:rsidR="008D7E3A" w14:paraId="04C3C72F" w14:textId="77777777" w:rsidTr="008D7E3A">
        <w:tc>
          <w:tcPr>
            <w:tcW w:w="2500" w:type="pct"/>
            <w:tcMar>
              <w:top w:w="5" w:type="dxa"/>
              <w:left w:w="5" w:type="dxa"/>
              <w:bottom w:w="5" w:type="dxa"/>
              <w:right w:w="5" w:type="dxa"/>
            </w:tcMar>
            <w:hideMark/>
          </w:tcPr>
          <w:p w14:paraId="2D406BE7" w14:textId="77777777" w:rsidR="008D7E3A" w:rsidRDefault="008D7E3A">
            <w:pPr>
              <w:rPr>
                <w:color w:val="000000"/>
                <w:sz w:val="20"/>
                <w:szCs w:val="20"/>
              </w:rPr>
            </w:pPr>
            <w:r>
              <w:rPr>
                <w:color w:val="000000"/>
                <w:sz w:val="20"/>
                <w:szCs w:val="20"/>
              </w:rPr>
              <w:t> </w:t>
            </w:r>
          </w:p>
        </w:tc>
        <w:tc>
          <w:tcPr>
            <w:tcW w:w="155" w:type="pct"/>
            <w:tcMar>
              <w:top w:w="5" w:type="dxa"/>
              <w:left w:w="5" w:type="dxa"/>
              <w:bottom w:w="5" w:type="dxa"/>
              <w:right w:w="5" w:type="dxa"/>
            </w:tcMar>
            <w:hideMark/>
          </w:tcPr>
          <w:p w14:paraId="1B783CC2" w14:textId="77777777" w:rsidR="008D7E3A" w:rsidRDefault="008D7E3A">
            <w:pPr>
              <w:rPr>
                <w:color w:val="000000"/>
                <w:sz w:val="20"/>
                <w:szCs w:val="20"/>
              </w:rPr>
            </w:pPr>
            <w:r>
              <w:rPr>
                <w:color w:val="000000"/>
                <w:sz w:val="20"/>
                <w:szCs w:val="20"/>
              </w:rPr>
              <w:t>By:</w:t>
            </w:r>
          </w:p>
        </w:tc>
        <w:tc>
          <w:tcPr>
            <w:tcW w:w="1750" w:type="pct"/>
            <w:tcBorders>
              <w:top w:val="nil"/>
              <w:left w:val="nil"/>
              <w:bottom w:val="single" w:sz="6" w:space="0" w:color="000000"/>
              <w:right w:val="nil"/>
            </w:tcBorders>
            <w:tcMar>
              <w:top w:w="5" w:type="dxa"/>
              <w:left w:w="5" w:type="dxa"/>
              <w:bottom w:w="8" w:type="dxa"/>
              <w:right w:w="5" w:type="dxa"/>
            </w:tcMar>
            <w:hideMark/>
          </w:tcPr>
          <w:p w14:paraId="6EBFAF06" w14:textId="77777777" w:rsidR="008D7E3A" w:rsidRDefault="008D7E3A">
            <w:pPr>
              <w:rPr>
                <w:color w:val="000000"/>
                <w:sz w:val="20"/>
                <w:szCs w:val="20"/>
              </w:rPr>
            </w:pPr>
            <w:r>
              <w:rPr>
                <w:color w:val="000000"/>
                <w:sz w:val="20"/>
                <w:szCs w:val="20"/>
              </w:rPr>
              <w:t>/s/ Mark W. Reynolds</w:t>
            </w:r>
          </w:p>
        </w:tc>
        <w:tc>
          <w:tcPr>
            <w:tcW w:w="595" w:type="pct"/>
            <w:tcMar>
              <w:top w:w="5" w:type="dxa"/>
              <w:left w:w="5" w:type="dxa"/>
              <w:bottom w:w="5" w:type="dxa"/>
              <w:right w:w="5" w:type="dxa"/>
            </w:tcMar>
            <w:hideMark/>
          </w:tcPr>
          <w:p w14:paraId="4AAA5D22" w14:textId="77777777" w:rsidR="008D7E3A" w:rsidRDefault="008D7E3A">
            <w:pPr>
              <w:rPr>
                <w:color w:val="000000"/>
                <w:sz w:val="20"/>
                <w:szCs w:val="20"/>
              </w:rPr>
            </w:pPr>
            <w:r>
              <w:rPr>
                <w:color w:val="000000"/>
                <w:sz w:val="20"/>
                <w:szCs w:val="20"/>
              </w:rPr>
              <w:t> </w:t>
            </w:r>
          </w:p>
        </w:tc>
      </w:tr>
      <w:tr w:rsidR="008D7E3A" w14:paraId="70400E79" w14:textId="77777777" w:rsidTr="008D7E3A">
        <w:tc>
          <w:tcPr>
            <w:tcW w:w="2500" w:type="pct"/>
            <w:tcMar>
              <w:top w:w="5" w:type="dxa"/>
              <w:left w:w="5" w:type="dxa"/>
              <w:bottom w:w="5" w:type="dxa"/>
              <w:right w:w="5" w:type="dxa"/>
            </w:tcMar>
            <w:hideMark/>
          </w:tcPr>
          <w:p w14:paraId="65BD03C7" w14:textId="77777777" w:rsidR="008D7E3A" w:rsidRDefault="008D7E3A">
            <w:pPr>
              <w:rPr>
                <w:color w:val="000000"/>
                <w:sz w:val="20"/>
                <w:szCs w:val="20"/>
              </w:rPr>
            </w:pPr>
            <w:r>
              <w:rPr>
                <w:color w:val="000000"/>
                <w:sz w:val="20"/>
                <w:szCs w:val="20"/>
              </w:rPr>
              <w:t> </w:t>
            </w:r>
          </w:p>
        </w:tc>
        <w:tc>
          <w:tcPr>
            <w:tcW w:w="155" w:type="pct"/>
            <w:tcMar>
              <w:top w:w="5" w:type="dxa"/>
              <w:left w:w="5" w:type="dxa"/>
              <w:bottom w:w="5" w:type="dxa"/>
              <w:right w:w="5" w:type="dxa"/>
            </w:tcMar>
            <w:hideMark/>
          </w:tcPr>
          <w:p w14:paraId="1F46E1DB" w14:textId="77777777" w:rsidR="008D7E3A" w:rsidRDefault="008D7E3A">
            <w:pPr>
              <w:rPr>
                <w:color w:val="000000"/>
                <w:sz w:val="20"/>
                <w:szCs w:val="20"/>
              </w:rPr>
            </w:pPr>
            <w:r>
              <w:rPr>
                <w:color w:val="000000"/>
                <w:sz w:val="20"/>
                <w:szCs w:val="20"/>
              </w:rPr>
              <w:t> </w:t>
            </w:r>
          </w:p>
        </w:tc>
        <w:tc>
          <w:tcPr>
            <w:tcW w:w="1750" w:type="pct"/>
            <w:tcMar>
              <w:top w:w="5" w:type="dxa"/>
              <w:left w:w="5" w:type="dxa"/>
              <w:bottom w:w="5" w:type="dxa"/>
              <w:right w:w="5" w:type="dxa"/>
            </w:tcMar>
            <w:vAlign w:val="bottom"/>
            <w:hideMark/>
          </w:tcPr>
          <w:p w14:paraId="7D534BFF" w14:textId="77777777" w:rsidR="008D7E3A" w:rsidRDefault="008D7E3A">
            <w:pPr>
              <w:rPr>
                <w:color w:val="000000"/>
                <w:sz w:val="20"/>
                <w:szCs w:val="20"/>
              </w:rPr>
            </w:pPr>
            <w:r>
              <w:rPr>
                <w:color w:val="000000"/>
                <w:sz w:val="20"/>
                <w:szCs w:val="20"/>
              </w:rPr>
              <w:t>Mark W. Reynolds</w:t>
            </w:r>
          </w:p>
        </w:tc>
        <w:tc>
          <w:tcPr>
            <w:tcW w:w="595" w:type="pct"/>
            <w:tcMar>
              <w:top w:w="5" w:type="dxa"/>
              <w:left w:w="5" w:type="dxa"/>
              <w:bottom w:w="5" w:type="dxa"/>
              <w:right w:w="5" w:type="dxa"/>
            </w:tcMar>
            <w:hideMark/>
          </w:tcPr>
          <w:p w14:paraId="7F9773BD" w14:textId="77777777" w:rsidR="008D7E3A" w:rsidRDefault="008D7E3A">
            <w:pPr>
              <w:rPr>
                <w:color w:val="000000"/>
                <w:sz w:val="20"/>
                <w:szCs w:val="20"/>
              </w:rPr>
            </w:pPr>
            <w:r>
              <w:rPr>
                <w:color w:val="000000"/>
                <w:sz w:val="20"/>
                <w:szCs w:val="20"/>
              </w:rPr>
              <w:t> </w:t>
            </w:r>
          </w:p>
        </w:tc>
      </w:tr>
      <w:tr w:rsidR="008D7E3A" w14:paraId="1A236024" w14:textId="77777777" w:rsidTr="008D7E3A">
        <w:tc>
          <w:tcPr>
            <w:tcW w:w="2500" w:type="pct"/>
            <w:tcMar>
              <w:top w:w="5" w:type="dxa"/>
              <w:left w:w="5" w:type="dxa"/>
              <w:bottom w:w="5" w:type="dxa"/>
              <w:right w:w="5" w:type="dxa"/>
            </w:tcMar>
            <w:hideMark/>
          </w:tcPr>
          <w:p w14:paraId="647818B0" w14:textId="77777777" w:rsidR="008D7E3A" w:rsidRDefault="008D7E3A">
            <w:pPr>
              <w:rPr>
                <w:color w:val="000000"/>
                <w:sz w:val="20"/>
                <w:szCs w:val="20"/>
              </w:rPr>
            </w:pPr>
            <w:r>
              <w:rPr>
                <w:color w:val="000000"/>
                <w:sz w:val="20"/>
                <w:szCs w:val="20"/>
              </w:rPr>
              <w:t> </w:t>
            </w:r>
          </w:p>
        </w:tc>
        <w:tc>
          <w:tcPr>
            <w:tcW w:w="155" w:type="pct"/>
            <w:tcMar>
              <w:top w:w="5" w:type="dxa"/>
              <w:left w:w="5" w:type="dxa"/>
              <w:bottom w:w="5" w:type="dxa"/>
              <w:right w:w="5" w:type="dxa"/>
            </w:tcMar>
            <w:hideMark/>
          </w:tcPr>
          <w:p w14:paraId="6E5804F5" w14:textId="77777777" w:rsidR="008D7E3A" w:rsidRDefault="008D7E3A">
            <w:pPr>
              <w:rPr>
                <w:color w:val="000000"/>
                <w:sz w:val="20"/>
                <w:szCs w:val="20"/>
              </w:rPr>
            </w:pPr>
            <w:r>
              <w:rPr>
                <w:color w:val="000000"/>
                <w:sz w:val="20"/>
                <w:szCs w:val="20"/>
              </w:rPr>
              <w:t> </w:t>
            </w:r>
          </w:p>
        </w:tc>
        <w:tc>
          <w:tcPr>
            <w:tcW w:w="1750" w:type="pct"/>
            <w:tcMar>
              <w:top w:w="5" w:type="dxa"/>
              <w:left w:w="5" w:type="dxa"/>
              <w:bottom w:w="5" w:type="dxa"/>
              <w:right w:w="5" w:type="dxa"/>
            </w:tcMar>
            <w:hideMark/>
          </w:tcPr>
          <w:p w14:paraId="41C30FDC" w14:textId="77777777" w:rsidR="008D7E3A" w:rsidRDefault="008D7E3A">
            <w:pPr>
              <w:rPr>
                <w:color w:val="000000"/>
                <w:sz w:val="20"/>
                <w:szCs w:val="20"/>
              </w:rPr>
            </w:pPr>
            <w:r>
              <w:rPr>
                <w:color w:val="000000"/>
                <w:sz w:val="20"/>
                <w:szCs w:val="20"/>
              </w:rPr>
              <w:t>Chief Financial Officer</w:t>
            </w:r>
          </w:p>
        </w:tc>
        <w:tc>
          <w:tcPr>
            <w:tcW w:w="595" w:type="pct"/>
            <w:tcMar>
              <w:top w:w="5" w:type="dxa"/>
              <w:left w:w="5" w:type="dxa"/>
              <w:bottom w:w="5" w:type="dxa"/>
              <w:right w:w="5" w:type="dxa"/>
            </w:tcMar>
            <w:hideMark/>
          </w:tcPr>
          <w:p w14:paraId="73443147" w14:textId="77777777" w:rsidR="008D7E3A" w:rsidRDefault="008D7E3A">
            <w:pPr>
              <w:rPr>
                <w:color w:val="000000"/>
                <w:sz w:val="20"/>
                <w:szCs w:val="20"/>
              </w:rPr>
            </w:pPr>
            <w:r>
              <w:rPr>
                <w:color w:val="000000"/>
                <w:sz w:val="20"/>
                <w:szCs w:val="20"/>
              </w:rPr>
              <w:t> </w:t>
            </w:r>
          </w:p>
        </w:tc>
      </w:tr>
      <w:tr w:rsidR="008D7E3A" w14:paraId="0ED9B5DF" w14:textId="77777777" w:rsidTr="008D7E3A">
        <w:tc>
          <w:tcPr>
            <w:tcW w:w="2500" w:type="pct"/>
            <w:tcMar>
              <w:top w:w="5" w:type="dxa"/>
              <w:left w:w="5" w:type="dxa"/>
              <w:bottom w:w="5" w:type="dxa"/>
              <w:right w:w="5" w:type="dxa"/>
            </w:tcMar>
            <w:hideMark/>
          </w:tcPr>
          <w:p w14:paraId="5A2BF58E" w14:textId="77777777" w:rsidR="008D7E3A" w:rsidRDefault="008D7E3A">
            <w:pPr>
              <w:rPr>
                <w:color w:val="000000"/>
                <w:sz w:val="20"/>
                <w:szCs w:val="20"/>
              </w:rPr>
            </w:pPr>
            <w:r>
              <w:rPr>
                <w:color w:val="000000"/>
                <w:sz w:val="20"/>
                <w:szCs w:val="20"/>
              </w:rPr>
              <w:t> </w:t>
            </w:r>
          </w:p>
        </w:tc>
        <w:tc>
          <w:tcPr>
            <w:tcW w:w="155" w:type="pct"/>
            <w:tcMar>
              <w:top w:w="5" w:type="dxa"/>
              <w:left w:w="5" w:type="dxa"/>
              <w:bottom w:w="5" w:type="dxa"/>
              <w:right w:w="5" w:type="dxa"/>
            </w:tcMar>
            <w:hideMark/>
          </w:tcPr>
          <w:p w14:paraId="6378366E" w14:textId="77777777" w:rsidR="008D7E3A" w:rsidRDefault="008D7E3A">
            <w:pPr>
              <w:rPr>
                <w:color w:val="000000"/>
                <w:sz w:val="20"/>
                <w:szCs w:val="20"/>
              </w:rPr>
            </w:pPr>
            <w:r>
              <w:rPr>
                <w:color w:val="000000"/>
                <w:sz w:val="20"/>
                <w:szCs w:val="20"/>
              </w:rPr>
              <w:t> </w:t>
            </w:r>
          </w:p>
        </w:tc>
        <w:tc>
          <w:tcPr>
            <w:tcW w:w="1750" w:type="pct"/>
            <w:tcMar>
              <w:top w:w="5" w:type="dxa"/>
              <w:left w:w="5" w:type="dxa"/>
              <w:bottom w:w="5" w:type="dxa"/>
              <w:right w:w="5" w:type="dxa"/>
            </w:tcMar>
            <w:hideMark/>
          </w:tcPr>
          <w:p w14:paraId="15CCFEBE" w14:textId="77777777" w:rsidR="008D7E3A" w:rsidRDefault="008D7E3A">
            <w:pPr>
              <w:rPr>
                <w:color w:val="000000"/>
                <w:sz w:val="20"/>
                <w:szCs w:val="20"/>
              </w:rPr>
            </w:pPr>
            <w:r>
              <w:rPr>
                <w:color w:val="000000"/>
                <w:sz w:val="20"/>
                <w:szCs w:val="20"/>
              </w:rPr>
              <w:t> </w:t>
            </w:r>
          </w:p>
        </w:tc>
        <w:tc>
          <w:tcPr>
            <w:tcW w:w="595" w:type="pct"/>
            <w:tcMar>
              <w:top w:w="5" w:type="dxa"/>
              <w:left w:w="5" w:type="dxa"/>
              <w:bottom w:w="5" w:type="dxa"/>
              <w:right w:w="5" w:type="dxa"/>
            </w:tcMar>
            <w:hideMark/>
          </w:tcPr>
          <w:p w14:paraId="74557E43" w14:textId="77777777" w:rsidR="008D7E3A" w:rsidRDefault="008D7E3A">
            <w:pPr>
              <w:rPr>
                <w:color w:val="000000"/>
                <w:sz w:val="20"/>
                <w:szCs w:val="20"/>
              </w:rPr>
            </w:pPr>
            <w:r>
              <w:rPr>
                <w:color w:val="000000"/>
                <w:sz w:val="20"/>
                <w:szCs w:val="20"/>
              </w:rPr>
              <w:t> </w:t>
            </w:r>
          </w:p>
        </w:tc>
      </w:tr>
    </w:tbl>
    <w:p w14:paraId="5122E448" w14:textId="77777777" w:rsidR="008D7E3A" w:rsidRDefault="008D7E3A" w:rsidP="008D7E3A">
      <w:pPr>
        <w:ind w:left="144" w:right="144"/>
        <w:rPr>
          <w:sz w:val="20"/>
          <w:szCs w:val="20"/>
        </w:rPr>
      </w:pPr>
    </w:p>
    <w:p w14:paraId="2B519A86" w14:textId="2381A9CF" w:rsidR="004B3179" w:rsidRPr="008D7E3A" w:rsidRDefault="004B3179" w:rsidP="008D7E3A"/>
    <w:sectPr w:rsidR="004B3179" w:rsidRPr="008D7E3A">
      <w:headerReference w:type="even" r:id="rId8"/>
      <w:headerReference w:type="default" r:id="rId9"/>
      <w:footerReference w:type="even" r:id="rId10"/>
      <w:footerReference w:type="default" r:id="rId11"/>
      <w:headerReference w:type="first" r:id="rId12"/>
      <w:footerReference w:type="first" r:id="rId13"/>
      <w:pgSz w:w="12240" w:h="15840"/>
      <w:pgMar w:top="576" w:right="720" w:bottom="576" w:left="720" w:header="144"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75F07" w14:textId="77777777" w:rsidR="00DA25D2" w:rsidRDefault="00DA25D2" w:rsidP="004422FB">
      <w:r>
        <w:separator/>
      </w:r>
    </w:p>
  </w:endnote>
  <w:endnote w:type="continuationSeparator" w:id="0">
    <w:p w14:paraId="6C43CECF" w14:textId="77777777" w:rsidR="00DA25D2" w:rsidRDefault="00DA25D2" w:rsidP="00442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A7448" w14:textId="77777777" w:rsidR="002F020C" w:rsidRDefault="002F02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B9915" w14:textId="6B1DAD01" w:rsidR="004422FB" w:rsidRDefault="00A7489D" w:rsidP="00A7489D">
    <w:pPr>
      <w:pStyle w:val="Footer"/>
      <w:jc w:val="center"/>
    </w:pPr>
    <w:r>
      <w:fldChar w:fldCharType="begin"/>
    </w:r>
    <w:r>
      <w:instrText xml:space="preserve"> PAGE   \* MERGEFORMAT </w:instrText>
    </w:r>
    <w:r>
      <w:fldChar w:fldCharType="separate"/>
    </w:r>
    <w:r w:rsidR="00D46FAD">
      <w:rPr>
        <w:noProof/>
      </w:rPr>
      <w:t>3</w:t>
    </w:r>
    <w:r>
      <w:rPr>
        <w:noProof/>
      </w:rPr>
      <w:fldChar w:fldCharType="end"/>
    </w:r>
  </w:p>
  <w:p w14:paraId="22F65163" w14:textId="77777777" w:rsidR="008A5F28" w:rsidRDefault="008A5F28" w:rsidP="004422FB">
    <w:pPr>
      <w:pStyle w:val="Footer"/>
    </w:pPr>
  </w:p>
  <w:p w14:paraId="00D1A497" w14:textId="3F13EF94" w:rsidR="004422FB" w:rsidRDefault="004422FB" w:rsidP="008A5F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4C0C3" w14:textId="77777777" w:rsidR="002F020C" w:rsidRDefault="002F02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694C7" w14:textId="77777777" w:rsidR="00DA25D2" w:rsidRDefault="00DA25D2" w:rsidP="004422FB">
      <w:r>
        <w:separator/>
      </w:r>
    </w:p>
  </w:footnote>
  <w:footnote w:type="continuationSeparator" w:id="0">
    <w:p w14:paraId="32C48115" w14:textId="77777777" w:rsidR="00DA25D2" w:rsidRDefault="00DA25D2" w:rsidP="00442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32558" w14:textId="77777777" w:rsidR="002F020C" w:rsidRDefault="002F02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5FF51" w14:textId="77777777" w:rsidR="002F020C" w:rsidRDefault="002F02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FA308" w14:textId="77777777" w:rsidR="002F020C" w:rsidRDefault="002F02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23EF7"/>
    <w:multiLevelType w:val="hybridMultilevel"/>
    <w:tmpl w:val="0582C1DE"/>
    <w:lvl w:ilvl="0" w:tplc="BBF2C682">
      <w:start w:val="10"/>
      <w:numFmt w:val="bullet"/>
      <w:lvlText w:val=""/>
      <w:lvlJc w:val="left"/>
      <w:pPr>
        <w:ind w:left="504" w:hanging="360"/>
      </w:pPr>
      <w:rPr>
        <w:rFonts w:ascii="Symbol" w:eastAsia="Times New Roman" w:hAnsi="Symbol" w:cs="Times New Roman"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 w15:restartNumberingAfterBreak="0">
    <w:nsid w:val="6DA94E45"/>
    <w:multiLevelType w:val="hybridMultilevel"/>
    <w:tmpl w:val="B1E8AD8E"/>
    <w:lvl w:ilvl="0" w:tplc="04090001">
      <w:start w:val="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4977875">
    <w:abstractNumId w:val="0"/>
  </w:num>
  <w:num w:numId="2" w16cid:durableId="1845196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WDocIDLayout" w:val="1"/>
    <w:docVar w:name="SWDocIDLocation" w:val="4096"/>
  </w:docVars>
  <w:rsids>
    <w:rsidRoot w:val="004B3179"/>
    <w:rsid w:val="00001E52"/>
    <w:rsid w:val="00034407"/>
    <w:rsid w:val="000520F7"/>
    <w:rsid w:val="00053635"/>
    <w:rsid w:val="000871C8"/>
    <w:rsid w:val="00087359"/>
    <w:rsid w:val="00096511"/>
    <w:rsid w:val="000D522C"/>
    <w:rsid w:val="000E6508"/>
    <w:rsid w:val="00134BBC"/>
    <w:rsid w:val="00144D4F"/>
    <w:rsid w:val="00153CF3"/>
    <w:rsid w:val="00172B54"/>
    <w:rsid w:val="00177EF1"/>
    <w:rsid w:val="00186A50"/>
    <w:rsid w:val="001A687F"/>
    <w:rsid w:val="001D3520"/>
    <w:rsid w:val="002049D0"/>
    <w:rsid w:val="00220F69"/>
    <w:rsid w:val="00241DEF"/>
    <w:rsid w:val="00246139"/>
    <w:rsid w:val="00277674"/>
    <w:rsid w:val="00296BF7"/>
    <w:rsid w:val="002B40EC"/>
    <w:rsid w:val="002E7A44"/>
    <w:rsid w:val="002F020C"/>
    <w:rsid w:val="002F47BC"/>
    <w:rsid w:val="00304DE8"/>
    <w:rsid w:val="0036369E"/>
    <w:rsid w:val="003643C1"/>
    <w:rsid w:val="00376DEC"/>
    <w:rsid w:val="00387407"/>
    <w:rsid w:val="003B3474"/>
    <w:rsid w:val="003B670F"/>
    <w:rsid w:val="003C44C6"/>
    <w:rsid w:val="003D3388"/>
    <w:rsid w:val="003F3DEB"/>
    <w:rsid w:val="00401F33"/>
    <w:rsid w:val="00404B0F"/>
    <w:rsid w:val="00414E31"/>
    <w:rsid w:val="004422FB"/>
    <w:rsid w:val="004433D8"/>
    <w:rsid w:val="00443A0F"/>
    <w:rsid w:val="004562CE"/>
    <w:rsid w:val="004641B9"/>
    <w:rsid w:val="00486CCB"/>
    <w:rsid w:val="00494777"/>
    <w:rsid w:val="004B3179"/>
    <w:rsid w:val="004C2859"/>
    <w:rsid w:val="004D4E0A"/>
    <w:rsid w:val="004F2672"/>
    <w:rsid w:val="004F383B"/>
    <w:rsid w:val="00552D47"/>
    <w:rsid w:val="00573EBF"/>
    <w:rsid w:val="00583D37"/>
    <w:rsid w:val="0059539B"/>
    <w:rsid w:val="005A1F60"/>
    <w:rsid w:val="005D2448"/>
    <w:rsid w:val="006131D7"/>
    <w:rsid w:val="00652DCC"/>
    <w:rsid w:val="00677F25"/>
    <w:rsid w:val="00691E45"/>
    <w:rsid w:val="006959EC"/>
    <w:rsid w:val="006A30B4"/>
    <w:rsid w:val="006B4011"/>
    <w:rsid w:val="006C4831"/>
    <w:rsid w:val="006E7AA3"/>
    <w:rsid w:val="007150B5"/>
    <w:rsid w:val="00716A75"/>
    <w:rsid w:val="007305BB"/>
    <w:rsid w:val="00734084"/>
    <w:rsid w:val="00742092"/>
    <w:rsid w:val="00742331"/>
    <w:rsid w:val="00756D0F"/>
    <w:rsid w:val="00766EB9"/>
    <w:rsid w:val="00795C15"/>
    <w:rsid w:val="007B1C14"/>
    <w:rsid w:val="007B5113"/>
    <w:rsid w:val="007C095B"/>
    <w:rsid w:val="007E3D57"/>
    <w:rsid w:val="007F16D7"/>
    <w:rsid w:val="00833F99"/>
    <w:rsid w:val="00846F5B"/>
    <w:rsid w:val="0089446A"/>
    <w:rsid w:val="00894597"/>
    <w:rsid w:val="008A3A73"/>
    <w:rsid w:val="008A45B8"/>
    <w:rsid w:val="008A5F28"/>
    <w:rsid w:val="008B7616"/>
    <w:rsid w:val="008D7E3A"/>
    <w:rsid w:val="008E4E77"/>
    <w:rsid w:val="008E5344"/>
    <w:rsid w:val="00903941"/>
    <w:rsid w:val="00922B4A"/>
    <w:rsid w:val="00922FCF"/>
    <w:rsid w:val="0095070C"/>
    <w:rsid w:val="00995863"/>
    <w:rsid w:val="009969EF"/>
    <w:rsid w:val="009A7F45"/>
    <w:rsid w:val="009B15B2"/>
    <w:rsid w:val="009B2328"/>
    <w:rsid w:val="009D0542"/>
    <w:rsid w:val="009F16FD"/>
    <w:rsid w:val="009F32C7"/>
    <w:rsid w:val="009F7B30"/>
    <w:rsid w:val="00A213F5"/>
    <w:rsid w:val="00A30573"/>
    <w:rsid w:val="00A7343F"/>
    <w:rsid w:val="00A7489D"/>
    <w:rsid w:val="00A7711D"/>
    <w:rsid w:val="00AA2DDC"/>
    <w:rsid w:val="00AA3D35"/>
    <w:rsid w:val="00AA4B2A"/>
    <w:rsid w:val="00B02C57"/>
    <w:rsid w:val="00B2632B"/>
    <w:rsid w:val="00B44E7B"/>
    <w:rsid w:val="00B4616E"/>
    <w:rsid w:val="00B4673C"/>
    <w:rsid w:val="00B51502"/>
    <w:rsid w:val="00B61191"/>
    <w:rsid w:val="00B63532"/>
    <w:rsid w:val="00B66B45"/>
    <w:rsid w:val="00B97324"/>
    <w:rsid w:val="00BB7014"/>
    <w:rsid w:val="00BC0F2B"/>
    <w:rsid w:val="00BC6263"/>
    <w:rsid w:val="00BC6551"/>
    <w:rsid w:val="00BF415F"/>
    <w:rsid w:val="00C36B57"/>
    <w:rsid w:val="00C528BC"/>
    <w:rsid w:val="00C53991"/>
    <w:rsid w:val="00C77462"/>
    <w:rsid w:val="00C815CE"/>
    <w:rsid w:val="00C936D4"/>
    <w:rsid w:val="00CB1EAA"/>
    <w:rsid w:val="00CB3D5C"/>
    <w:rsid w:val="00CC52F4"/>
    <w:rsid w:val="00CD55C2"/>
    <w:rsid w:val="00CE3919"/>
    <w:rsid w:val="00CE3B4D"/>
    <w:rsid w:val="00D03053"/>
    <w:rsid w:val="00D128D7"/>
    <w:rsid w:val="00D17971"/>
    <w:rsid w:val="00D46FAD"/>
    <w:rsid w:val="00D60567"/>
    <w:rsid w:val="00D74319"/>
    <w:rsid w:val="00D93377"/>
    <w:rsid w:val="00D95C48"/>
    <w:rsid w:val="00DA25D2"/>
    <w:rsid w:val="00DA73E9"/>
    <w:rsid w:val="00DE728B"/>
    <w:rsid w:val="00E115D3"/>
    <w:rsid w:val="00E23B0B"/>
    <w:rsid w:val="00E40FF8"/>
    <w:rsid w:val="00E633E7"/>
    <w:rsid w:val="00EB5CF9"/>
    <w:rsid w:val="00EC3F8A"/>
    <w:rsid w:val="00EC69D0"/>
    <w:rsid w:val="00F073F4"/>
    <w:rsid w:val="00F100FC"/>
    <w:rsid w:val="00F13A9C"/>
    <w:rsid w:val="00F228DB"/>
    <w:rsid w:val="00F27385"/>
    <w:rsid w:val="00F404C4"/>
    <w:rsid w:val="00F470EC"/>
    <w:rsid w:val="00F53643"/>
    <w:rsid w:val="00F65C64"/>
    <w:rsid w:val="00F737D0"/>
    <w:rsid w:val="00F958BB"/>
    <w:rsid w:val="00FA53E4"/>
    <w:rsid w:val="00FD1599"/>
    <w:rsid w:val="00FD7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4FEA4"/>
  <w15:docId w15:val="{A58224E9-FEC6-4772-B1B7-DCE99921C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finTable">
    <w:name w:val="finTable"/>
    <w:basedOn w:val="TableNormal"/>
    <w:tblPr/>
  </w:style>
  <w:style w:type="paragraph" w:styleId="BalloonText">
    <w:name w:val="Balloon Text"/>
    <w:basedOn w:val="Normal"/>
    <w:link w:val="BalloonTextChar"/>
    <w:uiPriority w:val="99"/>
    <w:semiHidden/>
    <w:unhideWhenUsed/>
    <w:rsid w:val="00766E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EB9"/>
    <w:rPr>
      <w:rFonts w:ascii="Segoe UI" w:hAnsi="Segoe UI" w:cs="Segoe UI"/>
      <w:sz w:val="18"/>
      <w:szCs w:val="18"/>
    </w:rPr>
  </w:style>
  <w:style w:type="paragraph" w:styleId="ListParagraph">
    <w:name w:val="List Paragraph"/>
    <w:basedOn w:val="Normal"/>
    <w:uiPriority w:val="34"/>
    <w:qFormat/>
    <w:rsid w:val="003B670F"/>
    <w:pPr>
      <w:ind w:left="720"/>
      <w:contextualSpacing/>
    </w:pPr>
  </w:style>
  <w:style w:type="character" w:styleId="Emphasis">
    <w:name w:val="Emphasis"/>
    <w:basedOn w:val="DefaultParagraphFont"/>
    <w:uiPriority w:val="20"/>
    <w:qFormat/>
    <w:rsid w:val="00CB1EAA"/>
    <w:rPr>
      <w:i/>
      <w:iCs/>
    </w:rPr>
  </w:style>
  <w:style w:type="table" w:styleId="TableGrid">
    <w:name w:val="Table Grid"/>
    <w:basedOn w:val="TableNormal"/>
    <w:uiPriority w:val="59"/>
    <w:rsid w:val="00D128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22FB"/>
    <w:pPr>
      <w:tabs>
        <w:tab w:val="center" w:pos="4680"/>
        <w:tab w:val="right" w:pos="9360"/>
      </w:tabs>
    </w:pPr>
  </w:style>
  <w:style w:type="character" w:customStyle="1" w:styleId="HeaderChar">
    <w:name w:val="Header Char"/>
    <w:basedOn w:val="DefaultParagraphFont"/>
    <w:link w:val="Header"/>
    <w:uiPriority w:val="99"/>
    <w:rsid w:val="004422FB"/>
    <w:rPr>
      <w:sz w:val="24"/>
      <w:szCs w:val="24"/>
    </w:rPr>
  </w:style>
  <w:style w:type="paragraph" w:styleId="Footer">
    <w:name w:val="footer"/>
    <w:basedOn w:val="Normal"/>
    <w:link w:val="FooterChar"/>
    <w:uiPriority w:val="99"/>
    <w:unhideWhenUsed/>
    <w:rsid w:val="004422FB"/>
    <w:pPr>
      <w:tabs>
        <w:tab w:val="center" w:pos="4680"/>
        <w:tab w:val="right" w:pos="9360"/>
      </w:tabs>
    </w:pPr>
  </w:style>
  <w:style w:type="character" w:customStyle="1" w:styleId="FooterChar">
    <w:name w:val="Footer Char"/>
    <w:basedOn w:val="DefaultParagraphFont"/>
    <w:link w:val="Footer"/>
    <w:uiPriority w:val="99"/>
    <w:rsid w:val="004422FB"/>
    <w:rPr>
      <w:sz w:val="24"/>
      <w:szCs w:val="24"/>
    </w:rPr>
  </w:style>
  <w:style w:type="character" w:styleId="Hyperlink">
    <w:name w:val="Hyperlink"/>
    <w:basedOn w:val="DefaultParagraphFont"/>
    <w:uiPriority w:val="99"/>
    <w:unhideWhenUsed/>
    <w:rsid w:val="00F100FC"/>
    <w:rPr>
      <w:color w:val="0563C1" w:themeColor="hyperlink"/>
      <w:u w:val="single"/>
    </w:rPr>
  </w:style>
  <w:style w:type="character" w:customStyle="1" w:styleId="UnresolvedMention1">
    <w:name w:val="Unresolved Mention1"/>
    <w:basedOn w:val="DefaultParagraphFont"/>
    <w:uiPriority w:val="99"/>
    <w:semiHidden/>
    <w:unhideWhenUsed/>
    <w:rsid w:val="00F100FC"/>
    <w:rPr>
      <w:color w:val="605E5C"/>
      <w:shd w:val="clear" w:color="auto" w:fill="E1DFDD"/>
    </w:rPr>
  </w:style>
  <w:style w:type="paragraph" w:styleId="FootnoteText">
    <w:name w:val="footnote text"/>
    <w:basedOn w:val="Normal"/>
    <w:link w:val="FootnoteTextChar"/>
    <w:uiPriority w:val="99"/>
    <w:semiHidden/>
    <w:unhideWhenUsed/>
    <w:rsid w:val="00C36B57"/>
    <w:rPr>
      <w:sz w:val="20"/>
      <w:szCs w:val="20"/>
    </w:rPr>
  </w:style>
  <w:style w:type="character" w:customStyle="1" w:styleId="FootnoteTextChar">
    <w:name w:val="Footnote Text Char"/>
    <w:basedOn w:val="DefaultParagraphFont"/>
    <w:link w:val="FootnoteText"/>
    <w:uiPriority w:val="99"/>
    <w:semiHidden/>
    <w:rsid w:val="00C36B57"/>
  </w:style>
  <w:style w:type="character" w:styleId="FootnoteReference">
    <w:name w:val="footnote reference"/>
    <w:basedOn w:val="DefaultParagraphFont"/>
    <w:uiPriority w:val="99"/>
    <w:semiHidden/>
    <w:unhideWhenUsed/>
    <w:rsid w:val="00C36B57"/>
    <w:rPr>
      <w:vertAlign w:val="superscript"/>
    </w:rPr>
  </w:style>
  <w:style w:type="paragraph" w:styleId="Revision">
    <w:name w:val="Revision"/>
    <w:hidden/>
    <w:uiPriority w:val="99"/>
    <w:semiHidden/>
    <w:rsid w:val="00995863"/>
    <w:rPr>
      <w:sz w:val="24"/>
      <w:szCs w:val="24"/>
    </w:rPr>
  </w:style>
  <w:style w:type="character" w:styleId="UnresolvedMention">
    <w:name w:val="Unresolved Mention"/>
    <w:basedOn w:val="DefaultParagraphFont"/>
    <w:uiPriority w:val="99"/>
    <w:semiHidden/>
    <w:unhideWhenUsed/>
    <w:rsid w:val="00186A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154986">
      <w:bodyDiv w:val="1"/>
      <w:marLeft w:val="0"/>
      <w:marRight w:val="0"/>
      <w:marTop w:val="0"/>
      <w:marBottom w:val="0"/>
      <w:divBdr>
        <w:top w:val="none" w:sz="0" w:space="0" w:color="auto"/>
        <w:left w:val="none" w:sz="0" w:space="0" w:color="auto"/>
        <w:bottom w:val="none" w:sz="0" w:space="0" w:color="auto"/>
        <w:right w:val="none" w:sz="0" w:space="0" w:color="auto"/>
      </w:divBdr>
    </w:div>
    <w:div w:id="1718511874">
      <w:bodyDiv w:val="1"/>
      <w:marLeft w:val="0"/>
      <w:marRight w:val="0"/>
      <w:marTop w:val="0"/>
      <w:marBottom w:val="0"/>
      <w:divBdr>
        <w:top w:val="none" w:sz="0" w:space="0" w:color="auto"/>
        <w:left w:val="none" w:sz="0" w:space="0" w:color="auto"/>
        <w:bottom w:val="none" w:sz="0" w:space="0" w:color="auto"/>
        <w:right w:val="none" w:sz="0" w:space="0" w:color="auto"/>
      </w:divBdr>
      <w:divsChild>
        <w:div w:id="1721703616">
          <w:marLeft w:val="144"/>
          <w:marRight w:val="144"/>
          <w:marTop w:val="60"/>
          <w:marBottom w:val="60"/>
          <w:divBdr>
            <w:top w:val="none" w:sz="0" w:space="0" w:color="auto"/>
            <w:left w:val="none" w:sz="0" w:space="0" w:color="auto"/>
            <w:bottom w:val="none" w:sz="0" w:space="0" w:color="auto"/>
            <w:right w:val="none" w:sz="0" w:space="0" w:color="auto"/>
          </w:divBdr>
        </w:div>
        <w:div w:id="89159179">
          <w:marLeft w:val="144"/>
          <w:marRight w:val="144"/>
          <w:marTop w:val="60"/>
          <w:marBottom w:val="6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A7C02-9BF1-4243-A166-296F0E007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1141</Words>
  <Characters>6510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govx20200928_8k.htm</vt:lpstr>
    </vt:vector>
  </TitlesOfParts>
  <Company/>
  <LinksUpToDate>false</LinksUpToDate>
  <CharactersWithSpaces>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govx20200928_8k.htm</dc:title>
  <dc:creator>Mark Reynolds</dc:creator>
  <cp:lastModifiedBy>Susan Reuland</cp:lastModifiedBy>
  <cp:revision>2</cp:revision>
  <cp:lastPrinted>2022-05-03T12:55:00Z</cp:lastPrinted>
  <dcterms:created xsi:type="dcterms:W3CDTF">2026-05-08T11:30:00Z</dcterms:created>
  <dcterms:modified xsi:type="dcterms:W3CDTF">2026-05-08T11:30:00Z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WBD (US) 54725070v1</vt:lpwstr>
  </property>
</Properties>
</file>